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Black" w:hAnsi="Arial Black"/>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nihai 3B CAD modeli — izometrik görünüm (gövde kapağı, mast, çatal, tepe lambası ve operatör ekranı takılı)</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görevini yürütme algoritması — karar noktaları ve döngülerle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Görüntü işleme algoritması — tek kameradan çizgi takibi ve QR konumlama akış diyagramı (karar noktalarıyla)</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Black" w:hAnsi="Arial Black"/>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8"/>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8"/>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321611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321611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8"/>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39267"/>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3926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8"/>
        </w:rPr>
        <w:t>4.2. Aracın Mekanik Tasarımı</w:t>
      </w:r>
    </w:p>
    <w:p>
      <w:pPr>
        <w:pStyle w:val="Heading2"/>
        <w:keepNext/>
        <w:keepLines/>
        <w:widowControl/>
        <w:spacing w:line="276" w:lineRule="auto"/>
      </w:pPr>
      <w:r>
        <w:rPr>
          <w:rFonts w:ascii="Arial Black" w:hAnsi="Arial Black" w:cs="Arial Black"/>
          <w:b/>
          <w:i w:val="0"/>
          <w:color w:val="1F3A63"/>
          <w:sz w:val="28"/>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8"/>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8"/>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8"/>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8"/>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8"/>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7004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7004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8"/>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4320000" cy="6918545"/>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4320000" cy="691854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7573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7573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344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34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8"/>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357191"/>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35719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8"/>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