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2).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spacing w:before="80" w:after="40"/>
        <w:jc w:val="center"/>
      </w:pPr>
      <w:r>
        <w:drawing>
          <wp:inline xmlns:a="http://schemas.openxmlformats.org/drawingml/2006/main" xmlns:pic="http://schemas.openxmlformats.org/drawingml/2006/picture">
            <wp:extent cx="3960000" cy="2590760"/>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590760"/>
                    </a:xfrm>
                    <a:prstGeom prst="rect"/>
                  </pic:spPr>
                </pic:pic>
              </a:graphicData>
            </a:graphic>
          </wp:inline>
        </w:drawing>
      </w:r>
    </w:p>
    <w:p>
      <w:pPr>
        <w:spacing w:before="40" w:after="200"/>
        <w:jc w:val="center"/>
      </w:pPr>
      <w:r>
        <w:rPr>
          <w:rFonts w:ascii="Arial" w:hAnsi="Arial" w:cs="Arial"/>
          <w:b w:val="0"/>
          <w:i/>
          <w:color w:val="555555"/>
          <w:sz w:val="20"/>
        </w:rPr>
        <w:t>Fotoğraf 2: Bu eskizlerden yola çıkarak hazırladığımız üç görünüşlü ölçülü çizim (ön, yan, izometrik) — CAD ortamına geçmeden önceki son kâğıt aşaması.</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4140000" cy="2538214"/>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538214"/>
                    </a:xfrm>
                    <a:prstGeom prst="rect"/>
                  </pic:spPr>
                </pic:pic>
              </a:graphicData>
            </a:graphic>
          </wp:inline>
        </w:drawing>
      </w:r>
    </w:p>
    <w:p>
      <w:pPr>
        <w:spacing w:before="40" w:after="200"/>
        <w:jc w:val="center"/>
      </w:pPr>
      <w:r>
        <w:rPr>
          <w:rFonts w:ascii="Arial" w:hAnsi="Arial" w:cs="Arial"/>
          <w:b w:val="0"/>
          <w:i/>
          <w:color w:val="555555"/>
          <w:sz w:val="20"/>
        </w:rPr>
        <w:t>Şekil 3: Aracın Fusion 360'ta hazırlanan nihai 3B modeli — izometrik görünüm</w:t>
      </w:r>
    </w:p>
    <w:p>
      <w:pPr>
        <w:spacing w:before="40" w:after="40"/>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spacing w:before="40" w:after="200"/>
        <w:jc w:val="center"/>
      </w:pPr>
      <w:r>
        <w:rPr>
          <w:rFonts w:ascii="Arial" w:hAnsi="Arial" w:cs="Arial"/>
          <w:b w:val="0"/>
          <w:i/>
          <w:color w:val="555555"/>
          <w:sz w:val="20"/>
        </w:rPr>
        <w:t>Şekil 4: Yan görünüm — mast yüksekliği, çatal stroku ve şasi üzerindeki bileşen yerleşimi</w:t>
      </w:r>
    </w:p>
    <w:p>
      <w:pPr>
        <w:spacing w:before="40" w:after="40"/>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spacing w:before="40" w:after="200"/>
        <w:jc w:val="center"/>
      </w:pPr>
      <w:r>
        <w:rPr>
          <w:rFonts w:ascii="Arial" w:hAnsi="Arial" w:cs="Arial"/>
          <w:b w:val="0"/>
          <w:i/>
          <w:color w:val="555555"/>
          <w:sz w:val="20"/>
        </w:rPr>
        <w:t>Şekil 5: Ön görünüm — mast genişliği, çatal aralığı ve kamera/LiDAR konumlandırması</w:t>
      </w:r>
    </w:p>
    <w:p>
      <w:pPr>
        <w:spacing w:before="40" w:after="40"/>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spacing w:before="40" w:after="200"/>
        <w:jc w:val="center"/>
      </w:pPr>
      <w:r>
        <w:rPr>
          <w:rFonts w:ascii="Arial" w:hAnsi="Arial" w:cs="Arial"/>
          <w:b w:val="0"/>
          <w:i/>
          <w:color w:val="555555"/>
          <w:sz w:val="20"/>
        </w:rPr>
        <w:t>Şekil 6: Üstten görünüm — şasi taban plakası ve elektronik yerleşim alanı</w:t>
      </w:r>
    </w:p>
    <w:p>
      <w:pPr>
        <w:spacing w:after="120"/>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3: Sigma profil şasinin okul atölyesinde montajı; köşe bağlantıları kıskaç yardımıyla matkapla hazırlanıyor.</w:t>
      </w:r>
    </w:p>
    <w:p>
      <w:pPr>
        <w:spacing w:before="80" w:after="40"/>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spacing w:before="40" w:after="200"/>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spacing w:before="80" w:after="40"/>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spacing w:before="40" w:after="200"/>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spacing w:before="40" w:after="40"/>
        <w:jc w:val="center"/>
      </w:pPr>
      <w:r>
        <w:drawing>
          <wp:inline xmlns:a="http://schemas.openxmlformats.org/drawingml/2006/main" xmlns:pic="http://schemas.openxmlformats.org/drawingml/2006/picture">
            <wp:extent cx="5760000" cy="3010065"/>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010065"/>
                    </a:xfrm>
                    <a:prstGeom prst="rect"/>
                  </pic:spPr>
                </pic:pic>
              </a:graphicData>
            </a:graphic>
          </wp:inline>
        </w:drawing>
      </w:r>
    </w:p>
    <w:p>
      <w:pPr>
        <w:spacing w:before="40" w:after="200"/>
        <w:jc w:val="center"/>
      </w:pPr>
      <w:r>
        <w:rPr>
          <w:rFonts w:ascii="Arial" w:hAnsi="Arial" w:cs="Arial"/>
          <w:b w:val="0"/>
          <w:i/>
          <w:color w:val="555555"/>
          <w:sz w:val="20"/>
        </w:rPr>
        <w:t>Şekil 7: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8: Güç ve sinyal kablajının hazırlanması; konnektör ve sürücü uçlarının lehimlenmesi.</w:t>
      </w:r>
    </w:p>
    <w:p>
      <w:pPr>
        <w:spacing w:before="80" w:after="40"/>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spacing w:before="40" w:after="200"/>
        <w:jc w:val="center"/>
      </w:pPr>
      <w:r>
        <w:rPr>
          <w:rFonts w:ascii="Arial" w:hAnsi="Arial" w:cs="Arial"/>
          <w:b w:val="0"/>
          <w:i/>
          <w:color w:val="555555"/>
          <w:sz w:val="20"/>
        </w:rPr>
        <w:t>Fotoğraf 9: Hassas bağlantılar YIHUA 878D lehimleme/sıcak hava istasyonuyla yapıldı.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spacing w:before="40" w:after="40"/>
        <w:jc w:val="center"/>
      </w:pPr>
      <w:r>
        <w:drawing>
          <wp:inline xmlns:a="http://schemas.openxmlformats.org/drawingml/2006/main" xmlns:pic="http://schemas.openxmlformats.org/drawingml/2006/picture">
            <wp:extent cx="3780000" cy="5708571"/>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5708571"/>
                    </a:xfrm>
                    <a:prstGeom prst="rect"/>
                  </pic:spPr>
                </pic:pic>
              </a:graphicData>
            </a:graphic>
          </wp:inline>
        </w:drawing>
      </w:r>
    </w:p>
    <w:p>
      <w:pPr>
        <w:spacing w:before="40" w:after="200"/>
        <w:jc w:val="center"/>
      </w:pPr>
      <w:r>
        <w:rPr>
          <w:rFonts w:ascii="Arial" w:hAnsi="Arial" w:cs="Arial"/>
          <w:b w:val="0"/>
          <w:i/>
          <w:color w:val="555555"/>
          <w:sz w:val="20"/>
        </w:rPr>
        <w:t>Şekil 8: Yarışma senaryosu ana görev akış diyagramı</w:t>
      </w:r>
    </w:p>
    <w:p>
      <w:pPr>
        <w:spacing w:before="40" w:after="40"/>
        <w:jc w:val="center"/>
      </w:pPr>
      <w:r>
        <w:drawing>
          <wp:inline xmlns:a="http://schemas.openxmlformats.org/drawingml/2006/main" xmlns:pic="http://schemas.openxmlformats.org/drawingml/2006/picture">
            <wp:extent cx="5760000" cy="342000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420000"/>
                    </a:xfrm>
                    <a:prstGeom prst="rect"/>
                  </pic:spPr>
                </pic:pic>
              </a:graphicData>
            </a:graphic>
          </wp:inline>
        </w:drawing>
      </w:r>
    </w:p>
    <w:p>
      <w:pPr>
        <w:spacing w:before="40" w:after="200"/>
        <w:jc w:val="center"/>
      </w:pPr>
      <w:r>
        <w:rPr>
          <w:rFonts w:ascii="Arial" w:hAnsi="Arial" w:cs="Arial"/>
          <w:b w:val="0"/>
          <w:i/>
          <w:color w:val="555555"/>
          <w:sz w:val="20"/>
        </w:rPr>
        <w:t>Şekil 9: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27900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2790000"/>
                    </a:xfrm>
                    <a:prstGeom prst="rect"/>
                  </pic:spPr>
                </pic:pic>
              </a:graphicData>
            </a:graphic>
          </wp:inline>
        </w:drawing>
      </w:r>
    </w:p>
    <w:p>
      <w:pPr>
        <w:spacing w:before="40" w:after="200"/>
        <w:jc w:val="center"/>
      </w:pPr>
      <w:r>
        <w:rPr>
          <w:rFonts w:ascii="Arial" w:hAnsi="Arial" w:cs="Arial"/>
          <w:b w:val="0"/>
          <w:i/>
          <w:color w:val="555555"/>
          <w:sz w:val="20"/>
        </w:rPr>
        <w:t>Şekil 10: Tek kameradan eş zamanlı çizgi takibi (üst) ve QR konum hesaplama (alt) hatları</w:t>
      </w:r>
    </w:p>
    <w:p>
      <w:pPr>
        <w:spacing w:after="120"/>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spacing w:before="40" w:after="200"/>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spacing w:before="80" w:after="40"/>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spacing w:before="40" w:after="200"/>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spacing w:before="60" w:after="200"/>
        <w:jc w:val="center"/>
      </w:pPr>
      <w:r>
        <w:rPr>
          <w:rFonts w:ascii="Arial" w:hAnsi="Arial" w:cs="Arial"/>
          <w:b w:val="0"/>
          <w:i/>
          <w:color w:val="555555"/>
          <w:sz w:val="20"/>
        </w:rPr>
        <w:t>Kod 1: Operatör paneli — PLC köprüsü WebSocket sunucusu (bağlantı kabulü ve motor komutu yönlendirme)</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400000" cy="3459375"/>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3459375"/>
                    </a:xfrm>
                    <a:prstGeom prst="rect"/>
                  </pic:spPr>
                </pic:pic>
              </a:graphicData>
            </a:graphic>
          </wp:inline>
        </w:drawing>
      </w:r>
    </w:p>
    <w:p>
      <w:pPr>
        <w:spacing w:before="40" w:after="200"/>
        <w:jc w:val="center"/>
      </w:pPr>
      <w:r>
        <w:rPr>
          <w:rFonts w:ascii="Arial" w:hAnsi="Arial" w:cs="Arial"/>
          <w:b w:val="0"/>
          <w:i/>
          <w:color w:val="555555"/>
          <w:sz w:val="20"/>
        </w:rPr>
        <w:t>Şekil 11: ROS 2 düğüm grafiği ve arayüz katmanı (yazılım mimarisi)</w:t>
      </w:r>
    </w:p>
    <w:p>
      <w:pPr>
        <w:spacing w:before="80" w:after="40"/>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spacing w:before="40" w:after="200"/>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12: Geliştirdiğimiz "OTONOM FORKLİFT GCS" operatör web arayüzü — canlı izleme ekranı</w:t>
      </w:r>
    </w:p>
    <w:p>
      <w:pPr>
        <w:spacing w:before="80" w:after="40"/>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spacing w:before="40" w:after="200"/>
        <w:jc w:val="center"/>
      </w:pPr>
      <w:r>
        <w:rPr>
          <w:rFonts w:ascii="Arial" w:hAnsi="Arial" w:cs="Arial"/>
          <w:b w:val="0"/>
          <w:i/>
          <w:color w:val="555555"/>
          <w:sz w:val="20"/>
        </w:rPr>
        <w:t>Fotoğraf 13: Operatör panelinin (GCS) saha denemesinde canlı çalışması: ekranda harita, rota ve renkli çizgi takibi izleniyor.</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spacing w:before="40" w:after="40"/>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before="80" w:after="40"/>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14: Motor sürücü konfigürasyonu ve ilk hareket testleri; Kelly KLS sürücüler, Arduino ve hub motor tezgâh üzerinde denenirken.</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spacing w:after="60"/>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spacing w:after="60"/>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spacing w:after="60"/>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spacing w:before="40" w:after="40"/>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14: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15: Bütçe dağılımı ve finansman kaynakları</w:t>
      </w:r>
    </w:p>
    <w:p>
      <w:pPr>
        <w:spacing w:after="120"/>
        <w:jc w:val="both"/>
      </w:pPr>
      <w:r>
        <w:rPr>
          <w:rFonts w:ascii="Arial" w:hAnsi="Arial" w:cs="Arial"/>
          <w:b w:val="0"/>
          <w:i w:val="0"/>
          <w:sz w:val="24"/>
        </w:rPr>
        <w:t>Riskleri olasılık × etki matrisine yerleştirip (Şekil 16)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16: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