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3864"/>
          <w:sz w:val="40"/>
          <w:szCs w:val="40"/>
        </w:rPr>
        <w:t xml:space="preserve">W-Digilab, Ürünler</w:t>
      </w:r>
    </w:p>
    <w:p>
      <w:pPr>
        <w:spacing w:after="480"/>
        <w:jc w:val="center"/>
      </w:pPr>
      <w:r>
        <w:rPr>
          <w:i/>
          <w:iCs/>
          <w:color w:val="595959"/>
          <w:sz w:val="24"/>
          <w:szCs w:val="24"/>
        </w:rPr>
        <w:t xml:space="preserve">Products · Produkte</w:t>
      </w:r>
    </w:p>
    <w:p>
      <w:pPr>
        <w:pStyle w:val="Heading1"/>
      </w:pPr>
      <w:r>
        <w:t xml:space="preserve">01. Akıllı Operasyonel ve Performans Platformu</w:t>
      </w:r>
    </w:p>
    <w:p>
      <w:pPr>
        <w:pStyle w:val="Heading2"/>
      </w:pPr>
      <w:r>
        <w:t xml:space="preserve">Türkçe: Akıllı Operasyonel ve Performans Platformu</w:t>
      </w:r>
    </w:p>
    <w:p>
      <w:pPr>
        <w:spacing w:after="120"/>
      </w:pPr>
      <w:r>
        <w:rPr>
          <w:b/>
          <w:bCs/>
        </w:rPr>
        <w:t xml:space="preserve">Tanım: </w:t>
      </w:r>
      <w:r>
        <w:t xml:space="preserve">Şirketin tüm operasyonel süreçlerini (iş akışları, denetim, tedarikçi yönetimi, üretim planlama) ve karar destek katmanını (kurumsal bilgi bankası, öngörücü performans paneli) tek bir dijital çatıda birleştiren modüler işletim ve zekâ platformudur. Operasyon tarafı; kağıt formlar, Excel dosyaları ve e-posta onaylarıyla yürüyen süreçleri rol bazlı onay akışları ve yapay zeka doğrulaması olan dijital modüllere taşır. Zekâ tarafı; bu modüllerden, saha sensörlerinden ve kurumsal dokümantasyondan gelen veriyi yapay zeka ile işleyerek hem doğal dilde sorgulanabilir bir bilgi bankası hem de üç karar katmanına (vardiya amiri, bölüm müdürü, üst yönetim) aynı anda hizmet eden öngörücü performans paneli sunar. İki katman aynı veri kaynağını paylaştığı için iş yapma ve kararı izleme arasında kopukluk kalmaz.</w:t>
      </w:r>
    </w:p>
    <w:p>
      <w:pPr>
        <w:spacing w:after="120"/>
      </w:pPr>
      <w:r>
        <w:rPr>
          <w:b/>
          <w:bCs/>
        </w:rPr>
        <w:t xml:space="preserve">Stratejik Avantaj: </w:t>
      </w:r>
      <w:r>
        <w:t xml:space="preserve">Her süreç adımı zaman damgası, kullanıcı bilgisi ve onay zinciriyle kayıt altına alınır; bu kayıtlar hem uçtan uca izlenebilirlik hem de zekâ katmanının veri yakıtı olur. Bir denetimde çıkan bulgu otomatik olarak DÖF akışını tetikler, DÖF aksiyonu ilgili iş akışına yansır, tedarikçi kaynaklı bulgu tedarikçi risk skoruna işlenir; aynı olay anında yönetim panelindeki uyum skorunu ve uyarı listesini günceller. Modüller birlikte çalıştığı için aynı veri iki kez girilmez. Operasyonel sinyaller (form kalitesi, tamamlanma süresi) yetkinlik matrisini otomatik günceller. IATF, VDA ve CSR denetimlerinde talep edilen kanıt dosyaları 1-2 tıkla üretilirken, üst yönetim aynı anda KPI eğilimlerini, ROI takibini ve makine duruş uyarılarını tek panelden izler. Kurumsal hafıza kişilerden bağımsız hale gelir: kıdemli mühendisin "neden böyle yapıyoruz" bilgisi belgelere ve soru-cevap kayıtlarına aktarılır, sistem yalnızca güncel doküman revizyonundan cevap üretir.</w:t>
      </w:r>
    </w:p>
    <w:p>
      <w:pPr>
        <w:spacing w:after="80" w:before="80"/>
      </w:pPr>
      <w:r>
        <w:rPr>
          <w:b/>
          <w:bCs/>
        </w:rPr>
        <w:t xml:space="preserve">Kullanım Alanları:</w:t>
      </w:r>
    </w:p>
    <w:p>
      <w:pPr>
        <w:pStyle w:val="ListParagraph"/>
        <w:numPr>
          <w:ilvl w:val="0"/>
          <w:numId w:val="2"/>
        </w:numPr>
        <w:spacing w:after="60"/>
      </w:pPr>
      <w:r>
        <w:t xml:space="preserve">Dijital İş Akışları: 8D ve Balık Kılçığı (Fishbone) ile Müşteri Şikayeti Yönetimi, DÖF, MOC (Management of Change) onay zincirleri, Katmanlı Süreç Denetimi (LPA) ve saha uygunsuzluk raporlama.</w:t>
      </w:r>
    </w:p>
    <w:p>
      <w:pPr>
        <w:pStyle w:val="ListParagraph"/>
        <w:numPr>
          <w:ilvl w:val="0"/>
          <w:numId w:val="2"/>
        </w:numPr>
        <w:spacing w:after="60"/>
      </w:pPr>
      <w:r>
        <w:t xml:space="preserve">İç Denetim ve Yönetişim: Yıllık denetim programı yönetimi; sistem, proses ve ürün denetimleri; CSR ve 2. taraf tedarikçi denetimleri; VDA 6.3 ve IATF 16949 dinamik checklistler.</w:t>
      </w:r>
    </w:p>
    <w:p>
      <w:pPr>
        <w:pStyle w:val="ListParagraph"/>
        <w:numPr>
          <w:ilvl w:val="0"/>
          <w:numId w:val="2"/>
        </w:numPr>
        <w:spacing w:after="60"/>
      </w:pPr>
      <w:r>
        <w:t xml:space="preserve">Tedarikçi Risk ve Performans: Canlı risk skoru (PPM, OTD, finansal, lojistik, coğrafi), scorecard yönetimi, otomatik gelişim planları ve 2. taraf denetim tetikleme.</w:t>
      </w:r>
    </w:p>
    <w:p>
      <w:pPr>
        <w:pStyle w:val="ListParagraph"/>
        <w:numPr>
          <w:ilvl w:val="0"/>
          <w:numId w:val="2"/>
        </w:numPr>
        <w:spacing w:after="60"/>
      </w:pPr>
      <w:r>
        <w:t xml:space="preserve">Akıllı Üretim Planlama: Makine kapasitesi, hammadde, vardiya ve termini birlikte optimize eden dinamik çizelgeleme; "What-If" senaryoları ve MES/SCADA entegrasyonu.</w:t>
      </w:r>
    </w:p>
    <w:p>
      <w:pPr>
        <w:pStyle w:val="ListParagraph"/>
        <w:numPr>
          <w:ilvl w:val="0"/>
          <w:numId w:val="2"/>
        </w:numPr>
        <w:spacing w:after="60"/>
      </w:pPr>
      <w:r>
        <w:t xml:space="preserve">Yetkinlik ve Yedekleme: Dijital iş akışı verilerinden beslenen objektif ILU matrisi; sertifika geçerlilik takibi; kritik pozisyonlar için otomatik yedekleme alarmı.</w:t>
      </w:r>
    </w:p>
    <w:p>
      <w:pPr>
        <w:pStyle w:val="ListParagraph"/>
        <w:numPr>
          <w:ilvl w:val="0"/>
          <w:numId w:val="2"/>
        </w:numPr>
        <w:spacing w:after="60"/>
      </w:pPr>
      <w:r>
        <w:t xml:space="preserve">AI Destekli Bilgi Sorgulama (RAG): Teknik standart, prosedür, 8D kaydı ve çözüm arşivi üzerinde doğal dil sorgulama; kaynak referanslı cevap üretimi.</w:t>
      </w:r>
    </w:p>
    <w:p>
      <w:pPr>
        <w:pStyle w:val="ListParagraph"/>
        <w:numPr>
          <w:ilvl w:val="0"/>
          <w:numId w:val="2"/>
        </w:numPr>
        <w:spacing w:after="60"/>
      </w:pPr>
      <w:r>
        <w:t xml:space="preserve">Öngörücü Performans ve Komuta Paneli: IATF/QMS uyum skoru, OEE, enerji tüketimi, makine duruş uyarıları; departman ve fabrika bazlı KPI dashboardları.</w:t>
      </w:r>
    </w:p>
    <w:p>
      <w:pPr>
        <w:pStyle w:val="ListParagraph"/>
        <w:numPr>
          <w:ilvl w:val="0"/>
          <w:numId w:val="2"/>
        </w:numPr>
        <w:spacing w:after="60"/>
      </w:pPr>
      <w:r>
        <w:t xml:space="preserve">Stratejik Yönetişim: OKR/BSC üzerinden hedef yayılımı, 3-6-12 aylık trend analizleri, stratejik yatırım ROI ve ilerleme takibi.</w:t>
      </w:r>
    </w:p>
    <w:p>
      <w:pPr>
        <w:pStyle w:val="ListParagraph"/>
        <w:numPr>
          <w:ilvl w:val="0"/>
          <w:numId w:val="2"/>
        </w:numPr>
        <w:spacing w:after="60"/>
      </w:pPr>
      <w:r>
        <w:t xml:space="preserve">Entegre Eğitim: WStudio video içerikleriyle bağlı etkileşimli onboarding; mühendislik know-how'ının yapılandırılmış Q&amp;A setleriyle dijitalleştirilmesi.</w:t>
      </w:r>
    </w:p>
    <w:p>
      <w:pPr>
        <w:pStyle w:val="ListParagraph"/>
        <w:numPr>
          <w:ilvl w:val="0"/>
          <w:numId w:val="2"/>
        </w:numPr>
        <w:spacing w:after="60"/>
      </w:pPr>
      <w:r>
        <w:t xml:space="preserve">Otomatik Uyarı ve Eskalasyon: Eşik değer aşıldığında ilgili ekibe anlık bildirim; uygunsuzluk tespitinde otomatik DÖF tetikleme.</w:t>
      </w:r>
    </w:p>
    <w:p>
      <w:r>
        <w:t xml:space="preserve"/>
      </w:r>
    </w:p>
    <w:p>
      <w:pPr>
        <w:pStyle w:val="Heading2"/>
      </w:pPr>
      <w:r>
        <w:t xml:space="preserve">English: Smart Operational and Performance Platform</w:t>
      </w:r>
    </w:p>
    <w:p>
      <w:pPr>
        <w:spacing w:after="120"/>
      </w:pPr>
      <w:r>
        <w:rPr>
          <w:b/>
          <w:bCs/>
        </w:rPr>
        <w:t xml:space="preserve">Definition: </w:t>
      </w:r>
      <w:r>
        <w:t xml:space="preserve">A modular operating and intelligence platform that combines all operational processes of the company (workflows, audits, supplier management, production planning) and the decision-support layer (corporate knowledge base, predictive performance dashboard) under a single digital roof. The operational side transfers paper, Excel, and email-based processes into digital modules with role-based approval flows and AI-driven validation. The intelligence side processes data from these modules, shop floor sensors, and corporate documentation through AI to deliver both a knowledge base searchable in natural language and a predictive performance dashboard serving three decision layers simultaneously: shift supervisor, department manager, and executive leadership. Because both layers share the same data source, there is no gap between executing work and tracking the decision behind it.</w:t>
      </w:r>
    </w:p>
    <w:p>
      <w:pPr>
        <w:spacing w:after="120"/>
      </w:pPr>
      <w:r>
        <w:rPr>
          <w:b/>
          <w:bCs/>
        </w:rPr>
        <w:t xml:space="preserve">Strategic Advantage: </w:t>
      </w:r>
      <w:r>
        <w:t xml:space="preserve">Every process step is logged with timestamp, user ID, and approval chain; these logs serve both as end-to-end traceability and as fuel for the intelligence layer. An audit finding automatically triggers the CAPA flow, a CAPA action feeds back into the related workflow, a supplier-originated finding is posted to the supplier risk score, and the same event simultaneously updates the compliance score and the alert list on the executive dashboard. Because modules work together, the same data is never entered twice. Operational signals (form quality, completion time) automatically update the competency matrix. Evidence files required in IATF, VDA, and CSR audits are generated in 1-2 clicks, while executives monitor KPI trends, ROI tracking, and machine downtime alerts on the same panel. Corporate memory becomes independent of individuals: the senior engineer's implicit "why do we do it this way" knowledge is captured into documents and Q&amp;A logs, and the system answers only from the current document revision.</w:t>
      </w:r>
    </w:p>
    <w:p>
      <w:pPr>
        <w:spacing w:after="80" w:before="80"/>
      </w:pPr>
      <w:r>
        <w:rPr>
          <w:b/>
          <w:bCs/>
        </w:rPr>
        <w:t xml:space="preserve">Areas of Use:</w:t>
      </w:r>
    </w:p>
    <w:p>
      <w:pPr>
        <w:pStyle w:val="ListParagraph"/>
        <w:numPr>
          <w:ilvl w:val="0"/>
          <w:numId w:val="2"/>
        </w:numPr>
        <w:spacing w:after="60"/>
      </w:pPr>
      <w:r>
        <w:t xml:space="preserve">Digital Workflows: 8D and Ishikawa-based Customer Complaint Management, CAPA, MOC (Management of Change) approval chains, Layered Process Audit (LPA), and field non-conformance reporting.</w:t>
      </w:r>
    </w:p>
    <w:p>
      <w:pPr>
        <w:pStyle w:val="ListParagraph"/>
        <w:numPr>
          <w:ilvl w:val="0"/>
          <w:numId w:val="2"/>
        </w:numPr>
        <w:spacing w:after="60"/>
      </w:pPr>
      <w:r>
        <w:t xml:space="preserve">Internal Audit &amp; Governance: Annual audit program management; system, process, and product audits; CSR and 2nd party supplier audits; dynamic VDA 6.3 and IATF 16949 checklists.</w:t>
      </w:r>
    </w:p>
    <w:p>
      <w:pPr>
        <w:pStyle w:val="ListParagraph"/>
        <w:numPr>
          <w:ilvl w:val="0"/>
          <w:numId w:val="2"/>
        </w:numPr>
        <w:spacing w:after="60"/>
      </w:pPr>
      <w:r>
        <w:t xml:space="preserve">Supplier Risk &amp; Performance: Live risk score (PPM, OTD, financial, logistic, geographic), scorecard management, auto-launched development plans, and 2nd party audit triggering.</w:t>
      </w:r>
    </w:p>
    <w:p>
      <w:pPr>
        <w:pStyle w:val="ListParagraph"/>
        <w:numPr>
          <w:ilvl w:val="0"/>
          <w:numId w:val="2"/>
        </w:numPr>
        <w:spacing w:after="60"/>
      </w:pPr>
      <w:r>
        <w:t xml:space="preserve">Intelligent Production Scheduling: Dynamic scheduling that jointly optimizes machine capacity, raw material, shifts, and lead times; "What-If" scenarios and MES/SCADA integration.</w:t>
      </w:r>
    </w:p>
    <w:p>
      <w:pPr>
        <w:pStyle w:val="ListParagraph"/>
        <w:numPr>
          <w:ilvl w:val="0"/>
          <w:numId w:val="2"/>
        </w:numPr>
        <w:spacing w:after="60"/>
      </w:pPr>
      <w:r>
        <w:t xml:space="preserve">Competency &amp; Backup: Objective ILU matrix fed by digital workflow data; certificate validity tracking; automated backup alerts for critical positions.</w:t>
      </w:r>
    </w:p>
    <w:p>
      <w:pPr>
        <w:pStyle w:val="ListParagraph"/>
        <w:numPr>
          <w:ilvl w:val="0"/>
          <w:numId w:val="2"/>
        </w:numPr>
        <w:spacing w:after="60"/>
      </w:pPr>
      <w:r>
        <w:t xml:space="preserve">AI-Powered Knowledge Querying (RAG): Natural language search across technical standards, procedures, 8D logs, and solution archives; answer generation with source references.</w:t>
      </w:r>
    </w:p>
    <w:p>
      <w:pPr>
        <w:pStyle w:val="ListParagraph"/>
        <w:numPr>
          <w:ilvl w:val="0"/>
          <w:numId w:val="2"/>
        </w:numPr>
        <w:spacing w:after="60"/>
      </w:pPr>
      <w:r>
        <w:t xml:space="preserve">Predictive Performance &amp; Command Dashboard: IATF/QMS compliance scoring, OEE, energy consumption, machine downtime alerts; department- and plant-level KPI dashboards.</w:t>
      </w:r>
    </w:p>
    <w:p>
      <w:pPr>
        <w:pStyle w:val="ListParagraph"/>
        <w:numPr>
          <w:ilvl w:val="0"/>
          <w:numId w:val="2"/>
        </w:numPr>
        <w:spacing w:after="60"/>
      </w:pPr>
      <w:r>
        <w:t xml:space="preserve">Strategic Governance: OKR/BSC-based goal deployment, 3-6-12-month trend analyses, strategic investment ROI and progress tracking.</w:t>
      </w:r>
    </w:p>
    <w:p>
      <w:pPr>
        <w:pStyle w:val="ListParagraph"/>
        <w:numPr>
          <w:ilvl w:val="0"/>
          <w:numId w:val="2"/>
        </w:numPr>
        <w:spacing w:after="60"/>
      </w:pPr>
      <w:r>
        <w:t xml:space="preserve">Integrated Training: Interactive onboarding connected with WStudio video content; digitalization of engineering know-how through structured Q&amp;A sets.</w:t>
      </w:r>
    </w:p>
    <w:p>
      <w:pPr>
        <w:pStyle w:val="ListParagraph"/>
        <w:numPr>
          <w:ilvl w:val="0"/>
          <w:numId w:val="2"/>
        </w:numPr>
        <w:spacing w:after="60"/>
      </w:pPr>
      <w:r>
        <w:t xml:space="preserve">Automated Alerting &amp; Escalation: Instant notifications when thresholds are breached; automated CAPA triggering upon non-conformance detection.</w:t>
      </w:r>
    </w:p>
    <w:p>
      <w:r>
        <w:t xml:space="preserve"/>
      </w:r>
    </w:p>
    <w:p>
      <w:pPr>
        <w:pStyle w:val="Heading2"/>
      </w:pPr>
      <w:r>
        <w:t xml:space="preserve">Deutsch: Intelligente Betriebs- und Performance-Plattform</w:t>
      </w:r>
    </w:p>
    <w:p>
      <w:pPr>
        <w:spacing w:after="120"/>
      </w:pPr>
      <w:r>
        <w:rPr>
          <w:b/>
          <w:bCs/>
        </w:rPr>
        <w:t xml:space="preserve">Definition: </w:t>
      </w:r>
      <w:r>
        <w:t xml:space="preserve">Eine modulare Betriebs- und Intelligence-Plattform, die alle operativen Prozesse des Unternehmens (Workflows, Audits, Lieferantenmanagement, Produktionsplanung) und die Entscheidungsunterstützungsschicht (Unternehmenswissensbasis, prädiktives Performance-Dashboard) unter einem einzigen digitalen Dach zusammenführt. Die operative Seite überführt papier-, Excel- und E-Mail-basierte Prozesse in digitale Module mit rollenbasierten Genehmigungsworkflows und KI-gestützter Validierung. Die Intelligence-Seite verarbeitet Daten aus diesen Modulen, Produktionssensoren und Unternehmensdokumentation mittels KI und liefert sowohl eine in natürlicher Sprache durchsuchbare Wissensbasis als auch ein prädiktives Performance-Dashboard, das drei Entscheidungsebenen gleichzeitig bedient: Schichtleitung, Abteilungsleitung und Geschäftsführung. Da beide Ebenen dieselbe Datenquelle teilen, entsteht keine Lücke zwischen Ausführung und Entscheidungsverfolgung.</w:t>
      </w:r>
    </w:p>
    <w:p>
      <w:pPr>
        <w:spacing w:after="120"/>
      </w:pPr>
      <w:r>
        <w:rPr>
          <w:b/>
          <w:bCs/>
        </w:rPr>
        <w:t xml:space="preserve">Strategischer Vorteil: </w:t>
      </w:r>
      <w:r>
        <w:t xml:space="preserve">Jeder Prozessschritt wird mit Zeitstempel, Benutzer-ID und Genehmigungskette protokolliert; diese Protokolle dienen sowohl als durchgängige Rückverfolgbarkeit als auch als Datentreibstoff für die Intelligence-Schicht. Ein Auditbefund löst automatisch den CAPA-Workflow aus, eine CAPA-Maßnahme fließt in den zugehörigen Prozess zurück, ein lieferantenbezogener Befund wirkt sich auf den Lieferanten-Risiko-Score aus, und dasselbe Ereignis aktualisiert gleichzeitig den Compliance-Score und die Warnliste im Führungs-Dashboard. Da die Module zusammenarbeiten, werden dieselben Daten nie zweimal erfasst. Operative Signale (Formularqualität, Bearbeitungszeit) aktualisieren automatisch die Kompetenzmatrix. Die in IATF-, VDA- und CSR-Audits geforderten Nachweisdokumente werden in 1-2 Klicks erzeugt, während die Geschäftsführung KPI-Trends, ROI-Tracking und Maschinenausfall-Warnungen im selben Panel verfolgt. Das Unternehmenswissen wird personenunabhängig: Das implizite "Warum machen wir das so"-Wissen erfahrener Ingenieure wird in Dokumenten und Q&amp;A-Protokollen erfasst, und das System antwortet nur aus der aktuellen Dokumentenrevision.</w:t>
      </w:r>
    </w:p>
    <w:p>
      <w:pPr>
        <w:spacing w:after="80" w:before="80"/>
      </w:pPr>
      <w:r>
        <w:rPr>
          <w:b/>
          <w:bCs/>
        </w:rPr>
        <w:t xml:space="preserve">Anwendungsbereiche:</w:t>
      </w:r>
    </w:p>
    <w:p>
      <w:pPr>
        <w:pStyle w:val="ListParagraph"/>
        <w:numPr>
          <w:ilvl w:val="0"/>
          <w:numId w:val="2"/>
        </w:numPr>
        <w:spacing w:after="60"/>
      </w:pPr>
      <w:r>
        <w:t xml:space="preserve">Digitale Workflows: 8D- und Ishikawa-basiertes Reklamationsmanagement, CAPA, MOC-Genehmigungsketten (Management of Change), Layered Process Audit (LPA) und Meldesysteme für Nichtkonformitäten vor Ort.</w:t>
      </w:r>
    </w:p>
    <w:p>
      <w:pPr>
        <w:pStyle w:val="ListParagraph"/>
        <w:numPr>
          <w:ilvl w:val="0"/>
          <w:numId w:val="2"/>
        </w:numPr>
        <w:spacing w:after="60"/>
      </w:pPr>
      <w:r>
        <w:t xml:space="preserve">Internal Audit &amp; Governance: Management des jährlichen Auditprogramms; System-, Prozess- und Produktaudits; CSR- und 2nd-Party-Lieferantenaudits; dynamische VDA 6.3- und IATF 16949-Checklisten.</w:t>
      </w:r>
    </w:p>
    <w:p>
      <w:pPr>
        <w:pStyle w:val="ListParagraph"/>
        <w:numPr>
          <w:ilvl w:val="0"/>
          <w:numId w:val="2"/>
        </w:numPr>
        <w:spacing w:after="60"/>
      </w:pPr>
      <w:r>
        <w:t xml:space="preserve">Supplier Risk &amp; Performance: Live-Risiko-Score (PPM, OTD, finanziell, logistisch, geografisch), Scorecard-Management, automatisierte Entwicklungspläne und Auslösung von 2nd-Party-Audits.</w:t>
      </w:r>
    </w:p>
    <w:p>
      <w:pPr>
        <w:pStyle w:val="ListParagraph"/>
        <w:numPr>
          <w:ilvl w:val="0"/>
          <w:numId w:val="2"/>
        </w:numPr>
        <w:spacing w:after="60"/>
      </w:pPr>
      <w:r>
        <w:t xml:space="preserve">Intelligente Produktionsplanung: Dynamische Terminierung, die Maschinenkapazität, Rohstoffe, Schichten und Lieferfristen gemeinsam optimiert; "What-If"-Szenarien und MES/SCADA-Integration.</w:t>
      </w:r>
    </w:p>
    <w:p>
      <w:pPr>
        <w:pStyle w:val="ListParagraph"/>
        <w:numPr>
          <w:ilvl w:val="0"/>
          <w:numId w:val="2"/>
        </w:numPr>
        <w:spacing w:after="60"/>
      </w:pPr>
      <w:r>
        <w:t xml:space="preserve">Kompetenz &amp; Vertretung: Objektive ILU-Matrix, gespeist aus digitalen Workflow-Daten; Verfolgung der Zertifikatsgültigkeit; automatische Backup-Alarme für kritische Positionen.</w:t>
      </w:r>
    </w:p>
    <w:p>
      <w:pPr>
        <w:pStyle w:val="ListParagraph"/>
        <w:numPr>
          <w:ilvl w:val="0"/>
          <w:numId w:val="2"/>
        </w:numPr>
        <w:spacing w:after="60"/>
      </w:pPr>
      <w:r>
        <w:t xml:space="preserve">KI-gestützte Wissensabfrage (RAG): Abfrage technischer Standards, Verfahren, 8D-Protokolle und Lösungsarchive in natürlicher Sprache; Antworten mit Quellenangaben.</w:t>
      </w:r>
    </w:p>
    <w:p>
      <w:pPr>
        <w:pStyle w:val="ListParagraph"/>
        <w:numPr>
          <w:ilvl w:val="0"/>
          <w:numId w:val="2"/>
        </w:numPr>
        <w:spacing w:after="60"/>
      </w:pPr>
      <w:r>
        <w:t xml:space="preserve">Prädiktives Performance- und Command-Dashboard: IATF/QMS-Compliance-Score, OEE, Energieverbrauch, Maschinenausfall-Warnungen; abteilungs- und werksbezogene KPI-Dashboards.</w:t>
      </w:r>
    </w:p>
    <w:p>
      <w:pPr>
        <w:pStyle w:val="ListParagraph"/>
        <w:numPr>
          <w:ilvl w:val="0"/>
          <w:numId w:val="2"/>
        </w:numPr>
        <w:spacing w:after="60"/>
      </w:pPr>
      <w:r>
        <w:t xml:space="preserve">Strategische Governance: OKR/BSC-basierte Zielkaskadierung, 3-6-12-Monats-Trendanalysen, ROI und Fortschritts-Tracking strategischer Investitionen.</w:t>
      </w:r>
    </w:p>
    <w:p>
      <w:pPr>
        <w:pStyle w:val="ListParagraph"/>
        <w:numPr>
          <w:ilvl w:val="0"/>
          <w:numId w:val="2"/>
        </w:numPr>
        <w:spacing w:after="60"/>
      </w:pPr>
      <w:r>
        <w:t xml:space="preserve">Integrierte Schulung: Interaktives Onboarding verbunden mit WStudio-Videoinhalten; Digitalisierung von Engineering-Know-how durch strukturierte Q&amp;A-Sätze.</w:t>
      </w:r>
    </w:p>
    <w:p>
      <w:pPr>
        <w:pStyle w:val="ListParagraph"/>
        <w:numPr>
          <w:ilvl w:val="0"/>
          <w:numId w:val="2"/>
        </w:numPr>
        <w:spacing w:after="60"/>
      </w:pPr>
      <w:r>
        <w:t xml:space="preserve">Automatisierte Warnung und Eskalation: Sofortbenachrichtigungen bei Schwellenwertüberschreitungen; automatisches CAPA-Triggern bei Erkennung von Nichtkonformitäten.</w:t>
      </w:r>
    </w:p>
    <w:p>
      <w:r>
        <w:t xml:space="preserve"/>
      </w:r>
    </w:p>
    <w:p>
      <w:pPr>
        <w:pStyle w:val="Heading1"/>
      </w:pPr>
      <w:r>
        <w:t xml:space="preserve">02. Blokzincir Ürünleri</w:t>
      </w:r>
    </w:p>
    <w:p>
      <w:pPr>
        <w:pStyle w:val="Heading2"/>
      </w:pPr>
      <w:r>
        <w:t xml:space="preserve">Türkçe: Blokzincir Ürünleri</w:t>
      </w:r>
    </w:p>
    <w:p>
      <w:pPr>
        <w:spacing w:after="120"/>
      </w:pPr>
      <w:r>
        <w:rPr>
          <w:b/>
          <w:bCs/>
        </w:rPr>
        <w:t xml:space="preserve">Tanım: </w:t>
      </w:r>
      <w:r>
        <w:t xml:space="preserve">Blockchain teknolojisinin kurumsal dünyada en doğrudan değer ürettiği üç alanı tek bir ürün ailesinde toplar: varlık ve değer tokenizasyonu, merkeziyetsiz yönetişim (DAO) sistemleri ve akıllı sözleşmelerle otomatik çalışan iş kuralları. Şirketlerin bu araçları kendi yapılarına kontrollü biçimde entegre etmesini sağlayan modüler bir çözüm paketidir. Operasyonel ve Performans Platformundan (01) bağımsız çalışır; kendi iş mantığı ve ekonomik modeli vardır.</w:t>
      </w:r>
    </w:p>
    <w:p>
      <w:pPr>
        <w:spacing w:after="120"/>
      </w:pPr>
      <w:r>
        <w:rPr>
          <w:b/>
          <w:bCs/>
        </w:rPr>
        <w:t xml:space="preserve">Stratejik Avantaj: </w:t>
      </w:r>
      <w:r>
        <w:t xml:space="preserve">Merkezi otoriteye veya tek bir sisteme güvenmenin yeterli olmadığı senaryolarda devreye girer. Bir yatırım kararı tokenize edilmiş oyla alınabilir, bir teşvik programı token olarak dağıtılabilir, bir işbirliği sözleşmesi kendi kendine çalışan smart contract olarak kodlanabilir. Karar ve işlem geçmişi değiştirilemez şekilde on-chain kaydedildiği için, özellikle çok taraflı yapılarda (ortak girişim, konsorsiyum, tedarikçi ağı) güven ihtiyacını ortadan kaldırır; manuel onay döngülerini ve ara güven katmanlarını kısaltır.</w:t>
      </w:r>
    </w:p>
    <w:p>
      <w:pPr>
        <w:spacing w:after="80" w:before="80"/>
      </w:pPr>
      <w:r>
        <w:rPr>
          <w:b/>
          <w:bCs/>
        </w:rPr>
        <w:t xml:space="preserve">Kullanım Alanları:</w:t>
      </w:r>
    </w:p>
    <w:p>
      <w:pPr>
        <w:pStyle w:val="ListParagraph"/>
        <w:numPr>
          <w:ilvl w:val="0"/>
          <w:numId w:val="2"/>
        </w:numPr>
        <w:spacing w:after="60"/>
      </w:pPr>
      <w:r>
        <w:t xml:space="preserve">Varlık ve Değer Tokenizasyonu: Fabrika ekipmanları, envanter, fikri mülkiyet ve finansal varlıkların blockchain üzerinde tokenlere dönüştürülmesi; kısmi mülkiyet, ikincil piyasa ve otomatik transferler mümkün hale gelir.</w:t>
      </w:r>
    </w:p>
    <w:p>
      <w:pPr>
        <w:pStyle w:val="ListParagraph"/>
        <w:numPr>
          <w:ilvl w:val="0"/>
          <w:numId w:val="2"/>
        </w:numPr>
        <w:spacing w:after="60"/>
      </w:pPr>
      <w:r>
        <w:t xml:space="preserve">DAO Tabanlı Kurumsal Yönetişim: Kritik kararların (yatırım onayı, bütçe tahsisi, stratejik yön) tokenize oy hakları üzerinden alınması; karar geçmişi ve oy dağılımı on-chain, şeffaf ve değiştirilemez.</w:t>
      </w:r>
    </w:p>
    <w:p>
      <w:pPr>
        <w:pStyle w:val="ListParagraph"/>
        <w:numPr>
          <w:ilvl w:val="0"/>
          <w:numId w:val="2"/>
        </w:numPr>
        <w:spacing w:after="60"/>
      </w:pPr>
      <w:r>
        <w:t xml:space="preserve">Akıllı Sözleşmeler (Smart Contracts): Ödeme, teslimat, hakediş ve bonus gibi koşullu işlemlerin kod olarak yazılıp koşul oluştuğunda otomatik tetiklenmesi; manuel onay döngüsünü kısaltır veya ortadan kaldırır.</w:t>
      </w:r>
    </w:p>
    <w:p>
      <w:pPr>
        <w:pStyle w:val="ListParagraph"/>
        <w:numPr>
          <w:ilvl w:val="0"/>
          <w:numId w:val="2"/>
        </w:numPr>
        <w:spacing w:after="60"/>
      </w:pPr>
      <w:r>
        <w:t xml:space="preserve">Çoklu-Taraf İşbirliği ve Konsorsiyum Yönetimi: Ortak girişim, tedarikçi konsorsiyumu veya sektörel ittifaklar için merkeziyetsiz karar defterleri; hiçbir tarafın tek başına manipüle edemeyeceği ortak yönetişim.</w:t>
      </w:r>
    </w:p>
    <w:p>
      <w:pPr>
        <w:pStyle w:val="ListParagraph"/>
        <w:numPr>
          <w:ilvl w:val="0"/>
          <w:numId w:val="2"/>
        </w:numPr>
        <w:spacing w:after="60"/>
      </w:pPr>
      <w:r>
        <w:t xml:space="preserve">Token Bazlı Teşvik ve Sadakat Sistemleri: Çalışan performansı, tedarikçi başarısı veya müşteri bağlılığı gibi alanlarda ölçülebilir değerin token olarak dağıtılması ve ekosistem içinde kullanılabilmesi.</w:t>
      </w:r>
    </w:p>
    <w:p>
      <w:pPr>
        <w:pStyle w:val="ListParagraph"/>
        <w:numPr>
          <w:ilvl w:val="0"/>
          <w:numId w:val="2"/>
        </w:numPr>
        <w:spacing w:after="60"/>
      </w:pPr>
      <w:r>
        <w:t xml:space="preserve">Merkeziyetsiz Kimlik ve Yetki (DID): Kullanıcı kimliklerinin ve erişim haklarının merkezi veritabanı yerine dağıtık kimlik sistemleriyle yönetilmesi; şirketler arası güvenli ve taşınabilir kimlik doğrulama.</w:t>
      </w:r>
    </w:p>
    <w:p>
      <w:r>
        <w:t xml:space="preserve"/>
      </w:r>
    </w:p>
    <w:p>
      <w:pPr>
        <w:pStyle w:val="Heading2"/>
      </w:pPr>
      <w:r>
        <w:t xml:space="preserve">English: Blockchain Products</w:t>
      </w:r>
    </w:p>
    <w:p>
      <w:pPr>
        <w:spacing w:after="120"/>
      </w:pPr>
      <w:r>
        <w:rPr>
          <w:b/>
          <w:bCs/>
        </w:rPr>
        <w:t xml:space="preserve">Definition: </w:t>
      </w:r>
      <w:r>
        <w:t xml:space="preserve">Consolidates the three areas where blockchain technology generates the most direct value in the corporate world into a single product family: tokenization of assets and value, decentralized governance (DAO) systems, and business rules executed automatically via smart contracts. A modular solution suite that enables companies to integrate these tools into their own structures in a controlled way. Operates independently of the Operational and Performance Platform (01); has its own business logic and economic model.</w:t>
      </w:r>
    </w:p>
    <w:p>
      <w:pPr>
        <w:spacing w:after="120"/>
      </w:pPr>
      <w:r>
        <w:rPr>
          <w:b/>
          <w:bCs/>
        </w:rPr>
        <w:t xml:space="preserve">Strategic Advantage: </w:t>
      </w:r>
      <w:r>
        <w:t xml:space="preserve">Activates in scenarios where trusting a central authority or a single system is not sufficient. An investment decision can be made through tokenized voting; an incentive program can be distributed as tokens; a collaboration agreement can be encoded as a self-executing smart contract. Because decision and transaction history is recorded on-chain immutably, it eliminates the trust gap, particularly in multi-party structures (joint ventures, consortia, supplier networks), and shortens manual approval loops and intermediate trust layers.</w:t>
      </w:r>
    </w:p>
    <w:p>
      <w:pPr>
        <w:spacing w:after="80" w:before="80"/>
      </w:pPr>
      <w:r>
        <w:rPr>
          <w:b/>
          <w:bCs/>
        </w:rPr>
        <w:t xml:space="preserve">Areas of Use:</w:t>
      </w:r>
    </w:p>
    <w:p>
      <w:pPr>
        <w:pStyle w:val="ListParagraph"/>
        <w:numPr>
          <w:ilvl w:val="0"/>
          <w:numId w:val="2"/>
        </w:numPr>
        <w:spacing w:after="60"/>
      </w:pPr>
      <w:r>
        <w:t xml:space="preserve">Asset &amp; Value Tokenization: Converting factory equipment, inventory, intellectual property, and financial assets into tokens on the blockchain; enables fractional ownership, secondary markets, and automated transfers.</w:t>
      </w:r>
    </w:p>
    <w:p>
      <w:pPr>
        <w:pStyle w:val="ListParagraph"/>
        <w:numPr>
          <w:ilvl w:val="0"/>
          <w:numId w:val="2"/>
        </w:numPr>
        <w:spacing w:after="60"/>
      </w:pPr>
      <w:r>
        <w:t xml:space="preserve">DAO-Based Corporate Governance: Critical decisions (investment approval, budget allocation, strategic direction) made through tokenized voting rights; decision history and voting distribution recorded on-chain, transparent and immutable.</w:t>
      </w:r>
    </w:p>
    <w:p>
      <w:pPr>
        <w:pStyle w:val="ListParagraph"/>
        <w:numPr>
          <w:ilvl w:val="0"/>
          <w:numId w:val="2"/>
        </w:numPr>
        <w:spacing w:after="60"/>
      </w:pPr>
      <w:r>
        <w:t xml:space="preserve">Smart Contracts: Conditional transactions such as payments, deliveries, progress payments, and bonuses encoded and automatically triggered when conditions are met; shortens or eliminates the manual approval loop.</w:t>
      </w:r>
    </w:p>
    <w:p>
      <w:pPr>
        <w:pStyle w:val="ListParagraph"/>
        <w:numPr>
          <w:ilvl w:val="0"/>
          <w:numId w:val="2"/>
        </w:numPr>
        <w:spacing w:after="60"/>
      </w:pPr>
      <w:r>
        <w:t xml:space="preserve">Multi-Party Collaboration &amp; Consortium Management: Decentralized decision ledgers for joint ventures, supplier consortia, or industry alliances; shared governance where no single party can unilaterally manipulate outcomes.</w:t>
      </w:r>
    </w:p>
    <w:p>
      <w:pPr>
        <w:pStyle w:val="ListParagraph"/>
        <w:numPr>
          <w:ilvl w:val="0"/>
          <w:numId w:val="2"/>
        </w:numPr>
        <w:spacing w:after="60"/>
      </w:pPr>
      <w:r>
        <w:t xml:space="preserve">Token-Based Incentive &amp; Loyalty Systems: Distribution of measurable value as tokens across areas such as employee performance, supplier success, or customer loyalty, usable within the ecosystem.</w:t>
      </w:r>
    </w:p>
    <w:p>
      <w:pPr>
        <w:pStyle w:val="ListParagraph"/>
        <w:numPr>
          <w:ilvl w:val="0"/>
          <w:numId w:val="2"/>
        </w:numPr>
        <w:spacing w:after="60"/>
      </w:pPr>
      <w:r>
        <w:t xml:space="preserve">Decentralized Identity &amp; Access (DID): Managing user identities and access rights through distributed identity systems rather than centralized databases; secure and portable authentication across companies.</w:t>
      </w:r>
    </w:p>
    <w:p>
      <w:r>
        <w:t xml:space="preserve"/>
      </w:r>
    </w:p>
    <w:p>
      <w:pPr>
        <w:pStyle w:val="Heading2"/>
      </w:pPr>
      <w:r>
        <w:t xml:space="preserve">Deutsch: Blockchain-Produkte</w:t>
      </w:r>
    </w:p>
    <w:p>
      <w:pPr>
        <w:spacing w:after="120"/>
      </w:pPr>
      <w:r>
        <w:rPr>
          <w:b/>
          <w:bCs/>
        </w:rPr>
        <w:t xml:space="preserve">Definition: </w:t>
      </w:r>
      <w:r>
        <w:t xml:space="preserve">Bündelt die drei Bereiche, in denen Blockchain-Technologie in der Unternehmenswelt den direktesten Mehrwert erzeugt, in einer einzigen Produktfamilie: Tokenisierung von Vermögenswerten und Werten, dezentrale Governance-Systeme (DAO) und Geschäftsregeln, die über Smart Contracts automatisch ausgeführt werden. Eine modulare Lösungssuite, die es Unternehmen ermöglicht, diese Werkzeuge kontrolliert in ihre eigenen Strukturen zu integrieren. Arbeitet unabhängig von der Betriebs- und Performance-Plattform (01); verfügt über eigene Geschäftslogik und ein eigenes wirtschaftliches Modell.</w:t>
      </w:r>
    </w:p>
    <w:p>
      <w:pPr>
        <w:spacing w:after="120"/>
      </w:pPr>
      <w:r>
        <w:rPr>
          <w:b/>
          <w:bCs/>
        </w:rPr>
        <w:t xml:space="preserve">Strategischer Vorteil: </w:t>
      </w:r>
      <w:r>
        <w:t xml:space="preserve">Wird in Szenarien aktiv, in denen das Vertrauen in eine zentrale Autorität oder ein einzelnes System nicht ausreicht. Eine Investitionsentscheidung kann über tokenisierte Abstimmungen getroffen werden; ein Anreizprogramm kann als Token verteilt werden; eine Kooperationsvereinbarung kann als selbstausführender Smart Contract kodiert werden. Da Entscheidungs- und Transaktionshistorie on-chain unveränderlich aufgezeichnet wird, eliminiert sie die Vertrauenslücke, insbesondere in Mehrparteienstrukturen (Joint Ventures, Konsortien, Lieferantennetzwerke), und verkürzt manuelle Genehmigungsschleifen sowie zwischengeschaltete Vertrauensebenen.</w:t>
      </w:r>
    </w:p>
    <w:p>
      <w:pPr>
        <w:spacing w:after="80" w:before="80"/>
      </w:pPr>
      <w:r>
        <w:rPr>
          <w:b/>
          <w:bCs/>
        </w:rPr>
        <w:t xml:space="preserve">Anwendungsbereiche:</w:t>
      </w:r>
    </w:p>
    <w:p>
      <w:pPr>
        <w:pStyle w:val="ListParagraph"/>
        <w:numPr>
          <w:ilvl w:val="0"/>
          <w:numId w:val="2"/>
        </w:numPr>
        <w:spacing w:after="60"/>
      </w:pPr>
      <w:r>
        <w:t xml:space="preserve">Asset- und Werttokenisierung: Umwandlung von Fabrikausrüstung, Inventar, geistigem Eigentum und finanziellen Vermögenswerten in Tokens auf der Blockchain; ermöglicht fraktionales Eigentum, Sekundärmärkte und automatisierte Transfers.</w:t>
      </w:r>
    </w:p>
    <w:p>
      <w:pPr>
        <w:pStyle w:val="ListParagraph"/>
        <w:numPr>
          <w:ilvl w:val="0"/>
          <w:numId w:val="2"/>
        </w:numPr>
        <w:spacing w:after="60"/>
      </w:pPr>
      <w:r>
        <w:t xml:space="preserve">DAO-basierte Unternehmens-Governance: Kritische Entscheidungen (Investitionsgenehmigung, Budgetzuweisung, strategische Ausrichtung) werden über tokenisierte Stimmrechte getroffen; Entscheidungshistorie und Stimmverteilung werden on-chain aufgezeichnet, transparent und unveränderlich.</w:t>
      </w:r>
    </w:p>
    <w:p>
      <w:pPr>
        <w:pStyle w:val="ListParagraph"/>
        <w:numPr>
          <w:ilvl w:val="0"/>
          <w:numId w:val="2"/>
        </w:numPr>
        <w:spacing w:after="60"/>
      </w:pPr>
      <w:r>
        <w:t xml:space="preserve">Smart Contracts: Bedingte Transaktionen wie Zahlungen, Lieferungen, Abschlagszahlungen und Boni werden als Code geschrieben und automatisch ausgelöst, sobald die Bedingungen erfüllt sind; verkürzt oder eliminiert die manuelle Genehmigungsschleife.</w:t>
      </w:r>
    </w:p>
    <w:p>
      <w:pPr>
        <w:pStyle w:val="ListParagraph"/>
        <w:numPr>
          <w:ilvl w:val="0"/>
          <w:numId w:val="2"/>
        </w:numPr>
        <w:spacing w:after="60"/>
      </w:pPr>
      <w:r>
        <w:t xml:space="preserve">Mehrparteien-Kooperation und Konsortialverwaltung: Dezentrale Entscheidungs-Ledger für Joint Ventures, Lieferantenkonsortien oder Branchenallianzen; geteilte Governance, bei der keine einzelne Partei die Ergebnisse einseitig manipulieren kann.</w:t>
      </w:r>
    </w:p>
    <w:p>
      <w:pPr>
        <w:pStyle w:val="ListParagraph"/>
        <w:numPr>
          <w:ilvl w:val="0"/>
          <w:numId w:val="2"/>
        </w:numPr>
        <w:spacing w:after="60"/>
      </w:pPr>
      <w:r>
        <w:t xml:space="preserve">Token-basierte Anreiz- und Loyalitätssysteme: Verteilung messbaren Werts als Token in Bereichen wie Mitarbeiterleistung, Lieferantenerfolg oder Kundenbindung, innerhalb des Ökosystems nutzbar.</w:t>
      </w:r>
    </w:p>
    <w:p>
      <w:pPr>
        <w:pStyle w:val="ListParagraph"/>
        <w:numPr>
          <w:ilvl w:val="0"/>
          <w:numId w:val="2"/>
        </w:numPr>
        <w:spacing w:after="60"/>
      </w:pPr>
      <w:r>
        <w:t xml:space="preserve">Dezentrale Identität und Zugriff (DID): Verwaltung von Benutzeridentitäten und Zugriffsrechten über verteilte Identitätssysteme anstelle zentralisierter Datenbanken; sichere und portable Authentifizierung über Unternehmensgrenzen hinweg.</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2026-04-28T19:14:42.472Z</dcterms:created>
  <dcterms:modified xsi:type="dcterms:W3CDTF">2026-04-28T19:14:42.472Z</dcterms:modified>
</cp:coreProperties>
</file>

<file path=docProps/custom.xml><?xml version="1.0" encoding="utf-8"?>
<Properties xmlns="http://schemas.openxmlformats.org/officeDocument/2006/custom-properties" xmlns:vt="http://schemas.openxmlformats.org/officeDocument/2006/docPropsVTypes"/>
</file>