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4"/>
          <w:szCs w:val="44"/>
        </w:rPr>
        <w:t xml:space="preserve">W-Quality</w:t>
      </w:r>
    </w:p>
    <w:p>
      <w:pPr>
        <w:spacing w:after="480"/>
        <w:jc w:val="center"/>
      </w:pPr>
      <w:r>
        <w:rPr>
          <w:b/>
          <w:bCs/>
          <w:color w:val="404040"/>
          <w:sz w:val="28"/>
          <w:szCs w:val="28"/>
        </w:rPr>
        <w:t xml:space="preserve">Ürünler</w:t>
      </w:r>
    </w:p>
    <w:p>
      <w:pPr>
        <w:pStyle w:val="Heading1"/>
        <w:spacing w:after="200" w:before="360"/>
      </w:pPr>
      <w:r>
        <w:rPr>
          <w:b/>
          <w:bCs/>
        </w:rPr>
        <w:t xml:space="preserve">01. Operasyonel Mükemmeliyet</w:t>
      </w:r>
    </w:p>
    <w:p>
      <w:pPr>
        <w:pStyle w:val="Heading2"/>
        <w:spacing w:after="160" w:before="280"/>
      </w:pPr>
      <w:r>
        <w:rPr>
          <w:b/>
          <w:bCs/>
        </w:rPr>
        <w:t xml:space="preserve">Türkçe: Operasyonel Mükemmeliyet</w:t>
      </w:r>
    </w:p>
    <w:p>
      <w:pPr>
        <w:spacing w:after="160"/>
      </w:pPr>
      <w:r>
        <w:rPr>
          <w:b/>
          <w:bCs/>
        </w:rPr>
        <w:t xml:space="preserve">Tanım: </w:t>
      </w:r>
      <w:r>
        <w:t xml:space="preserve">Operasyonel Mükemmeliyet; kurumun kalite yönetim sistemini, tedarik zincirini ve stratejik karar mekanizmalarını tek bir disiplin altında birleştiren bütünleşik bir dönüşüm programıdır. Sistem mimarisi (QMS), tedarikçi ekosistemi ve stratejik performans yönetimi; üç ayrı proje olarak değil, aynı operasyonel nefesin üç koordineli kası olarak ele alınır. Süreçler, sorumluluklar, ölçüm noktaları ve onay akışları; ISO 9001, IATF 16949 gibi standartlarla, müşteri özel istekleri (CSR) ile ve VDA 6.3 gibi proses denetim gereklilikleriyle hizalı biçimde, şirketin gerçek iş mantığına özel tasarlanır. Tedarikçiler denetlenen birer maliyet kaleminden, ana sanayinin teknik dilini konuşan partnerlere dönüştürülür. Üst yönetimin stratejik hedefleri ise saha gerçekliğine bağlanır; politika yayılımı (policy deployment), OKR / BSC çerçeveleri ve görsel yönetim ile her seviyeye ortak bir dile çevrilir.</w:t>
      </w:r>
    </w:p>
    <w:p>
      <w:pPr>
        <w:spacing w:after="160"/>
      </w:pPr>
      <w:r>
        <w:rPr>
          <w:b/>
          <w:bCs/>
        </w:rPr>
        <w:t xml:space="preserve">Stratejik Avantaj: </w:t>
      </w:r>
      <w:r>
        <w:t xml:space="preserve">Kalite uyumsuzluk maliyetini (COQ: ret, yeniden işleme, garanti, şikayet) doğrudan hedefler, 3. taraf denetimleri stres üreten bir olay olmaktan çıkarır ve “Sıfır Kritik Bulgu” hedefiyle sertifika geçerliliğini ile pazar erişimini sürekli koruma altında tutar. Tedarik kaynaklı problemleri (giriş ret, hat durdurma, müşteri geri çağırması) kaynağında çözer; kritik parça veya süreçlerde kapasite ve kalite riskini erken tespit ederek krizi patlamadan engeller. Stratejik plan ile operasyonel uygulama arasındaki boşluğu kapatır; “çok hedef, az odak” sorununu aşarak kurumun ivmesini 3-5 kritik hedefte yoğunlaştırır ve karar alma hızını artırır. Süreçleri kurucu kadronun hafızasından çıkararak dokümante, ölçülebilir ve devredilebilir hale getirir; yeni tesis açılışı, M&amp;A entegrasyonu veya OEM müşteri kazanımı gibi eşiklerde operasyonel hazırlığı kanıtlanabilir kılar. Regülasyon değişikliklerini (UNECE, REACH, ESG raporlama) önceden takip ederek uyum boşluğu oluşmadan kapatır.</w:t>
      </w:r>
    </w:p>
    <w:p>
      <w:pPr>
        <w:spacing w:after="120"/>
      </w:pPr>
      <w:r>
        <w:rPr>
          <w:b/>
          <w:bCs/>
        </w:rPr>
        <w:t xml:space="preserve">Kullanım Alanları:</w:t>
      </w:r>
    </w:p>
    <w:p>
      <w:pPr>
        <w:spacing w:after="100" w:before="160"/>
      </w:pPr>
      <w:r>
        <w:rPr>
          <w:b/>
          <w:bCs/>
          <w:i/>
          <w:iCs/>
        </w:rPr>
        <w:t xml:space="preserve">Sistem Mimarisi ve Uyum Güvencesi</w:t>
      </w:r>
    </w:p>
    <w:p>
      <w:pPr>
        <w:pStyle w:val="ListParagraph"/>
        <w:numPr>
          <w:ilvl w:val="0"/>
          <w:numId w:val="2"/>
        </w:numPr>
        <w:spacing w:after="80"/>
      </w:pPr>
      <w:r>
        <w:t xml:space="preserve">QMS Kurulumu, Optimizasyonu ve ISO / IATF Sertifikasyon Hazırlığı.</w:t>
      </w:r>
    </w:p>
    <w:p>
      <w:pPr>
        <w:pStyle w:val="ListParagraph"/>
        <w:numPr>
          <w:ilvl w:val="0"/>
          <w:numId w:val="2"/>
        </w:numPr>
        <w:spacing w:after="80"/>
      </w:pPr>
      <w:r>
        <w:t xml:space="preserve">IATF 16949 Otomotiv Standart Uyumu ve Geçiş Programı (gap analizi, aksiyon planı, denetim koçluğu).</w:t>
      </w:r>
    </w:p>
    <w:p>
      <w:pPr>
        <w:pStyle w:val="ListParagraph"/>
        <w:numPr>
          <w:ilvl w:val="0"/>
          <w:numId w:val="2"/>
        </w:numPr>
        <w:spacing w:after="80"/>
      </w:pPr>
      <w:r>
        <w:t xml:space="preserve">Süreç Haritalama (SIPOC, turtle chart), Darboğaz Analizi ve KPI Tasarımı.</w:t>
      </w:r>
    </w:p>
    <w:p>
      <w:pPr>
        <w:pStyle w:val="ListParagraph"/>
        <w:numPr>
          <w:ilvl w:val="0"/>
          <w:numId w:val="2"/>
        </w:numPr>
        <w:spacing w:after="80"/>
      </w:pPr>
      <w:r>
        <w:t xml:space="preserve">Global Standart Yayılımı (HQ, lokal tesis) ve Çok Lokasyonlu Standartlaştırma.</w:t>
      </w:r>
    </w:p>
    <w:p>
      <w:pPr>
        <w:pStyle w:val="ListParagraph"/>
        <w:numPr>
          <w:ilvl w:val="0"/>
          <w:numId w:val="2"/>
        </w:numPr>
        <w:spacing w:after="80"/>
      </w:pPr>
      <w:r>
        <w:t xml:space="preserve">Sistem, Proses ve Ürün Denetimlerinde Gap Analizi ve Deneme (Mock) Denetimleri.</w:t>
      </w:r>
    </w:p>
    <w:p>
      <w:pPr>
        <w:pStyle w:val="ListParagraph"/>
        <w:numPr>
          <w:ilvl w:val="0"/>
          <w:numId w:val="2"/>
        </w:numPr>
        <w:spacing w:after="80"/>
      </w:pPr>
      <w:r>
        <w:t xml:space="preserve">VDA 6.3 Proses Denetimi Hazırlığı ve Müşteri Özel İsteklerinin (CSR) Denetim Programına Entegrasyonu.</w:t>
      </w:r>
    </w:p>
    <w:p>
      <w:pPr>
        <w:pStyle w:val="ListParagraph"/>
        <w:numPr>
          <w:ilvl w:val="0"/>
          <w:numId w:val="2"/>
        </w:numPr>
        <w:spacing w:after="80"/>
      </w:pPr>
      <w:r>
        <w:t xml:space="preserve">Yasal Mevzuat ve Teknik Regülasyon Uyum Danışmanlığı (UNECE, REACH, ESG).</w:t>
      </w:r>
    </w:p>
    <w:p>
      <w:pPr>
        <w:pStyle w:val="ListParagraph"/>
        <w:numPr>
          <w:ilvl w:val="0"/>
          <w:numId w:val="2"/>
        </w:numPr>
        <w:spacing w:after="80"/>
      </w:pPr>
      <w:r>
        <w:t xml:space="preserve">İç Denetçi Yetkinlik Gelişimi ve Kalifikasyon Programları.</w:t>
      </w:r>
    </w:p>
    <w:p>
      <w:pPr>
        <w:spacing w:after="100" w:before="160"/>
      </w:pPr>
      <w:r>
        <w:rPr>
          <w:b/>
          <w:bCs/>
          <w:i/>
          <w:iCs/>
        </w:rPr>
        <w:t xml:space="preserve">Stratejik Tedarikçi Gelişim Ekosistemi</w:t>
      </w:r>
    </w:p>
    <w:p>
      <w:pPr>
        <w:pStyle w:val="ListParagraph"/>
        <w:numPr>
          <w:ilvl w:val="0"/>
          <w:numId w:val="2"/>
        </w:numPr>
        <w:spacing w:after="80"/>
      </w:pPr>
      <w:r>
        <w:t xml:space="preserve">Tedarikçi Performans İyileştirme Projeleri (PPM, OTD, lojistik).</w:t>
      </w:r>
    </w:p>
    <w:p>
      <w:pPr>
        <w:pStyle w:val="ListParagraph"/>
        <w:numPr>
          <w:ilvl w:val="0"/>
          <w:numId w:val="2"/>
        </w:numPr>
        <w:spacing w:after="80"/>
      </w:pPr>
      <w:r>
        <w:t xml:space="preserve">Yeni Tedarikçi Devreye Alma (Sourcing, PPAP hazırlık, APQP desteği).</w:t>
      </w:r>
    </w:p>
    <w:p>
      <w:pPr>
        <w:pStyle w:val="ListParagraph"/>
        <w:numPr>
          <w:ilvl w:val="0"/>
          <w:numId w:val="2"/>
        </w:numPr>
        <w:spacing w:after="80"/>
      </w:pPr>
      <w:r>
        <w:t xml:space="preserve">Kritik Parça veya Süreç Bazlı Yerinde Teknik Gelişim ve Kapasite İnşası.</w:t>
      </w:r>
    </w:p>
    <w:p>
      <w:pPr>
        <w:pStyle w:val="ListParagraph"/>
        <w:numPr>
          <w:ilvl w:val="0"/>
          <w:numId w:val="2"/>
        </w:numPr>
        <w:spacing w:after="80"/>
      </w:pPr>
      <w:r>
        <w:t xml:space="preserve">Tedarikçi Kalite Yöneticileri için Koçluk ve Yetkinlik Transferi.</w:t>
      </w:r>
    </w:p>
    <w:p>
      <w:pPr>
        <w:spacing w:after="100" w:before="160"/>
      </w:pPr>
      <w:r>
        <w:rPr>
          <w:b/>
          <w:bCs/>
          <w:i/>
          <w:iCs/>
        </w:rPr>
        <w:t xml:space="preserve">Stratejik Performans Yönetimi ve Kurumsal Hizalanma</w:t>
      </w:r>
    </w:p>
    <w:p>
      <w:pPr>
        <w:pStyle w:val="ListParagraph"/>
        <w:numPr>
          <w:ilvl w:val="0"/>
          <w:numId w:val="2"/>
        </w:numPr>
        <w:spacing w:after="80"/>
      </w:pPr>
      <w:r>
        <w:t xml:space="preserve">Kurumsal Komuta ve Karar Merkezlerinin Tasarımı (dashboard mimarisi, gözden geçirme rutinleri).</w:t>
      </w:r>
    </w:p>
    <w:p>
      <w:pPr>
        <w:pStyle w:val="ListParagraph"/>
        <w:numPr>
          <w:ilvl w:val="0"/>
          <w:numId w:val="2"/>
        </w:numPr>
        <w:spacing w:after="80"/>
      </w:pPr>
      <w:r>
        <w:t xml:space="preserve">Çapraz Fonksiyonel Hedef Hizalanması (OKR veya BSC deployment).</w:t>
      </w:r>
    </w:p>
    <w:p>
      <w:pPr>
        <w:pStyle w:val="ListParagraph"/>
        <w:numPr>
          <w:ilvl w:val="0"/>
          <w:numId w:val="2"/>
        </w:numPr>
        <w:spacing w:after="80"/>
      </w:pPr>
      <w:r>
        <w:t xml:space="preserve">Stratejik Dönüşüm Proje Yönetişimi (yeni ürün, lokasyon veya teknoloji entegrasyonları).</w:t>
      </w:r>
    </w:p>
    <w:p>
      <w:pPr>
        <w:pStyle w:val="ListParagraph"/>
        <w:numPr>
          <w:ilvl w:val="0"/>
          <w:numId w:val="2"/>
        </w:numPr>
        <w:spacing w:after="80"/>
      </w:pPr>
      <w:r>
        <w:t xml:space="preserve">Yönetim Ekibi için Karar Hijyeni ve Ritüel Tasarımı (haftalık, aylık, çeyreklik).</w:t>
      </w:r>
    </w:p>
    <w:p>
      <w:pPr>
        <w:pStyle w:val="Heading2"/>
        <w:spacing w:after="160" w:before="280"/>
      </w:pPr>
      <w:r>
        <w:rPr>
          <w:b/>
          <w:bCs/>
        </w:rPr>
        <w:t xml:space="preserve">English: Operational Excellence</w:t>
      </w:r>
    </w:p>
    <w:p>
      <w:pPr>
        <w:spacing w:after="160"/>
      </w:pPr>
      <w:r>
        <w:rPr>
          <w:b/>
          <w:bCs/>
        </w:rPr>
        <w:t xml:space="preserve">Definition: </w:t>
      </w:r>
      <w:r>
        <w:t xml:space="preserve">Operational Excellence is an integrated transformation program that unites the organization’s quality management system, supply chain and strategic decision mechanisms under a single discipline. System architecture (QMS), supplier ecosystem and strategic performance management are not treated as three separate projects, but as three coordinated muscles of the same operational breath. Processes, responsibilities, measurement points and approval flows are aligned with standards such as ISO 9001 and IATF 16949, with customer-specific requirements (CSR) and with process audit demands like VDA 6.3, yet engineered for the company’s actual business logic. Suppliers are transformed from monitored cost items into partners who speak the OEM’s technical language. Executive strategic objectives are connected to shop-floor reality; through policy deployment, OKR / BSC frameworks and visual management, strategy is translated into a shared language across every level.</w:t>
      </w:r>
    </w:p>
    <w:p>
      <w:pPr>
        <w:spacing w:after="160"/>
      </w:pPr>
      <w:r>
        <w:rPr>
          <w:b/>
          <w:bCs/>
        </w:rPr>
        <w:t xml:space="preserve">Strategic Advantage: </w:t>
      </w:r>
      <w:r>
        <w:t xml:space="preserve">Directly targets the Cost of Quality (COQ: rejects, rework, warranty, complaints), moves 3rd-party audits out of the “stress event” category and protects certificate validity and market access continuously through a “Zero Critical Finding” objective. Resolves supplier-originated problems (incoming rejects, line stoppages, customer recalls) at the source, detecting capacity and quality risks early in critical parts or processes and preventing crises before they unfold. Closes the gap between strategic plan and operational execution; solves the “too many goals, too little focus” problem by concentrating organizational momentum on 3-5 key objectives and accelerating decision-making. Transfers processes from the founding team’s memory into documented, measurable and transferable form, making operational readiness provable at growth inflection points such as new plant openings, M&amp;A integration or OEM customer onboarding. Proactively tracks regulatory changes (UNECE, REACH, ESG reporting) to close compliance gaps before they open.</w:t>
      </w:r>
    </w:p>
    <w:p>
      <w:pPr>
        <w:spacing w:after="120"/>
      </w:pPr>
      <w:r>
        <w:rPr>
          <w:b/>
          <w:bCs/>
        </w:rPr>
        <w:t xml:space="preserve">Areas of Use:</w:t>
      </w:r>
    </w:p>
    <w:p>
      <w:pPr>
        <w:spacing w:after="100" w:before="160"/>
      </w:pPr>
      <w:r>
        <w:rPr>
          <w:b/>
          <w:bCs/>
          <w:i/>
          <w:iCs/>
        </w:rPr>
        <w:t xml:space="preserve">System Architecture &amp; Compliance Assurance</w:t>
      </w:r>
    </w:p>
    <w:p>
      <w:pPr>
        <w:pStyle w:val="ListParagraph"/>
        <w:numPr>
          <w:ilvl w:val="0"/>
          <w:numId w:val="2"/>
        </w:numPr>
        <w:spacing w:after="80"/>
      </w:pPr>
      <w:r>
        <w:t xml:space="preserve">QMS Implementation, Optimization, and ISO / IATF Certification Preparation.</w:t>
      </w:r>
    </w:p>
    <w:p>
      <w:pPr>
        <w:pStyle w:val="ListParagraph"/>
        <w:numPr>
          <w:ilvl w:val="0"/>
          <w:numId w:val="2"/>
        </w:numPr>
        <w:spacing w:after="80"/>
      </w:pPr>
      <w:r>
        <w:t xml:space="preserve">IATF 16949 Compliance and Transition Program (gap analysis, action plan, audit coaching).</w:t>
      </w:r>
    </w:p>
    <w:p>
      <w:pPr>
        <w:pStyle w:val="ListParagraph"/>
        <w:numPr>
          <w:ilvl w:val="0"/>
          <w:numId w:val="2"/>
        </w:numPr>
        <w:spacing w:after="80"/>
      </w:pPr>
      <w:r>
        <w:t xml:space="preserve">Process Mapping (SIPOC, turtle charts), Bottleneck Analysis, and KPI Design.</w:t>
      </w:r>
    </w:p>
    <w:p>
      <w:pPr>
        <w:pStyle w:val="ListParagraph"/>
        <w:numPr>
          <w:ilvl w:val="0"/>
          <w:numId w:val="2"/>
        </w:numPr>
        <w:spacing w:after="80"/>
      </w:pPr>
      <w:r>
        <w:t xml:space="preserve">Global Standards Roll-out (HQ to local plants) and Multi-site Standardization.</w:t>
      </w:r>
    </w:p>
    <w:p>
      <w:pPr>
        <w:pStyle w:val="ListParagraph"/>
        <w:numPr>
          <w:ilvl w:val="0"/>
          <w:numId w:val="2"/>
        </w:numPr>
        <w:spacing w:after="80"/>
      </w:pPr>
      <w:r>
        <w:t xml:space="preserve">Gap Analysis and Mock Audits for System, Process and Product Audits.</w:t>
      </w:r>
    </w:p>
    <w:p>
      <w:pPr>
        <w:pStyle w:val="ListParagraph"/>
        <w:numPr>
          <w:ilvl w:val="0"/>
          <w:numId w:val="2"/>
        </w:numPr>
        <w:spacing w:after="80"/>
      </w:pPr>
      <w:r>
        <w:t xml:space="preserve">VDA 6.3 Process Audit Preparation and CSR Integration into the Audit Program.</w:t>
      </w:r>
    </w:p>
    <w:p>
      <w:pPr>
        <w:pStyle w:val="ListParagraph"/>
        <w:numPr>
          <w:ilvl w:val="0"/>
          <w:numId w:val="2"/>
        </w:numPr>
        <w:spacing w:after="80"/>
      </w:pPr>
      <w:r>
        <w:t xml:space="preserve">Legal and Technical Regulation Compliance Consulting (UNECE, REACH, ESG).</w:t>
      </w:r>
    </w:p>
    <w:p>
      <w:pPr>
        <w:pStyle w:val="ListParagraph"/>
        <w:numPr>
          <w:ilvl w:val="0"/>
          <w:numId w:val="2"/>
        </w:numPr>
        <w:spacing w:after="80"/>
      </w:pPr>
      <w:r>
        <w:t xml:space="preserve">Internal Auditor Capability Development and Qualification Programs.</w:t>
      </w:r>
    </w:p>
    <w:p>
      <w:pPr>
        <w:spacing w:after="100" w:before="160"/>
      </w:pPr>
      <w:r>
        <w:rPr>
          <w:b/>
          <w:bCs/>
          <w:i/>
          <w:iCs/>
        </w:rPr>
        <w:t xml:space="preserve">Strategic Supplier Development Ecosystem</w:t>
      </w:r>
    </w:p>
    <w:p>
      <w:pPr>
        <w:pStyle w:val="ListParagraph"/>
        <w:numPr>
          <w:ilvl w:val="0"/>
          <w:numId w:val="2"/>
        </w:numPr>
        <w:spacing w:after="80"/>
      </w:pPr>
      <w:r>
        <w:t xml:space="preserve">Supplier Performance Improvement Projects (PPM, OTD, logistics).</w:t>
      </w:r>
    </w:p>
    <w:p>
      <w:pPr>
        <w:pStyle w:val="ListParagraph"/>
        <w:numPr>
          <w:ilvl w:val="0"/>
          <w:numId w:val="2"/>
        </w:numPr>
        <w:spacing w:after="80"/>
      </w:pPr>
      <w:r>
        <w:t xml:space="preserve">New Supplier Onboarding (Sourcing, PPAP preparation, APQP support).</w:t>
      </w:r>
    </w:p>
    <w:p>
      <w:pPr>
        <w:pStyle w:val="ListParagraph"/>
        <w:numPr>
          <w:ilvl w:val="0"/>
          <w:numId w:val="2"/>
        </w:numPr>
        <w:spacing w:after="80"/>
      </w:pPr>
      <w:r>
        <w:t xml:space="preserve">On-site Technical Development and Capacity Building on Critical Parts or Processes.</w:t>
      </w:r>
    </w:p>
    <w:p>
      <w:pPr>
        <w:pStyle w:val="ListParagraph"/>
        <w:numPr>
          <w:ilvl w:val="0"/>
          <w:numId w:val="2"/>
        </w:numPr>
        <w:spacing w:after="80"/>
      </w:pPr>
      <w:r>
        <w:t xml:space="preserve">Coaching and Capability Transfer for Supplier Quality Managers.</w:t>
      </w:r>
    </w:p>
    <w:p>
      <w:pPr>
        <w:spacing w:after="100" w:before="160"/>
      </w:pPr>
      <w:r>
        <w:rPr>
          <w:b/>
          <w:bCs/>
          <w:i/>
          <w:iCs/>
        </w:rPr>
        <w:t xml:space="preserve">Strategic Performance Management &amp; Corporate Alignment</w:t>
      </w:r>
    </w:p>
    <w:p>
      <w:pPr>
        <w:pStyle w:val="ListParagraph"/>
        <w:numPr>
          <w:ilvl w:val="0"/>
          <w:numId w:val="2"/>
        </w:numPr>
        <w:spacing w:after="80"/>
      </w:pPr>
      <w:r>
        <w:t xml:space="preserve">Corporate Command and Decision Center Design (dashboard architecture, review cadence).</w:t>
      </w:r>
    </w:p>
    <w:p>
      <w:pPr>
        <w:pStyle w:val="ListParagraph"/>
        <w:numPr>
          <w:ilvl w:val="0"/>
          <w:numId w:val="2"/>
        </w:numPr>
        <w:spacing w:after="80"/>
      </w:pPr>
      <w:r>
        <w:t xml:space="preserve">Cross-Functional Goal Alignment (OKR or BSC deployment).</w:t>
      </w:r>
    </w:p>
    <w:p>
      <w:pPr>
        <w:pStyle w:val="ListParagraph"/>
        <w:numPr>
          <w:ilvl w:val="0"/>
          <w:numId w:val="2"/>
        </w:numPr>
        <w:spacing w:after="80"/>
      </w:pPr>
      <w:r>
        <w:t xml:space="preserve">Strategic Transformation Project Governance (new product, site or technology integrations).</w:t>
      </w:r>
    </w:p>
    <w:p>
      <w:pPr>
        <w:pStyle w:val="ListParagraph"/>
        <w:numPr>
          <w:ilvl w:val="0"/>
          <w:numId w:val="2"/>
        </w:numPr>
        <w:spacing w:after="80"/>
      </w:pPr>
      <w:r>
        <w:t xml:space="preserve">Decision Hygiene and Ritual Design for Executive Teams (weekly, monthly, quarterly).</w:t>
      </w:r>
    </w:p>
    <w:p>
      <w:pPr>
        <w:pStyle w:val="Heading2"/>
        <w:spacing w:after="160" w:before="280"/>
      </w:pPr>
      <w:r>
        <w:rPr>
          <w:b/>
          <w:bCs/>
        </w:rPr>
        <w:t xml:space="preserve">Deutsch: Operational Excellence</w:t>
      </w:r>
    </w:p>
    <w:p>
      <w:pPr>
        <w:spacing w:after="160"/>
      </w:pPr>
      <w:r>
        <w:rPr>
          <w:b/>
          <w:bCs/>
        </w:rPr>
        <w:t xml:space="preserve">Definition: </w:t>
      </w:r>
      <w:r>
        <w:t xml:space="preserve">Operational Excellence ist ein integriertes Transformationsprogramm, das das Qualitätsmanagementsystem, die Lieferkette und die strategischen Entscheidungsmechanismen einer Organisation unter einer einzigen Disziplin zusammenführt. Systemarchitektur (QMS), Lieferantenökosystem und strategisches Performancemanagement werden nicht als drei separate Projekte, sondern als drei koordinierte Muskeln desselben operativen Atems behandelt. Prozesse, Verantwortlichkeiten, Messpunkte und Genehmigungsabläufe werden an Standards wie ISO 9001 und IATF 16949, an kundenspezifische Anforderungen (CSR) sowie an Prozessaudit-Anforderungen wie VDA 6.3 ausgerichtet und zugleich für die tatsächliche Geschäftslogik des Unternehmens entwickelt. Lieferanten werden von überwachten Kostenpositionen zu Partnern transformiert, die die technische Sprache des OEMs sprechen. Strategische Führungsziele werden mit der operativen Realität verbunden; durch Policy Deployment, OKR- / BSC-Rahmenwerke und visuelles Management wird die Strategie auf allen Ebenen in eine gemeinsame Sprache übersetzt.</w:t>
      </w:r>
    </w:p>
    <w:p>
      <w:pPr>
        <w:spacing w:after="160"/>
      </w:pPr>
      <w:r>
        <w:rPr>
          <w:b/>
          <w:bCs/>
        </w:rPr>
        <w:t xml:space="preserve">Strategischer Vorteil: </w:t>
      </w:r>
      <w:r>
        <w:t xml:space="preserve">Zielt direkt auf die Qualitätskosten (COQ: Ausschuss, Nacharbeit, Garantie, Reklamationen), nimmt 3rd-Party-Audits den Charakter eines „Stressereignisses“ und schützt Zertifikatsgültigkeit sowie Marktzugang kontinuierlich durch das Ziel „Null kritische Befunde“. Löst lieferantenbezogene Probleme (Wareneingangs-Ausschuss, Linienstillstände, Kundenrückrufe) an der Quelle, erkennt Kapazitäts- und Qualitätsrisiken in kritischen Teilen oder Prozessen frühzeitig und verhindert Krisen, bevor sie entstehen. Schließt die Lücke zwischen strategischem Plan und operativer Umsetzung; löst das Problem „zu viele Ziele, zu wenig Fokus“, indem die Dynamik der Organisation auf 3-5 Kernziele konzentriert und die Entscheidungsfindung beschleunigt wird. Überführt Prozesse aus dem Gedächtnis der Gründermannschaft in dokumentierte, messbare und übertragbare Form und macht operative Bereitschaft an Wachstumspunkten wie neuen Werkseröffnungen, M&amp;A-Integrationen oder OEM-Kundenakquise nachweisbar. Verfolgt regulatorische Änderungen (UNECE, REACH, ESG-Berichterstattung) proaktiv, um Compliance-Lücken zu schließen, bevor sie entstehen.</w:t>
      </w:r>
    </w:p>
    <w:p>
      <w:pPr>
        <w:spacing w:after="120"/>
      </w:pPr>
      <w:r>
        <w:rPr>
          <w:b/>
          <w:bCs/>
        </w:rPr>
        <w:t xml:space="preserve">Anwendungsbereiche:</w:t>
      </w:r>
    </w:p>
    <w:p>
      <w:pPr>
        <w:spacing w:after="100" w:before="160"/>
      </w:pPr>
      <w:r>
        <w:rPr>
          <w:b/>
          <w:bCs/>
          <w:i/>
          <w:iCs/>
        </w:rPr>
        <w:t xml:space="preserve">Systemarchitektur &amp; Compliance Assurance</w:t>
      </w:r>
    </w:p>
    <w:p>
      <w:pPr>
        <w:pStyle w:val="ListParagraph"/>
        <w:numPr>
          <w:ilvl w:val="0"/>
          <w:numId w:val="2"/>
        </w:numPr>
        <w:spacing w:after="80"/>
      </w:pPr>
      <w:r>
        <w:t xml:space="preserve">QMS-Implementierung, Optimierung und Vorbereitung auf ISO- / IATF-Zertifizierung.</w:t>
      </w:r>
    </w:p>
    <w:p>
      <w:pPr>
        <w:pStyle w:val="ListParagraph"/>
        <w:numPr>
          <w:ilvl w:val="0"/>
          <w:numId w:val="2"/>
        </w:numPr>
        <w:spacing w:after="80"/>
      </w:pPr>
      <w:r>
        <w:t xml:space="preserve">IATF 16949-Konformitäts- und Transition-Programm (Gap-Analyse, Aktionsplan, Audit-Coaching).</w:t>
      </w:r>
    </w:p>
    <w:p>
      <w:pPr>
        <w:pStyle w:val="ListParagraph"/>
        <w:numPr>
          <w:ilvl w:val="0"/>
          <w:numId w:val="2"/>
        </w:numPr>
        <w:spacing w:after="80"/>
      </w:pPr>
      <w:r>
        <w:t xml:space="preserve">Prozesskartierung (SIPOC, Turtle Charts), Engpassanalyse und KPI-Design.</w:t>
      </w:r>
    </w:p>
    <w:p>
      <w:pPr>
        <w:pStyle w:val="ListParagraph"/>
        <w:numPr>
          <w:ilvl w:val="0"/>
          <w:numId w:val="2"/>
        </w:numPr>
        <w:spacing w:after="80"/>
      </w:pPr>
      <w:r>
        <w:t xml:space="preserve">Roll-out globaler Standards (HQ zu lokalen Werken) und standortübergreifende Standardisierung.</w:t>
      </w:r>
    </w:p>
    <w:p>
      <w:pPr>
        <w:pStyle w:val="ListParagraph"/>
        <w:numPr>
          <w:ilvl w:val="0"/>
          <w:numId w:val="2"/>
        </w:numPr>
        <w:spacing w:after="80"/>
      </w:pPr>
      <w:r>
        <w:t xml:space="preserve">Gap-Analyse und Mock-Audits für System-, Prozess- und Produktaudits.</w:t>
      </w:r>
    </w:p>
    <w:p>
      <w:pPr>
        <w:pStyle w:val="ListParagraph"/>
        <w:numPr>
          <w:ilvl w:val="0"/>
          <w:numId w:val="2"/>
        </w:numPr>
        <w:spacing w:after="80"/>
      </w:pPr>
      <w:r>
        <w:t xml:space="preserve">Vorbereitung auf VDA 6.3-Prozessaudits und Integration kundenspezifischer Anforderungen (CSR) in das Auditprogramm.</w:t>
      </w:r>
    </w:p>
    <w:p>
      <w:pPr>
        <w:pStyle w:val="ListParagraph"/>
        <w:numPr>
          <w:ilvl w:val="0"/>
          <w:numId w:val="2"/>
        </w:numPr>
        <w:spacing w:after="80"/>
      </w:pPr>
      <w:r>
        <w:t xml:space="preserve">Beratung zur Einhaltung technischer und gesetzlicher Vorschriften (UNECE, REACH, ESG).</w:t>
      </w:r>
    </w:p>
    <w:p>
      <w:pPr>
        <w:pStyle w:val="ListParagraph"/>
        <w:numPr>
          <w:ilvl w:val="0"/>
          <w:numId w:val="2"/>
        </w:numPr>
        <w:spacing w:after="80"/>
      </w:pPr>
      <w:r>
        <w:t xml:space="preserve">Entwicklung und Qualifizierung interner Auditoren.</w:t>
      </w:r>
    </w:p>
    <w:p>
      <w:pPr>
        <w:spacing w:after="100" w:before="160"/>
      </w:pPr>
      <w:r>
        <w:rPr>
          <w:b/>
          <w:bCs/>
          <w:i/>
          <w:iCs/>
        </w:rPr>
        <w:t xml:space="preserve">Strategisches Lieferantenentwicklungs-Ökosystem</w:t>
      </w:r>
    </w:p>
    <w:p>
      <w:pPr>
        <w:pStyle w:val="ListParagraph"/>
        <w:numPr>
          <w:ilvl w:val="0"/>
          <w:numId w:val="2"/>
        </w:numPr>
        <w:spacing w:after="80"/>
      </w:pPr>
      <w:r>
        <w:t xml:space="preserve">Projekte zur Lieferantenleistungssteigerung (PPM, OTD, Logistik).</w:t>
      </w:r>
    </w:p>
    <w:p>
      <w:pPr>
        <w:pStyle w:val="ListParagraph"/>
        <w:numPr>
          <w:ilvl w:val="0"/>
          <w:numId w:val="2"/>
        </w:numPr>
        <w:spacing w:after="80"/>
      </w:pPr>
      <w:r>
        <w:t xml:space="preserve">Onboarding neuer Lieferanten (Sourcing, PPAP-Vorbereitung, APQP-Unterstützung).</w:t>
      </w:r>
    </w:p>
    <w:p>
      <w:pPr>
        <w:pStyle w:val="ListParagraph"/>
        <w:numPr>
          <w:ilvl w:val="0"/>
          <w:numId w:val="2"/>
        </w:numPr>
        <w:spacing w:after="80"/>
      </w:pPr>
      <w:r>
        <w:t xml:space="preserve">Technische Entwicklung vor Ort und Kapazitätsaufbau für kritische Teile oder Prozesse.</w:t>
      </w:r>
    </w:p>
    <w:p>
      <w:pPr>
        <w:pStyle w:val="ListParagraph"/>
        <w:numPr>
          <w:ilvl w:val="0"/>
          <w:numId w:val="2"/>
        </w:numPr>
        <w:spacing w:after="80"/>
      </w:pPr>
      <w:r>
        <w:t xml:space="preserve">Coaching und Fähigkeitstransfer für Lieferanten-Qualitätsmanager.</w:t>
      </w:r>
    </w:p>
    <w:p>
      <w:pPr>
        <w:spacing w:after="100" w:before="160"/>
      </w:pPr>
      <w:r>
        <w:rPr>
          <w:b/>
          <w:bCs/>
          <w:i/>
          <w:iCs/>
        </w:rPr>
        <w:t xml:space="preserve">Strategisches Performancemanagement &amp; Corporate Alignment</w:t>
      </w:r>
    </w:p>
    <w:p>
      <w:pPr>
        <w:pStyle w:val="ListParagraph"/>
        <w:numPr>
          <w:ilvl w:val="0"/>
          <w:numId w:val="2"/>
        </w:numPr>
        <w:spacing w:after="80"/>
      </w:pPr>
      <w:r>
        <w:t xml:space="preserve">Design von Corporate Command &amp; Decision Centers (Dashboard-Architektur, Review-Kadenz).</w:t>
      </w:r>
    </w:p>
    <w:p>
      <w:pPr>
        <w:pStyle w:val="ListParagraph"/>
        <w:numPr>
          <w:ilvl w:val="0"/>
          <w:numId w:val="2"/>
        </w:numPr>
        <w:spacing w:after="80"/>
      </w:pPr>
      <w:r>
        <w:t xml:space="preserve">Funktionsübergreifende Zielausrichtung (OKR- oder BSC-Deployment).</w:t>
      </w:r>
    </w:p>
    <w:p>
      <w:pPr>
        <w:pStyle w:val="ListParagraph"/>
        <w:numPr>
          <w:ilvl w:val="0"/>
          <w:numId w:val="2"/>
        </w:numPr>
        <w:spacing w:after="80"/>
      </w:pPr>
      <w:r>
        <w:t xml:space="preserve">Governance für strategische Transformationsprojekte (neue Produkt-, Standort- oder Technologieintegrationen).</w:t>
      </w:r>
    </w:p>
    <w:p>
      <w:pPr>
        <w:pStyle w:val="ListParagraph"/>
        <w:numPr>
          <w:ilvl w:val="0"/>
          <w:numId w:val="2"/>
        </w:numPr>
        <w:spacing w:after="80"/>
      </w:pPr>
      <w:r>
        <w:t xml:space="preserve">Entscheidungshygiene und Ritualgestaltung für Führungsteams (wöchentlich, monatlich, quartalsweise).</w:t>
      </w:r>
    </w:p>
    <w:p>
      <w:r>
        <w:br w:type="page"/>
      </w:r>
    </w:p>
    <w:p>
      <w:pPr>
        <w:pStyle w:val="Heading1"/>
        <w:spacing w:after="200" w:before="360"/>
      </w:pPr>
      <w:r>
        <w:rPr>
          <w:b/>
          <w:bCs/>
        </w:rPr>
        <w:t xml:space="preserve">02. W-Quality AI Advisor</w:t>
      </w:r>
    </w:p>
    <w:p>
      <w:pPr>
        <w:pStyle w:val="Heading2"/>
        <w:spacing w:after="160" w:before="280"/>
      </w:pPr>
      <w:r>
        <w:rPr>
          <w:b/>
          <w:bCs/>
        </w:rPr>
        <w:t xml:space="preserve">Türkçe: W-Quality AI Advisor</w:t>
      </w:r>
    </w:p>
    <w:p>
      <w:pPr>
        <w:spacing w:after="160"/>
      </w:pPr>
      <w:r>
        <w:rPr>
          <w:b/>
          <w:bCs/>
        </w:rPr>
        <w:t xml:space="preserve">Tanım: </w:t>
      </w:r>
      <w:r>
        <w:t xml:space="preserve">W-Quality AI Advisor, W-Quality’nin saha danışmanlık birikimini ölçeklenebilir bir yapay zekâ çözümüne dönüştüren akıllı kalite ve uyum asistanıdır. ISO 9001, IATF 16949, VDA 6.3, CSR ve UNECE / REACH / ESG gibi gereklilikleri okuyan bilgi tabanı; kurumun QMS dokümanları, denetim raporları, tedarikçi skorkartları ve KPI verileri ile birleşerek yöneticiye gerçek zamanlı bir “kalite akıl hocası” sağlar. Sistem; doküman zekâsı, denetim hazırlık skorlaması, tedarikçi risk modeli ve regülasyon takibi olmak üzere dört çekirdek modül üzerinde çalışır ve her cevabı kaynak gösterimi (paragraf, klozül, denetim bulgusu) ile birlikte üretir.</w:t>
      </w:r>
    </w:p>
    <w:p>
      <w:pPr>
        <w:spacing w:after="160"/>
      </w:pPr>
      <w:r>
        <w:rPr>
          <w:b/>
          <w:bCs/>
        </w:rPr>
        <w:t xml:space="preserve">Stratejik Avantaj: </w:t>
      </w:r>
      <w:r>
        <w:t xml:space="preserve">Danışmanın saatleriyle ölçülen tepkiyi, dakikalarla ölçülen sürekli bir kontrol katmanına dönüştürür. “Denetime kaç gün?” belirsizliğini, gerçek zamanlı bir hazırlık skoru ve kapatılması gereken bulgu listesiyle değiştirir. Kurucu hafızası ve uzman silosunda kilitli kalan kalite bilgisini, her vardiyada erişilebilir, sorgulanabilir ve devredilebilir bir kuruma dönüştürür. Regülasyon değişikliklerini ve müşteri özel isteklerini insan takibine bırakmadan izler; uyum boşluklarını ortaya çıkmadan kapatır. Tedarikçi performansı ve sapma sinyalleri için erken uyarı üreterek hat durdurma ve geri çağırma maliyetini doğrudan düşürür. W-Quality’nin bütüncül yöntem bilgisini bir SaaS-benzeri ürüne dönüştürerek danışmanlık ilişkisini sözleşme süresinden bağımsız sürekli bir değer üretimine taşır.</w:t>
      </w:r>
    </w:p>
    <w:p>
      <w:pPr>
        <w:spacing w:after="120"/>
      </w:pPr>
      <w:r>
        <w:rPr>
          <w:b/>
          <w:bCs/>
        </w:rPr>
        <w:t xml:space="preserve">Kullanım Alanları:</w:t>
      </w:r>
    </w:p>
    <w:p>
      <w:pPr>
        <w:pStyle w:val="ListParagraph"/>
        <w:numPr>
          <w:ilvl w:val="0"/>
          <w:numId w:val="2"/>
        </w:numPr>
        <w:spacing w:after="80"/>
      </w:pPr>
      <w:r>
        <w:t xml:space="preserve">Doküman Zekâsı: QMS prosedürleri, çalışma talimatları, kontrol planları ve denetim raporları üzerinden doğal dilde sorgu, çelişki tespiti ve eksik klozül önerisi.</w:t>
      </w:r>
    </w:p>
    <w:p>
      <w:pPr>
        <w:pStyle w:val="ListParagraph"/>
        <w:numPr>
          <w:ilvl w:val="0"/>
          <w:numId w:val="2"/>
        </w:numPr>
        <w:spacing w:after="80"/>
      </w:pPr>
      <w:r>
        <w:t xml:space="preserve">Denetim Hazırlık Skoru: ISO 9001 / IATF 16949 / VDA 6.3 ve CSR gerekliliklerine karşı sürekli olgunluk ölçümü, kritik bulgu erken uyarısı ve aksiyon önceliklendirmesi.</w:t>
      </w:r>
    </w:p>
    <w:p>
      <w:pPr>
        <w:pStyle w:val="ListParagraph"/>
        <w:numPr>
          <w:ilvl w:val="0"/>
          <w:numId w:val="2"/>
        </w:numPr>
        <w:spacing w:after="80"/>
      </w:pPr>
      <w:r>
        <w:t xml:space="preserve">Mock Audit Kopilotu: Denetçi sorularını simüle eder, beklenen kanıtları listeler, ekibin cevaplarını standartlara göre puanlar ve boşlukları aksiyon olarak açar.</w:t>
      </w:r>
    </w:p>
    <w:p>
      <w:pPr>
        <w:pStyle w:val="ListParagraph"/>
        <w:numPr>
          <w:ilvl w:val="0"/>
          <w:numId w:val="2"/>
        </w:numPr>
        <w:spacing w:after="80"/>
      </w:pPr>
      <w:r>
        <w:t xml:space="preserve">Tedarikçi Risk Motoru: PPAP, APQP, PPM, OTD ve şikayet verilerinden risk skoru üretir; tedarikçi gelişim yol haritası önerileri çıkarır.</w:t>
      </w:r>
    </w:p>
    <w:p>
      <w:pPr>
        <w:pStyle w:val="ListParagraph"/>
        <w:numPr>
          <w:ilvl w:val="0"/>
          <w:numId w:val="2"/>
        </w:numPr>
        <w:spacing w:after="80"/>
      </w:pPr>
      <w:r>
        <w:t xml:space="preserve">Regülasyon ve CSR İzleme: UNECE, REACH, ESG ve müşteri özel istekleri için değişiklik bildirimleri; kurum dokümanına etkilerini özetler.</w:t>
      </w:r>
    </w:p>
    <w:p>
      <w:pPr>
        <w:pStyle w:val="ListParagraph"/>
        <w:numPr>
          <w:ilvl w:val="0"/>
          <w:numId w:val="2"/>
        </w:numPr>
        <w:spacing w:after="80"/>
      </w:pPr>
      <w:r>
        <w:t xml:space="preserve">KPI ve Karar Asistanı: Üst yönetim dashboard’unu doğal dilde anlatan, varyans nedenlerini ve önerilen aksiyonu üreten karar destek katmanı.</w:t>
      </w:r>
    </w:p>
    <w:p>
      <w:pPr>
        <w:pStyle w:val="ListParagraph"/>
        <w:numPr>
          <w:ilvl w:val="0"/>
          <w:numId w:val="2"/>
        </w:numPr>
        <w:spacing w:after="80"/>
      </w:pPr>
      <w:r>
        <w:t xml:space="preserve">Eğitim ve İç Denetçi Koçu: İç denetçilere senaryo bazlı uygulama, rol yapma ve geri bildirim ile yetkinlik gelişimi.</w:t>
      </w:r>
    </w:p>
    <w:p>
      <w:pPr>
        <w:pStyle w:val="ListParagraph"/>
        <w:numPr>
          <w:ilvl w:val="0"/>
          <w:numId w:val="2"/>
        </w:numPr>
        <w:spacing w:after="80"/>
      </w:pPr>
      <w:r>
        <w:t xml:space="preserve">Entegrasyon: ERP, MES, QMS ve doküman yönetim sistemleri ile API üzerinden bağlantı; rol bazlı erişim ve denetim izi.</w:t>
      </w:r>
    </w:p>
    <w:p>
      <w:pPr>
        <w:pStyle w:val="Heading2"/>
        <w:spacing w:after="160" w:before="280"/>
      </w:pPr>
      <w:r>
        <w:rPr>
          <w:b/>
          <w:bCs/>
        </w:rPr>
        <w:t xml:space="preserve">English: W-Quality AI Advisor</w:t>
      </w:r>
    </w:p>
    <w:p>
      <w:pPr>
        <w:spacing w:after="160"/>
      </w:pPr>
      <w:r>
        <w:rPr>
          <w:b/>
          <w:bCs/>
        </w:rPr>
        <w:t xml:space="preserve">Definition: </w:t>
      </w:r>
      <w:r>
        <w:t xml:space="preserve">W-Quality AI Advisor is an intelligent quality and compliance assistant that turns W-Quality’s field consulting expertise into a scalable AI solution. A knowledge base that reads ISO 9001, IATF 16949, VDA 6.3, CSR and UNECE / REACH / ESG requirements is fused with the company’s own QMS documents, audit reports, supplier scorecards and KPI data to give leadership a real-time “quality co-pilot”. The system runs on four core modules — document intelligence, audit-readiness scoring, supplier risk modelling and regulatory tracking — and produces every answer with source attribution (paragraph, clause, audit finding).</w:t>
      </w:r>
    </w:p>
    <w:p>
      <w:pPr>
        <w:spacing w:after="160"/>
      </w:pPr>
      <w:r>
        <w:rPr>
          <w:b/>
          <w:bCs/>
        </w:rPr>
        <w:t xml:space="preserve">Strategic Advantage: </w:t>
      </w:r>
      <w:r>
        <w:t xml:space="preserve">Converts a response measured in consultant-hours into a continuous control layer measured in minutes. Replaces the “how many days until the audit?” uncertainty with a live readiness score and a prioritized list of findings to close. Unlocks the quality knowledge that lives in founder memory and expert silos, turning it into an asset that is accessible, queryable and transferable on every shift. Tracks regulatory changes and customer-specific requirements without relying on human follow-up, closing compliance gaps before they emerge. Generates early-warning signals on supplier performance and process deviation, directly reducing line-stoppage and recall costs. By packaging W-Quality’s holistic methodology into a SaaS-like product, the advisory relationship becomes continuous value creation independent of the engagement window.</w:t>
      </w:r>
    </w:p>
    <w:p>
      <w:pPr>
        <w:spacing w:after="120"/>
      </w:pPr>
      <w:r>
        <w:rPr>
          <w:b/>
          <w:bCs/>
        </w:rPr>
        <w:t xml:space="preserve">Areas of Use:</w:t>
      </w:r>
    </w:p>
    <w:p>
      <w:pPr>
        <w:pStyle w:val="ListParagraph"/>
        <w:numPr>
          <w:ilvl w:val="0"/>
          <w:numId w:val="2"/>
        </w:numPr>
        <w:spacing w:after="80"/>
      </w:pPr>
      <w:r>
        <w:t xml:space="preserve">Document Intelligence: natural-language querying, contradiction detection and missing-clause suggestions across QMS procedures, work instructions, control plans and audit reports.</w:t>
      </w:r>
    </w:p>
    <w:p>
      <w:pPr>
        <w:pStyle w:val="ListParagraph"/>
        <w:numPr>
          <w:ilvl w:val="0"/>
          <w:numId w:val="2"/>
        </w:numPr>
        <w:spacing w:after="80"/>
      </w:pPr>
      <w:r>
        <w:t xml:space="preserve">Audit-Readiness Score: continuous maturity measurement against ISO 9001 / IATF 16949 / VDA 6.3 and CSR requirements, critical-finding early warning and action prioritization.</w:t>
      </w:r>
    </w:p>
    <w:p>
      <w:pPr>
        <w:pStyle w:val="ListParagraph"/>
        <w:numPr>
          <w:ilvl w:val="0"/>
          <w:numId w:val="2"/>
        </w:numPr>
        <w:spacing w:after="80"/>
      </w:pPr>
      <w:r>
        <w:t xml:space="preserve">Mock-Audit Co-Pilot: simulates auditor questions, lists expected evidence, scores the team’s answers against the standards and converts gaps into actions.</w:t>
      </w:r>
    </w:p>
    <w:p>
      <w:pPr>
        <w:pStyle w:val="ListParagraph"/>
        <w:numPr>
          <w:ilvl w:val="0"/>
          <w:numId w:val="2"/>
        </w:numPr>
        <w:spacing w:after="80"/>
      </w:pPr>
      <w:r>
        <w:t xml:space="preserve">Supplier Risk Engine: produces a risk score from PPAP, APQP, PPM, OTD and complaint data and recommends a supplier development roadmap.</w:t>
      </w:r>
    </w:p>
    <w:p>
      <w:pPr>
        <w:pStyle w:val="ListParagraph"/>
        <w:numPr>
          <w:ilvl w:val="0"/>
          <w:numId w:val="2"/>
        </w:numPr>
        <w:spacing w:after="80"/>
      </w:pPr>
      <w:r>
        <w:t xml:space="preserve">Regulatory &amp; CSR Watch: change notifications for UNECE, REACH, ESG and customer-specific requirements, with impact summaries on the company’s own documents.</w:t>
      </w:r>
    </w:p>
    <w:p>
      <w:pPr>
        <w:pStyle w:val="ListParagraph"/>
        <w:numPr>
          <w:ilvl w:val="0"/>
          <w:numId w:val="2"/>
        </w:numPr>
        <w:spacing w:after="80"/>
      </w:pPr>
      <w:r>
        <w:t xml:space="preserve">KPI &amp; Decision Assistant: a decision-support layer that explains the executive dashboard in natural language and generates variance root-causes and recommended actions.</w:t>
      </w:r>
    </w:p>
    <w:p>
      <w:pPr>
        <w:pStyle w:val="ListParagraph"/>
        <w:numPr>
          <w:ilvl w:val="0"/>
          <w:numId w:val="2"/>
        </w:numPr>
        <w:spacing w:after="80"/>
      </w:pPr>
      <w:r>
        <w:t xml:space="preserve">Training &amp; Internal Auditor Coach: scenario-based practice, role-play and feedback for internal auditor capability development.</w:t>
      </w:r>
    </w:p>
    <w:p>
      <w:pPr>
        <w:pStyle w:val="ListParagraph"/>
        <w:numPr>
          <w:ilvl w:val="0"/>
          <w:numId w:val="2"/>
        </w:numPr>
        <w:spacing w:after="80"/>
      </w:pPr>
      <w:r>
        <w:t xml:space="preserve">Integration: API connectivity to ERP, MES, QMS and document management systems with role-based access and audit trail.</w:t>
      </w:r>
    </w:p>
    <w:p>
      <w:pPr>
        <w:pStyle w:val="Heading2"/>
        <w:spacing w:after="160" w:before="280"/>
      </w:pPr>
      <w:r>
        <w:rPr>
          <w:b/>
          <w:bCs/>
        </w:rPr>
        <w:t xml:space="preserve">Deutsch: W-Quality AI Advisor</w:t>
      </w:r>
    </w:p>
    <w:p>
      <w:pPr>
        <w:spacing w:after="160"/>
      </w:pPr>
      <w:r>
        <w:rPr>
          <w:b/>
          <w:bCs/>
        </w:rPr>
        <w:t xml:space="preserve">Definition: </w:t>
      </w:r>
      <w:r>
        <w:t xml:space="preserve">W-Quality AI Advisor ist ein intelligenter Qualitäts- und Compliance-Assistent, der das Beratungs-Know-how von W-Quality in eine skalierbare KI-Lösung überführt. Eine Wissensbasis, die ISO 9001, IATF 16949, VDA 6.3, CSR sowie UNECE- / REACH- / ESG-Anforderungen interpretiert, wird mit den QMS-Dokumenten, Auditberichten, Lieferanten-Scorecards und KPI-Daten des Unternehmens kombiniert und liefert der Führung einen Echtzeit-„Quality Co-Pilot“. Das System läuft auf vier Kernmodulen — Document Intelligence, Audit-Readiness-Scoring, Lieferantenrisiko-Modell und Regulierungsmonitoring — und versieht jede Antwort mit Quellenangabe (Absatz, Klausel, Auditbefund).</w:t>
      </w:r>
    </w:p>
    <w:p>
      <w:pPr>
        <w:spacing w:after="160"/>
      </w:pPr>
      <w:r>
        <w:rPr>
          <w:b/>
          <w:bCs/>
        </w:rPr>
        <w:t xml:space="preserve">Strategischer Vorteil: </w:t>
      </w:r>
      <w:r>
        <w:t xml:space="preserve">Verwandelt eine in Beraterstunden gemessene Reaktion in eine kontinuierliche, in Minuten gemessene Kontrollebene. Ersetzt die Unsicherheit „Wie viele Tage bis zum Audit?“ durch einen Live-Readiness-Score und eine priorisierte Liste zu schließender Befunde. Erschließt das Qualitätswissen, das im Gedächtnis der Gründer und in Expertensilos liegt, und macht es als Asset auf jeder Schicht zugänglich, abfragbar und übertragbar. Verfolgt regulatorische Änderungen und kundenspezifische Anforderungen ohne menschliches Nachfassen und schließt Compliance-Lücken, bevor sie entstehen. Erzeugt Frühwarnsignale für Lieferantenleistung und Prozessabweichung und senkt damit Linienstillstands- und Rückrufkosten direkt. Indem die ganzheitliche Methodik von W-Quality in ein SaaS-ähnliches Produkt überführt wird, entsteht aus der Beratungsbeziehung eine kontinuierliche Wertschöpfung unabhängig vom Engagement-Zeitraum.</w:t>
      </w:r>
    </w:p>
    <w:p>
      <w:pPr>
        <w:spacing w:after="120"/>
      </w:pPr>
      <w:r>
        <w:rPr>
          <w:b/>
          <w:bCs/>
        </w:rPr>
        <w:t xml:space="preserve">Anwendungsbereiche:</w:t>
      </w:r>
    </w:p>
    <w:p>
      <w:pPr>
        <w:pStyle w:val="ListParagraph"/>
        <w:numPr>
          <w:ilvl w:val="0"/>
          <w:numId w:val="2"/>
        </w:numPr>
        <w:spacing w:after="80"/>
      </w:pPr>
      <w:r>
        <w:t xml:space="preserve">Document Intelligence: natürlichsprachliche Abfragen, Widerspruchserkennung und Vorschläge für fehlende Klauseln über QMS-Verfahren, Arbeitsanweisungen, Kontrollpläne und Auditberichte.</w:t>
      </w:r>
    </w:p>
    <w:p>
      <w:pPr>
        <w:pStyle w:val="ListParagraph"/>
        <w:numPr>
          <w:ilvl w:val="0"/>
          <w:numId w:val="2"/>
        </w:numPr>
        <w:spacing w:after="80"/>
      </w:pPr>
      <w:r>
        <w:t xml:space="preserve">Audit-Readiness-Score: kontinuierliche Reifegradmessung gegen ISO 9001 / IATF 16949 / VDA 6.3 und CSR, Frühwarnung für kritische Befunde und Aktionspriorisierung.</w:t>
      </w:r>
    </w:p>
    <w:p>
      <w:pPr>
        <w:pStyle w:val="ListParagraph"/>
        <w:numPr>
          <w:ilvl w:val="0"/>
          <w:numId w:val="2"/>
        </w:numPr>
        <w:spacing w:after="80"/>
      </w:pPr>
      <w:r>
        <w:t xml:space="preserve">Mock-Audit-Co-Pilot: simuliert Auditor-Fragen, listet erwartete Nachweise, bewertet die Antworten des Teams gegen die Normen und überführt Lücken in Aktionen.</w:t>
      </w:r>
    </w:p>
    <w:p>
      <w:pPr>
        <w:pStyle w:val="ListParagraph"/>
        <w:numPr>
          <w:ilvl w:val="0"/>
          <w:numId w:val="2"/>
        </w:numPr>
        <w:spacing w:after="80"/>
      </w:pPr>
      <w:r>
        <w:t xml:space="preserve">Lieferantenrisiko-Engine: erzeugt aus PPAP-, APQP-, PPM-, OTD- und Reklamationsdaten einen Risikoscore und empfiehlt eine Lieferantenentwicklungs-Roadmap.</w:t>
      </w:r>
    </w:p>
    <w:p>
      <w:pPr>
        <w:pStyle w:val="ListParagraph"/>
        <w:numPr>
          <w:ilvl w:val="0"/>
          <w:numId w:val="2"/>
        </w:numPr>
        <w:spacing w:after="80"/>
      </w:pPr>
      <w:r>
        <w:t xml:space="preserve">Regulierungs- &amp; CSR-Monitor: Änderungsbenachrichtigungen für UNECE, REACH, ESG und kundenspezifische Anforderungen, einschließlich Auswirkungsanalyse auf die Unternehmensdokumente.</w:t>
      </w:r>
    </w:p>
    <w:p>
      <w:pPr>
        <w:pStyle w:val="ListParagraph"/>
        <w:numPr>
          <w:ilvl w:val="0"/>
          <w:numId w:val="2"/>
        </w:numPr>
        <w:spacing w:after="80"/>
      </w:pPr>
      <w:r>
        <w:t xml:space="preserve">KPI- &amp; Entscheidungs-Assistent: Entscheidungsunterstützungsebene, die das Führungs-Dashboard in natürlicher Sprache erklärt und Varianzursachen sowie empfohlene Aktionen erzeugt.</w:t>
      </w:r>
    </w:p>
    <w:p>
      <w:pPr>
        <w:pStyle w:val="ListParagraph"/>
        <w:numPr>
          <w:ilvl w:val="0"/>
          <w:numId w:val="2"/>
        </w:numPr>
        <w:spacing w:after="80"/>
      </w:pPr>
      <w:r>
        <w:t xml:space="preserve">Schulung &amp; Coaching für interne Auditoren: szenariobasiertes Üben, Rollenspiel und Feedback zur Entwicklung interner Auditkompetenzen.</w:t>
      </w:r>
    </w:p>
    <w:p>
      <w:pPr>
        <w:pStyle w:val="ListParagraph"/>
        <w:numPr>
          <w:ilvl w:val="0"/>
          <w:numId w:val="2"/>
        </w:numPr>
        <w:spacing w:after="80"/>
      </w:pPr>
      <w:r>
        <w:t xml:space="preserve">Integration: API-Anbindung an ERP-, MES-, QMS- und Dokumentenmanagementsysteme mit rollenbasiertem Zugriff und Audit-Trail.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W-Quality Ürünler</dc:title>
  <dc:creator>W-Quality</dc:creator>
  <cp:lastModifiedBy>Un-named</cp:lastModifiedBy>
  <cp:revision>1</cp:revision>
  <dcterms:created xsi:type="dcterms:W3CDTF">2026-04-28T16:28:40.698Z</dcterms:created>
  <dcterms:modified xsi:type="dcterms:W3CDTF">2026-04-28T16:28:40.699Z</dcterms:modified>
</cp:coreProperties>
</file>

<file path=docProps/custom.xml><?xml version="1.0" encoding="utf-8"?>
<Properties xmlns="http://schemas.openxmlformats.org/officeDocument/2006/custom-properties" xmlns:vt="http://schemas.openxmlformats.org/officeDocument/2006/docPropsVTypes"/>
</file>