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D222B" w14:textId="77777777" w:rsidR="00754F89" w:rsidRDefault="00754F89" w:rsidP="00754F89">
      <w:pPr>
        <w:rPr>
          <w:b/>
          <w:bCs/>
        </w:rPr>
      </w:pPr>
      <w:r w:rsidRPr="00754F89">
        <w:rPr>
          <w:b/>
          <w:bCs/>
        </w:rPr>
        <w:t>Article Replication: _Bargaining in the Shadow of the Law: Divorce Laws and Family Distress</w:t>
      </w:r>
    </w:p>
    <w:p w14:paraId="56ED2DA0" w14:textId="6934A874" w:rsidR="00754F89" w:rsidRPr="00754F89" w:rsidRDefault="00754F89" w:rsidP="00754F89">
      <w:pPr>
        <w:rPr>
          <w:b/>
          <w:bCs/>
        </w:rPr>
      </w:pPr>
      <w:r w:rsidRPr="00754F89">
        <w:rPr>
          <w:b/>
          <w:bCs/>
        </w:rPr>
        <w:t>By Betsey Stevenson &amp; Justin Wolfers, The Quarterly Journal of Economics (2006), Vol. 121, Issue 1, pp. 267–288</w:t>
      </w:r>
    </w:p>
    <w:p w14:paraId="1D872CA5" w14:textId="4A5D2026" w:rsidR="003B09FB" w:rsidRPr="00783F05" w:rsidRDefault="00754F89" w:rsidP="00754F89">
      <w:pPr>
        <w:rPr>
          <w:b/>
          <w:bCs/>
        </w:rPr>
      </w:pPr>
      <w:r w:rsidRPr="00754F89">
        <w:rPr>
          <w:b/>
          <w:bCs/>
        </w:rPr>
        <w:t>https://doi.org/10.1093/qje/121.1.267</w:t>
      </w:r>
    </w:p>
    <w:p w14:paraId="57E7F85B" w14:textId="77777777" w:rsidR="003B09FB" w:rsidRDefault="003B09FB" w:rsidP="003B09FB"/>
    <w:p w14:paraId="48D60B14" w14:textId="77777777" w:rsidR="003B09FB" w:rsidRPr="003B09FB" w:rsidRDefault="003B09FB" w:rsidP="003B09FB">
      <w:pPr>
        <w:spacing w:before="100" w:beforeAutospacing="1" w:after="100" w:afterAutospacing="1"/>
        <w:outlineLvl w:val="1"/>
        <w:rPr>
          <w:b/>
          <w:bCs/>
          <w:sz w:val="36"/>
          <w:szCs w:val="36"/>
        </w:rPr>
      </w:pPr>
      <w:r w:rsidRPr="003B09FB">
        <w:rPr>
          <w:b/>
          <w:bCs/>
          <w:sz w:val="36"/>
          <w:szCs w:val="36"/>
        </w:rPr>
        <w:t>Section 1: Summary of the Original Study</w:t>
      </w:r>
    </w:p>
    <w:p w14:paraId="0A66D2AE" w14:textId="7FD52F1F" w:rsidR="00754F89" w:rsidRPr="00754F89" w:rsidRDefault="00754F89" w:rsidP="00754F89">
      <w:pPr>
        <w:spacing w:before="100" w:beforeAutospacing="1" w:after="100" w:afterAutospacing="1"/>
        <w:outlineLvl w:val="1"/>
      </w:pPr>
      <w:r w:rsidRPr="00754F89">
        <w:t xml:space="preserve">The paper we aim to replicate is </w:t>
      </w:r>
      <w:r w:rsidRPr="00754F89">
        <w:rPr>
          <w:i/>
          <w:iCs/>
        </w:rPr>
        <w:t>"Bargaining in the Shadow of the Law: Divorce Laws and Family Distress"</w:t>
      </w:r>
      <w:r w:rsidRPr="00754F89">
        <w:t>, authored by Betsey Stevenson and Justin Wolfers</w:t>
      </w:r>
      <w:r w:rsidR="006120EE">
        <w:t xml:space="preserve"> (2006)</w:t>
      </w:r>
      <w:r w:rsidRPr="00754F89">
        <w:t xml:space="preserve">, and published in the </w:t>
      </w:r>
      <w:r w:rsidRPr="00754F89">
        <w:rPr>
          <w:i/>
          <w:iCs/>
        </w:rPr>
        <w:t>Quarterly Journal of Economics</w:t>
      </w:r>
      <w:r w:rsidRPr="00754F89">
        <w:t xml:space="preserve"> in 2006. This seminal study investigates how the shift toward unilateral (no-fault) divorce laws in the United States affected indicators of family well-being, focusing particularly on female suicide rates, domestic violence, and labor force participation among women.</w:t>
      </w:r>
    </w:p>
    <w:p w14:paraId="25AD0633" w14:textId="77777777" w:rsidR="00754F89" w:rsidRPr="00754F89" w:rsidRDefault="00754F89" w:rsidP="00754F89">
      <w:pPr>
        <w:spacing w:before="100" w:beforeAutospacing="1" w:after="100" w:afterAutospacing="1"/>
        <w:outlineLvl w:val="1"/>
      </w:pPr>
      <w:r w:rsidRPr="00754F89">
        <w:t xml:space="preserve">The central research question posed in the study is: </w:t>
      </w:r>
      <w:r w:rsidRPr="00754F89">
        <w:rPr>
          <w:b/>
          <w:bCs/>
        </w:rPr>
        <w:t>How does empowering one spouse with the unilateral right to exit a marriage influence intra-household bargaining dynamics and, consequently, outcomes related to individual welfare and distress?</w:t>
      </w:r>
      <w:r w:rsidRPr="00754F89">
        <w:t xml:space="preserve"> This question is especially significant because it bridges the domains of legal reform, economic theory of the household, and empirical analysis of well-being indicators.</w:t>
      </w:r>
    </w:p>
    <w:p w14:paraId="79D393B6" w14:textId="77777777" w:rsidR="00754F89" w:rsidRPr="00754F89" w:rsidRDefault="00754F89" w:rsidP="00754F89">
      <w:pPr>
        <w:spacing w:before="100" w:beforeAutospacing="1" w:after="100" w:afterAutospacing="1"/>
        <w:outlineLvl w:val="1"/>
      </w:pPr>
      <w:r w:rsidRPr="00754F89">
        <w:t>The motivation for this research is grounded in the economic theory of bargaining within the household, particularly the idea that legal constraints shape the outside options available to each spouse. In traditional marriage settings, exit options were limited, especially for women. The introduction of no-fault divorce laws represented a fundamental change to the bargaining landscape. By allowing either spouse to initiate divorce without proving fault, these reforms provided a legal mechanism through which individuals could exit unsatisfactory marriages, thereby potentially shifting power dynamics within existing marriages as well.</w:t>
      </w:r>
    </w:p>
    <w:p w14:paraId="44D6AE5E" w14:textId="71B3020F" w:rsidR="00754F89" w:rsidRPr="00754F89" w:rsidRDefault="006120EE" w:rsidP="00754F89">
      <w:pPr>
        <w:spacing w:before="100" w:beforeAutospacing="1" w:after="100" w:afterAutospacing="1"/>
        <w:outlineLvl w:val="1"/>
      </w:pPr>
      <w:r>
        <w:t xml:space="preserve">From a methodological standpoint, Stevenson and Wolfers (2006) exploit the staggered </w:t>
      </w:r>
      <w:r w:rsidR="00754F89" w:rsidRPr="00754F89">
        <w:t xml:space="preserve">of no-fault divorce law implementation across U.S. states. This natural variation allows for a </w:t>
      </w:r>
      <w:r w:rsidR="00754F89" w:rsidRPr="00754F89">
        <w:rPr>
          <w:b/>
          <w:bCs/>
        </w:rPr>
        <w:t>difference-in-differences (DiD)</w:t>
      </w:r>
      <w:r w:rsidR="00754F89" w:rsidRPr="00754F89">
        <w:t xml:space="preserve"> identification strategy using panel data from 1964 to 1996, where each state effectively serves as its own control over time. The estimation strategy incorporates </w:t>
      </w:r>
      <w:r w:rsidR="00754F89" w:rsidRPr="00754F89">
        <w:rPr>
          <w:b/>
          <w:bCs/>
        </w:rPr>
        <w:t>two-way fixed effects (TWFE)</w:t>
      </w:r>
      <w:r w:rsidR="00754F89" w:rsidRPr="00754F89">
        <w:t xml:space="preserve"> to account for both time-invariant state-level heterogeneity and common national trends across time.</w:t>
      </w:r>
    </w:p>
    <w:p w14:paraId="7AEC32B9" w14:textId="77777777" w:rsidR="00754F89" w:rsidRPr="00754F89" w:rsidRDefault="00754F89" w:rsidP="00754F89">
      <w:pPr>
        <w:spacing w:before="100" w:beforeAutospacing="1" w:after="100" w:afterAutospacing="1"/>
        <w:outlineLvl w:val="1"/>
      </w:pPr>
      <w:r w:rsidRPr="00754F89">
        <w:t>The study uses a comprehensive dataset comprising state-year level indicators on suicide rates (disaggregated by gender), domestic violence, and labor force participation, among others. The suicide rate — particularly among women — serves as the primary indicator of distress, under the rationale that it reflects extreme responses to household stress and limited bargaining power.</w:t>
      </w:r>
    </w:p>
    <w:p w14:paraId="5262D699" w14:textId="17B626A1" w:rsidR="00754F89" w:rsidRPr="00754F89" w:rsidRDefault="00754F89" w:rsidP="00754F89">
      <w:pPr>
        <w:spacing w:before="100" w:beforeAutospacing="1" w:after="100" w:afterAutospacing="1"/>
        <w:outlineLvl w:val="1"/>
      </w:pPr>
      <w:r w:rsidRPr="00754F89">
        <w:t xml:space="preserve">The main finding is striking: </w:t>
      </w:r>
      <w:r w:rsidRPr="00754F89">
        <w:rPr>
          <w:b/>
          <w:bCs/>
        </w:rPr>
        <w:t>the introduction of unilateral divorce laws led to a statistically significant decline in female suicide rates</w:t>
      </w:r>
      <w:r w:rsidR="006120EE">
        <w:rPr>
          <w:b/>
          <w:bCs/>
        </w:rPr>
        <w:t xml:space="preserve"> </w:t>
      </w:r>
      <w:r w:rsidR="006120EE">
        <w:t>(Stevenson &amp; Wolfers, 2006)</w:t>
      </w:r>
      <w:r w:rsidRPr="00754F89">
        <w:t xml:space="preserve">. This effect was immediate and persistent. In contrast, male suicide rates did not show a significant response to the legal change. This asymmetry strongly supports the authors' interpretation that women — </w:t>
      </w:r>
      <w:r w:rsidRPr="00754F89">
        <w:lastRenderedPageBreak/>
        <w:t>traditionally more vulnerable under fault-based divorce regimes — disproportionately benefited from the reform. Additional evidence suggests improvements in other welfare indicators, such as reductions in domestic violence and increased female labor force participation.</w:t>
      </w:r>
    </w:p>
    <w:p w14:paraId="34CF7AEF" w14:textId="77777777" w:rsidR="00754F89" w:rsidRPr="00754F89" w:rsidRDefault="00754F89" w:rsidP="00754F89">
      <w:pPr>
        <w:spacing w:before="100" w:beforeAutospacing="1" w:after="100" w:afterAutospacing="1"/>
        <w:outlineLvl w:val="1"/>
      </w:pPr>
      <w:r w:rsidRPr="00754F89">
        <w:t xml:space="preserve">The paper makes a valuable contribution to both empirical economics and public policy by showing that </w:t>
      </w:r>
      <w:r w:rsidRPr="00754F89">
        <w:rPr>
          <w:b/>
          <w:bCs/>
        </w:rPr>
        <w:t>legal institutions can have deep and measurable effects on private family dynamics</w:t>
      </w:r>
      <w:r w:rsidRPr="00754F89">
        <w:t>. It also underscores the importance of considering gendered power asymmetries within policy design. By situating divorce law within the broader framework of household bargaining theory, Stevenson and Wolfers highlight the interplay between legal frameworks and individual welfare outcomes.</w:t>
      </w:r>
    </w:p>
    <w:p w14:paraId="711A0566" w14:textId="7A04021A" w:rsidR="00754F89" w:rsidRPr="00754F89" w:rsidRDefault="00754F89" w:rsidP="003B09FB">
      <w:pPr>
        <w:spacing w:before="100" w:beforeAutospacing="1" w:after="100" w:afterAutospacing="1"/>
        <w:outlineLvl w:val="1"/>
      </w:pPr>
      <w:r w:rsidRPr="00754F89">
        <w:t>In sum, this paper provides robust empirical evidence that changes in legal rights within marriage — specifically, the introduction of no-fault divorce — can reduce female distress and potentially enhance women’s autonomy. This makes it a compelling case for evaluating the real-world effects of institutional reforms through the lens of empirical microeconomics.</w:t>
      </w:r>
    </w:p>
    <w:p w14:paraId="4C7897F9" w14:textId="252E4569" w:rsidR="003B09FB" w:rsidRPr="003B09FB" w:rsidRDefault="003B09FB" w:rsidP="003B09FB">
      <w:pPr>
        <w:spacing w:before="100" w:beforeAutospacing="1" w:after="100" w:afterAutospacing="1"/>
        <w:outlineLvl w:val="1"/>
        <w:rPr>
          <w:b/>
          <w:bCs/>
          <w:sz w:val="36"/>
          <w:szCs w:val="36"/>
        </w:rPr>
      </w:pPr>
      <w:r w:rsidRPr="003B09FB">
        <w:rPr>
          <w:b/>
          <w:bCs/>
          <w:sz w:val="36"/>
          <w:szCs w:val="36"/>
        </w:rPr>
        <w:t>Section 2: Replication with Subsample Analysis Based on Taxation and Income Levels</w:t>
      </w:r>
    </w:p>
    <w:p w14:paraId="54771602" w14:textId="77777777" w:rsidR="00FB2FDC" w:rsidRPr="00FB2FDC" w:rsidRDefault="00FB2FDC" w:rsidP="00FB2FDC">
      <w:pPr>
        <w:spacing w:before="100" w:beforeAutospacing="1" w:after="100" w:afterAutospacing="1"/>
      </w:pPr>
      <w:r w:rsidRPr="00FB2FDC">
        <w:t>The core objective of this replication study is to evaluate the robustness and generalizability of the findings in Stevenson and Wolfers (2006) by applying updated econometric techniques and subsample heterogeneity analysis. While the original paper employs a conventional two-way fixed effects (TWFE) difference-in-differences (DiD) approach, which assumes homogeneous treatment effects across units and time, this replication aims to move beyond such assumptions. Particularly, we employ stratified subsample regressions to examine how the estimated impact of unilateral divorce reforms on female suicide rates varies depending on state-specific tax burdens and income levels. This approach provides insight into treatment heterogeneity — an essential consideration when policy effects are likely to be mediated by contextual socioeconomic differences.</w:t>
      </w:r>
    </w:p>
    <w:p w14:paraId="77944010" w14:textId="77777777" w:rsidR="00FB2FDC" w:rsidRPr="00FB2FDC" w:rsidRDefault="00FB2FDC" w:rsidP="00FB2FDC">
      <w:pPr>
        <w:spacing w:before="100" w:beforeAutospacing="1" w:after="100" w:afterAutospacing="1"/>
      </w:pPr>
      <w:r w:rsidRPr="00FB2FDC">
        <w:t>Our focus is not merely on replicating the overall negative effect of no-fault divorce laws on female suicide rates but on decomposing the effect by state-level institutional and economic variation. In doing so, we make two contributions: (i) we offer a clearer picture of where and for whom these policies have been most effective, and (ii) we expose potential limitations of average treatment effect estimates derived from pooled samples.</w:t>
      </w:r>
    </w:p>
    <w:p w14:paraId="30543298" w14:textId="77777777" w:rsidR="00FB2FDC" w:rsidRPr="003B09FB" w:rsidRDefault="00FB2FDC" w:rsidP="003B09FB">
      <w:pPr>
        <w:spacing w:before="100" w:beforeAutospacing="1" w:after="100" w:afterAutospacing="1"/>
      </w:pPr>
    </w:p>
    <w:p w14:paraId="1DC1F4F8" w14:textId="77777777" w:rsidR="003B09FB" w:rsidRPr="003B09FB" w:rsidRDefault="003B09FB" w:rsidP="003B09FB">
      <w:pPr>
        <w:spacing w:before="100" w:beforeAutospacing="1" w:after="100" w:afterAutospacing="1"/>
        <w:outlineLvl w:val="2"/>
        <w:rPr>
          <w:b/>
          <w:bCs/>
          <w:sz w:val="27"/>
          <w:szCs w:val="27"/>
        </w:rPr>
      </w:pPr>
      <w:r w:rsidRPr="003B09FB">
        <w:rPr>
          <w:b/>
          <w:bCs/>
          <w:sz w:val="27"/>
          <w:szCs w:val="27"/>
        </w:rPr>
        <w:t>2.1 Subsample Estimation by State Tax Levels</w:t>
      </w:r>
    </w:p>
    <w:p w14:paraId="4CF44400" w14:textId="77777777" w:rsidR="00FB2FDC" w:rsidRPr="00FB2FDC" w:rsidRDefault="00FB2FDC" w:rsidP="00FB2FDC">
      <w:pPr>
        <w:spacing w:before="100" w:beforeAutospacing="1" w:after="100" w:afterAutospacing="1"/>
      </w:pPr>
      <w:r w:rsidRPr="00FB2FDC">
        <w:t>We began by categorizing U.S. states into three tax burden groups — high, medium, and low — based on their average per capita state tax revenue. This classification proxies the degree of institutional capacity and public service provision, which may influence the extent to which individuals benefit from legal reforms.</w:t>
      </w:r>
    </w:p>
    <w:p w14:paraId="51E185F9" w14:textId="77777777" w:rsidR="00FB2FDC" w:rsidRDefault="00FB2FDC" w:rsidP="00FB2FDC">
      <w:pPr>
        <w:spacing w:before="100" w:beforeAutospacing="1" w:after="100" w:afterAutospacing="1"/>
      </w:pPr>
      <w:r w:rsidRPr="00FB2FDC">
        <w:lastRenderedPageBreak/>
        <w:t xml:space="preserve">We then estimated the treatment effect of unilateral divorce reform within each group using standard regression of the suicide rate of women (variable </w:t>
      </w:r>
      <w:r w:rsidRPr="00FB2FDC">
        <w:rPr>
          <w:rFonts w:ascii="Courier New" w:hAnsi="Courier New" w:cs="Courier New"/>
          <w:sz w:val="20"/>
          <w:szCs w:val="20"/>
        </w:rPr>
        <w:t>asmrs</w:t>
      </w:r>
      <w:r w:rsidRPr="00FB2FDC">
        <w:t>) on the treatment dummy (</w:t>
      </w:r>
      <w:r w:rsidRPr="00FB2FDC">
        <w:rPr>
          <w:rFonts w:ascii="Courier New" w:hAnsi="Courier New" w:cs="Courier New"/>
          <w:sz w:val="20"/>
          <w:szCs w:val="20"/>
        </w:rPr>
        <w:t>treat</w:t>
      </w:r>
      <w:r w:rsidRPr="00FB2FDC">
        <w:t>), which indicates post-reform observations. The subsample analysis yields notable variation across tax groups.</w:t>
      </w:r>
    </w:p>
    <w:p w14:paraId="58DC06AE" w14:textId="408AA4ED" w:rsidR="00FB2FDC" w:rsidRPr="00FB2FDC" w:rsidRDefault="00FB2FDC" w:rsidP="00FB2FDC">
      <w:pPr>
        <w:tabs>
          <w:tab w:val="left" w:pos="1558"/>
        </w:tabs>
        <w:spacing w:before="100" w:beforeAutospacing="1" w:after="100" w:afterAutospacing="1"/>
        <w:rPr>
          <w:rFonts w:eastAsiaTheme="minorHAnsi"/>
          <w:b/>
          <w:bCs/>
          <w:i/>
          <w:iCs/>
          <w:kern w:val="2"/>
          <w14:ligatures w14:val="standardContextual"/>
        </w:rPr>
      </w:pPr>
      <w:r w:rsidRPr="00FB2FDC">
        <w:rPr>
          <w:b/>
          <w:bCs/>
          <w:i/>
          <w:iCs/>
        </w:rPr>
        <w:t>Figure 1: Estimated Effect of No-Fault Divorce Laws on Female Suicide Rates by State Tax Level</w:t>
      </w:r>
    </w:p>
    <w:p w14:paraId="38164E7D" w14:textId="5B6F0562" w:rsidR="009937BB" w:rsidRDefault="004763FB" w:rsidP="003B09FB">
      <w:pPr>
        <w:spacing w:before="100" w:beforeAutospacing="1" w:after="100" w:afterAutospacing="1"/>
      </w:pPr>
      <w:r>
        <w:fldChar w:fldCharType="begin"/>
      </w:r>
      <w:r>
        <w:instrText xml:space="preserve"> INCLUDEPICTURE "https://files09.oaiusercontent.com/file-VuMon2WGfL2bxRnBgMq3AJ?se=2025-05-15T11%3A16%3A40Z&amp;sp=r&amp;sv=2024-08-04&amp;sr=b&amp;rscc=max-age%3D299%2C%20immutable%2C%20private&amp;rscd=attachment%3B%20filename%3Ddafd6731-29d1-48e2-aff4-4fa5c8125a23&amp;sig=Dslly01Ov2sG702x%2Ba6OI8/0NUapi7mmAHl78xJhKBU%3D" \* MERGEFORMATINET </w:instrText>
      </w:r>
      <w:r>
        <w:fldChar w:fldCharType="separate"/>
      </w:r>
      <w:r>
        <w:rPr>
          <w:noProof/>
        </w:rPr>
        <w:drawing>
          <wp:inline distT="0" distB="0" distL="0" distR="0" wp14:anchorId="0C93B987" wp14:editId="7B8A08C1">
            <wp:extent cx="4058816" cy="2418812"/>
            <wp:effectExtent l="0" t="0" r="5715" b="0"/>
            <wp:docPr id="1587484252" name="Picture 4"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Çıktı görsel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0406" cy="2491272"/>
                    </a:xfrm>
                    <a:prstGeom prst="rect">
                      <a:avLst/>
                    </a:prstGeom>
                    <a:noFill/>
                    <a:ln>
                      <a:noFill/>
                    </a:ln>
                  </pic:spPr>
                </pic:pic>
              </a:graphicData>
            </a:graphic>
          </wp:inline>
        </w:drawing>
      </w:r>
      <w:r>
        <w:fldChar w:fldCharType="end"/>
      </w:r>
    </w:p>
    <w:p w14:paraId="6214438A" w14:textId="52C0E8B1" w:rsidR="004763FB" w:rsidRDefault="004763FB" w:rsidP="004763FB">
      <w:pPr>
        <w:tabs>
          <w:tab w:val="left" w:pos="1558"/>
        </w:tabs>
        <w:spacing w:before="100" w:beforeAutospacing="1" w:after="100" w:afterAutospacing="1"/>
        <w:rPr>
          <w:i/>
          <w:iCs/>
        </w:rPr>
      </w:pPr>
      <w:r w:rsidRPr="004763FB">
        <w:rPr>
          <w:i/>
          <w:iCs/>
        </w:rPr>
        <w:t>(</w:t>
      </w:r>
      <w:r w:rsidRPr="004763FB">
        <w:rPr>
          <w:i/>
          <w:iCs/>
        </w:rPr>
        <w:t>This figure presents regression results by state tax burden group (high, medium, low) with 95% confidence intervals. The strongest negative effect is observed in medium-tax states, while high-tax states show a weaker and marginally significant effect. In low-tax states, the estimated effect is positive and statistically insignificant, pointing to limited or even adverse policy effectiveness.</w:t>
      </w:r>
      <w:r w:rsidRPr="004763FB">
        <w:rPr>
          <w:i/>
          <w:iCs/>
        </w:rPr>
        <w:t>)</w:t>
      </w:r>
    </w:p>
    <w:p w14:paraId="1881D8C1" w14:textId="3FDCD50D" w:rsidR="00FB2FDC" w:rsidRPr="003B09FB" w:rsidRDefault="00FB2FDC" w:rsidP="004763FB">
      <w:pPr>
        <w:tabs>
          <w:tab w:val="left" w:pos="1558"/>
        </w:tabs>
        <w:spacing w:before="100" w:beforeAutospacing="1" w:after="100" w:afterAutospacing="1"/>
        <w:rPr>
          <w:b/>
          <w:bCs/>
        </w:rPr>
      </w:pPr>
      <w:r>
        <w:rPr>
          <w:b/>
          <w:bCs/>
        </w:rPr>
        <w:t>Results Summary</w:t>
      </w:r>
    </w:p>
    <w:tbl>
      <w:tblPr>
        <w:tblW w:w="6742" w:type="dxa"/>
        <w:tblCellSpacing w:w="15" w:type="dxa"/>
        <w:tblCellMar>
          <w:top w:w="15" w:type="dxa"/>
          <w:left w:w="15" w:type="dxa"/>
          <w:bottom w:w="15" w:type="dxa"/>
          <w:right w:w="15" w:type="dxa"/>
        </w:tblCellMar>
        <w:tblLook w:val="04A0" w:firstRow="1" w:lastRow="0" w:firstColumn="1" w:lastColumn="0" w:noHBand="0" w:noVBand="1"/>
      </w:tblPr>
      <w:tblGrid>
        <w:gridCol w:w="2298"/>
        <w:gridCol w:w="2274"/>
        <w:gridCol w:w="963"/>
        <w:gridCol w:w="702"/>
        <w:gridCol w:w="505"/>
      </w:tblGrid>
      <w:tr w:rsidR="00FB2FDC" w:rsidRPr="00FB2FDC" w14:paraId="5F9BF803" w14:textId="77777777" w:rsidTr="00FB2FDC">
        <w:trPr>
          <w:trHeight w:val="353"/>
          <w:tblHeader/>
          <w:tblCellSpacing w:w="15" w:type="dxa"/>
        </w:trPr>
        <w:tc>
          <w:tcPr>
            <w:tcW w:w="0" w:type="auto"/>
            <w:vAlign w:val="center"/>
            <w:hideMark/>
          </w:tcPr>
          <w:p w14:paraId="38C95D44" w14:textId="77777777" w:rsidR="00FB2FDC" w:rsidRPr="00FB2FDC" w:rsidRDefault="00FB2FDC" w:rsidP="00FB2FDC">
            <w:pPr>
              <w:rPr>
                <w:b/>
                <w:bCs/>
              </w:rPr>
            </w:pPr>
            <w:r w:rsidRPr="00FB2FDC">
              <w:rPr>
                <w:b/>
                <w:bCs/>
              </w:rPr>
              <w:t>Tax Level</w:t>
            </w:r>
          </w:p>
        </w:tc>
        <w:tc>
          <w:tcPr>
            <w:tcW w:w="0" w:type="auto"/>
            <w:vAlign w:val="center"/>
            <w:hideMark/>
          </w:tcPr>
          <w:p w14:paraId="200BC54F" w14:textId="77777777" w:rsidR="00FB2FDC" w:rsidRPr="00FB2FDC" w:rsidRDefault="00FB2FDC" w:rsidP="00FB2FDC">
            <w:pPr>
              <w:rPr>
                <w:b/>
                <w:bCs/>
              </w:rPr>
            </w:pPr>
            <w:r w:rsidRPr="00FB2FDC">
              <w:rPr>
                <w:b/>
                <w:bCs/>
              </w:rPr>
              <w:t>Coefficient (t-stat)</w:t>
            </w:r>
          </w:p>
        </w:tc>
        <w:tc>
          <w:tcPr>
            <w:tcW w:w="0" w:type="auto"/>
            <w:vAlign w:val="center"/>
            <w:hideMark/>
          </w:tcPr>
          <w:p w14:paraId="7E9D25BD" w14:textId="77777777" w:rsidR="00FB2FDC" w:rsidRPr="00FB2FDC" w:rsidRDefault="00FB2FDC" w:rsidP="00FB2FDC">
            <w:pPr>
              <w:rPr>
                <w:b/>
                <w:bCs/>
              </w:rPr>
            </w:pPr>
            <w:r w:rsidRPr="00FB2FDC">
              <w:rPr>
                <w:b/>
                <w:bCs/>
              </w:rPr>
              <w:t>p-value</w:t>
            </w:r>
          </w:p>
        </w:tc>
        <w:tc>
          <w:tcPr>
            <w:tcW w:w="0" w:type="auto"/>
            <w:vAlign w:val="center"/>
            <w:hideMark/>
          </w:tcPr>
          <w:p w14:paraId="6DBDACC8" w14:textId="77777777" w:rsidR="00FB2FDC" w:rsidRPr="00FB2FDC" w:rsidRDefault="00FB2FDC" w:rsidP="00FB2FDC">
            <w:pPr>
              <w:rPr>
                <w:b/>
                <w:bCs/>
              </w:rPr>
            </w:pPr>
            <w:r w:rsidRPr="00FB2FDC">
              <w:rPr>
                <w:b/>
                <w:bCs/>
              </w:rPr>
              <w:t>R²</w:t>
            </w:r>
          </w:p>
        </w:tc>
        <w:tc>
          <w:tcPr>
            <w:tcW w:w="0" w:type="auto"/>
            <w:vAlign w:val="center"/>
            <w:hideMark/>
          </w:tcPr>
          <w:p w14:paraId="209A6EDE" w14:textId="77777777" w:rsidR="00FB2FDC" w:rsidRPr="00FB2FDC" w:rsidRDefault="00FB2FDC" w:rsidP="00FB2FDC">
            <w:pPr>
              <w:rPr>
                <w:b/>
                <w:bCs/>
              </w:rPr>
            </w:pPr>
            <w:r w:rsidRPr="00FB2FDC">
              <w:rPr>
                <w:b/>
                <w:bCs/>
              </w:rPr>
              <w:t>N</w:t>
            </w:r>
          </w:p>
        </w:tc>
      </w:tr>
      <w:tr w:rsidR="00FB2FDC" w:rsidRPr="00FB2FDC" w14:paraId="6426ADF6" w14:textId="77777777" w:rsidTr="00FB2FDC">
        <w:trPr>
          <w:trHeight w:val="353"/>
          <w:tblCellSpacing w:w="15" w:type="dxa"/>
        </w:trPr>
        <w:tc>
          <w:tcPr>
            <w:tcW w:w="0" w:type="auto"/>
            <w:vAlign w:val="center"/>
            <w:hideMark/>
          </w:tcPr>
          <w:p w14:paraId="7D868239" w14:textId="77777777" w:rsidR="00FB2FDC" w:rsidRPr="00FB2FDC" w:rsidRDefault="00FB2FDC" w:rsidP="00FB2FDC">
            <w:r w:rsidRPr="00FB2FDC">
              <w:t>High Tax States</w:t>
            </w:r>
          </w:p>
        </w:tc>
        <w:tc>
          <w:tcPr>
            <w:tcW w:w="0" w:type="auto"/>
            <w:vAlign w:val="center"/>
            <w:hideMark/>
          </w:tcPr>
          <w:p w14:paraId="2C3EBD91" w14:textId="77777777" w:rsidR="00FB2FDC" w:rsidRPr="00FB2FDC" w:rsidRDefault="00FB2FDC" w:rsidP="00FB2FDC">
            <w:r w:rsidRPr="00FB2FDC">
              <w:t>-3.87 (-1.82)</w:t>
            </w:r>
          </w:p>
        </w:tc>
        <w:tc>
          <w:tcPr>
            <w:tcW w:w="0" w:type="auto"/>
            <w:vAlign w:val="center"/>
            <w:hideMark/>
          </w:tcPr>
          <w:p w14:paraId="7DFB3D10" w14:textId="77777777" w:rsidR="00FB2FDC" w:rsidRPr="00FB2FDC" w:rsidRDefault="00FB2FDC" w:rsidP="00FB2FDC">
            <w:r w:rsidRPr="00FB2FDC">
              <w:t>0.07</w:t>
            </w:r>
          </w:p>
        </w:tc>
        <w:tc>
          <w:tcPr>
            <w:tcW w:w="0" w:type="auto"/>
            <w:vAlign w:val="center"/>
            <w:hideMark/>
          </w:tcPr>
          <w:p w14:paraId="2A628367" w14:textId="77777777" w:rsidR="00FB2FDC" w:rsidRPr="00FB2FDC" w:rsidRDefault="00FB2FDC" w:rsidP="00FB2FDC">
            <w:r w:rsidRPr="00FB2FDC">
              <w:t>0.008</w:t>
            </w:r>
          </w:p>
        </w:tc>
        <w:tc>
          <w:tcPr>
            <w:tcW w:w="0" w:type="auto"/>
            <w:vAlign w:val="center"/>
            <w:hideMark/>
          </w:tcPr>
          <w:p w14:paraId="2057D22C" w14:textId="77777777" w:rsidR="00FB2FDC" w:rsidRPr="00FB2FDC" w:rsidRDefault="00FB2FDC" w:rsidP="00FB2FDC">
            <w:r w:rsidRPr="00FB2FDC">
              <w:t>396</w:t>
            </w:r>
          </w:p>
        </w:tc>
      </w:tr>
      <w:tr w:rsidR="00FB2FDC" w:rsidRPr="00FB2FDC" w14:paraId="32D6F347" w14:textId="77777777" w:rsidTr="00FB2FDC">
        <w:trPr>
          <w:trHeight w:val="353"/>
          <w:tblCellSpacing w:w="15" w:type="dxa"/>
        </w:trPr>
        <w:tc>
          <w:tcPr>
            <w:tcW w:w="0" w:type="auto"/>
            <w:vAlign w:val="center"/>
            <w:hideMark/>
          </w:tcPr>
          <w:p w14:paraId="3AEC9740" w14:textId="77777777" w:rsidR="00FB2FDC" w:rsidRPr="00FB2FDC" w:rsidRDefault="00FB2FDC" w:rsidP="00FB2FDC">
            <w:r w:rsidRPr="00FB2FDC">
              <w:t>Medium Tax States</w:t>
            </w:r>
          </w:p>
        </w:tc>
        <w:tc>
          <w:tcPr>
            <w:tcW w:w="0" w:type="auto"/>
            <w:vAlign w:val="center"/>
            <w:hideMark/>
          </w:tcPr>
          <w:p w14:paraId="217346C5" w14:textId="77777777" w:rsidR="00FB2FDC" w:rsidRPr="00FB2FDC" w:rsidRDefault="00FB2FDC" w:rsidP="00FB2FDC">
            <w:r w:rsidRPr="00FB2FDC">
              <w:t>-10.55 (-5.72)</w:t>
            </w:r>
          </w:p>
        </w:tc>
        <w:tc>
          <w:tcPr>
            <w:tcW w:w="0" w:type="auto"/>
            <w:vAlign w:val="center"/>
            <w:hideMark/>
          </w:tcPr>
          <w:p w14:paraId="5E6EC935" w14:textId="77777777" w:rsidR="00FB2FDC" w:rsidRPr="00FB2FDC" w:rsidRDefault="00FB2FDC" w:rsidP="00FB2FDC">
            <w:r w:rsidRPr="00FB2FDC">
              <w:t>0.000</w:t>
            </w:r>
          </w:p>
        </w:tc>
        <w:tc>
          <w:tcPr>
            <w:tcW w:w="0" w:type="auto"/>
            <w:vAlign w:val="center"/>
            <w:hideMark/>
          </w:tcPr>
          <w:p w14:paraId="5B29E7B2" w14:textId="77777777" w:rsidR="00FB2FDC" w:rsidRPr="00FB2FDC" w:rsidRDefault="00FB2FDC" w:rsidP="00FB2FDC">
            <w:r w:rsidRPr="00FB2FDC">
              <w:t>0.066</w:t>
            </w:r>
          </w:p>
        </w:tc>
        <w:tc>
          <w:tcPr>
            <w:tcW w:w="0" w:type="auto"/>
            <w:vAlign w:val="center"/>
            <w:hideMark/>
          </w:tcPr>
          <w:p w14:paraId="71AA71A6" w14:textId="77777777" w:rsidR="00FB2FDC" w:rsidRPr="00FB2FDC" w:rsidRDefault="00FB2FDC" w:rsidP="00FB2FDC">
            <w:r w:rsidRPr="00FB2FDC">
              <w:t>462</w:t>
            </w:r>
          </w:p>
        </w:tc>
      </w:tr>
      <w:tr w:rsidR="00FB2FDC" w:rsidRPr="00FB2FDC" w14:paraId="4591A5D6" w14:textId="77777777" w:rsidTr="00FB2FDC">
        <w:trPr>
          <w:trHeight w:val="353"/>
          <w:tblCellSpacing w:w="15" w:type="dxa"/>
        </w:trPr>
        <w:tc>
          <w:tcPr>
            <w:tcW w:w="0" w:type="auto"/>
            <w:vAlign w:val="center"/>
            <w:hideMark/>
          </w:tcPr>
          <w:p w14:paraId="7B3FBBF0" w14:textId="77777777" w:rsidR="00FB2FDC" w:rsidRPr="00FB2FDC" w:rsidRDefault="00FB2FDC" w:rsidP="00FB2FDC">
            <w:r w:rsidRPr="00FB2FDC">
              <w:t>Low Tax States</w:t>
            </w:r>
          </w:p>
        </w:tc>
        <w:tc>
          <w:tcPr>
            <w:tcW w:w="0" w:type="auto"/>
            <w:vAlign w:val="center"/>
            <w:hideMark/>
          </w:tcPr>
          <w:p w14:paraId="5719DB86" w14:textId="77777777" w:rsidR="00FB2FDC" w:rsidRPr="00FB2FDC" w:rsidRDefault="00FB2FDC" w:rsidP="00FB2FDC">
            <w:r w:rsidRPr="00FB2FDC">
              <w:t>+1.84 (0.49)</w:t>
            </w:r>
          </w:p>
        </w:tc>
        <w:tc>
          <w:tcPr>
            <w:tcW w:w="0" w:type="auto"/>
            <w:vAlign w:val="center"/>
            <w:hideMark/>
          </w:tcPr>
          <w:p w14:paraId="16078EC1" w14:textId="77777777" w:rsidR="00FB2FDC" w:rsidRPr="00FB2FDC" w:rsidRDefault="00FB2FDC" w:rsidP="00FB2FDC">
            <w:r w:rsidRPr="00FB2FDC">
              <w:t>0.623</w:t>
            </w:r>
          </w:p>
        </w:tc>
        <w:tc>
          <w:tcPr>
            <w:tcW w:w="0" w:type="auto"/>
            <w:vAlign w:val="center"/>
            <w:hideMark/>
          </w:tcPr>
          <w:p w14:paraId="3AFC4B3E" w14:textId="77777777" w:rsidR="00FB2FDC" w:rsidRPr="00FB2FDC" w:rsidRDefault="00FB2FDC" w:rsidP="00FB2FDC">
            <w:r w:rsidRPr="00FB2FDC">
              <w:t>0.001</w:t>
            </w:r>
          </w:p>
        </w:tc>
        <w:tc>
          <w:tcPr>
            <w:tcW w:w="0" w:type="auto"/>
            <w:vAlign w:val="center"/>
            <w:hideMark/>
          </w:tcPr>
          <w:p w14:paraId="7BDF6E26" w14:textId="77777777" w:rsidR="00FB2FDC" w:rsidRPr="00FB2FDC" w:rsidRDefault="00FB2FDC" w:rsidP="00FB2FDC">
            <w:r w:rsidRPr="00FB2FDC">
              <w:t>231</w:t>
            </w:r>
          </w:p>
        </w:tc>
      </w:tr>
    </w:tbl>
    <w:p w14:paraId="661ECD01" w14:textId="77777777" w:rsidR="00FB2FDC" w:rsidRDefault="00FB2FDC" w:rsidP="003B09FB">
      <w:pPr>
        <w:spacing w:before="100" w:beforeAutospacing="1" w:after="100" w:afterAutospacing="1"/>
        <w:outlineLvl w:val="3"/>
        <w:rPr>
          <w:b/>
          <w:bCs/>
        </w:rPr>
      </w:pPr>
    </w:p>
    <w:p w14:paraId="5665514C" w14:textId="77777777" w:rsidR="00FB2FDC" w:rsidRPr="00FB2FDC" w:rsidRDefault="00FB2FDC" w:rsidP="00FB2FDC">
      <w:pPr>
        <w:spacing w:before="100" w:beforeAutospacing="1" w:after="100" w:afterAutospacing="1"/>
        <w:outlineLvl w:val="3"/>
        <w:rPr>
          <w:b/>
          <w:bCs/>
        </w:rPr>
      </w:pPr>
      <w:r w:rsidRPr="00FB2FDC">
        <w:rPr>
          <w:b/>
          <w:bCs/>
        </w:rPr>
        <w:t>Interpretation</w:t>
      </w:r>
    </w:p>
    <w:p w14:paraId="07ECC0C8" w14:textId="77777777" w:rsidR="00FB2FDC" w:rsidRPr="00FB2FDC" w:rsidRDefault="00FB2FDC" w:rsidP="00FB2FDC">
      <w:pPr>
        <w:numPr>
          <w:ilvl w:val="0"/>
          <w:numId w:val="11"/>
        </w:numPr>
        <w:spacing w:before="100" w:beforeAutospacing="1" w:after="100" w:afterAutospacing="1"/>
      </w:pPr>
      <w:r w:rsidRPr="00FB2FDC">
        <w:rPr>
          <w:b/>
          <w:bCs/>
        </w:rPr>
        <w:t>High Tax States:</w:t>
      </w:r>
      <w:r w:rsidRPr="00FB2FDC">
        <w:t xml:space="preserve"> The effect of divorce reform is negative and marginally significant (p = 0.07), indicating a modest reduction in female suicide rates. This result supports the hypothesis that stronger state institutions and generous welfare systems may help women better navigate the consequences of marital dissolution. However, the magnitude of the effect is limited compared to medium-tax states.</w:t>
      </w:r>
    </w:p>
    <w:p w14:paraId="20AC68EA" w14:textId="77777777" w:rsidR="00FB2FDC" w:rsidRPr="00FB2FDC" w:rsidRDefault="00FB2FDC" w:rsidP="00FB2FDC">
      <w:pPr>
        <w:numPr>
          <w:ilvl w:val="0"/>
          <w:numId w:val="11"/>
        </w:numPr>
        <w:spacing w:before="100" w:beforeAutospacing="1" w:after="100" w:afterAutospacing="1"/>
      </w:pPr>
      <w:r w:rsidRPr="00FB2FDC">
        <w:rPr>
          <w:b/>
          <w:bCs/>
        </w:rPr>
        <w:lastRenderedPageBreak/>
        <w:t>Medium Tax States:</w:t>
      </w:r>
      <w:r w:rsidRPr="00FB2FDC">
        <w:t xml:space="preserve"> This group shows the most substantial decline in suicide rates (coefficient = -10.55, p &lt; 0.01), suggesting a strong beneficial impact of divorce reforms. A plausible explanation is that medium-tax states may offer a balanced level of institutional support — enough to enhance the effectiveness of the reform, but not so extensive as to dilute marginal improvements.</w:t>
      </w:r>
    </w:p>
    <w:p w14:paraId="11418B96" w14:textId="77777777" w:rsidR="00FB2FDC" w:rsidRPr="00FB2FDC" w:rsidRDefault="00FB2FDC" w:rsidP="00FB2FDC">
      <w:pPr>
        <w:numPr>
          <w:ilvl w:val="0"/>
          <w:numId w:val="11"/>
        </w:numPr>
        <w:spacing w:before="100" w:beforeAutospacing="1" w:after="100" w:afterAutospacing="1"/>
      </w:pPr>
      <w:r w:rsidRPr="00FB2FDC">
        <w:rPr>
          <w:b/>
          <w:bCs/>
        </w:rPr>
        <w:t>Low Tax States:</w:t>
      </w:r>
      <w:r w:rsidRPr="00FB2FDC">
        <w:t xml:space="preserve"> Surprisingly, the effect is slightly positive and statistically insignificant. This suggests that in the absence of sufficient public infrastructure and support systems, the divorce law might not lead to psychological or material improvement for vulnerable women — and could, in some contexts, exacerbate their distress.</w:t>
      </w:r>
    </w:p>
    <w:p w14:paraId="1C710A9B" w14:textId="642A1474" w:rsidR="003B09FB" w:rsidRPr="003B09FB" w:rsidRDefault="003B09FB" w:rsidP="003B09FB">
      <w:pPr>
        <w:spacing w:before="100" w:beforeAutospacing="1" w:after="100" w:afterAutospacing="1"/>
      </w:pPr>
    </w:p>
    <w:p w14:paraId="37B0AE5B" w14:textId="77777777" w:rsidR="003B09FB" w:rsidRPr="003B09FB" w:rsidRDefault="003B09FB" w:rsidP="003B09FB">
      <w:pPr>
        <w:spacing w:before="100" w:beforeAutospacing="1" w:after="100" w:afterAutospacing="1"/>
        <w:outlineLvl w:val="2"/>
        <w:rPr>
          <w:b/>
          <w:bCs/>
          <w:sz w:val="27"/>
          <w:szCs w:val="27"/>
        </w:rPr>
      </w:pPr>
      <w:r w:rsidRPr="003B09FB">
        <w:rPr>
          <w:b/>
          <w:bCs/>
          <w:sz w:val="27"/>
          <w:szCs w:val="27"/>
        </w:rPr>
        <w:t>2.2 Subsample Estimation by State Income Levels</w:t>
      </w:r>
    </w:p>
    <w:p w14:paraId="2D8BE803" w14:textId="77777777" w:rsidR="00FB2FDC" w:rsidRPr="00FB2FDC" w:rsidRDefault="00FB2FDC" w:rsidP="00FB2FDC">
      <w:pPr>
        <w:spacing w:before="100" w:beforeAutospacing="1" w:after="100" w:afterAutospacing="1"/>
      </w:pPr>
      <w:r w:rsidRPr="00FB2FDC">
        <w:t>We repeated the above analysis using per capita income as the grouping criterion. Income serves as a proxy for household-level economic capacity, social mobility, and access to private resources that may moderate the experience of legal reform.</w:t>
      </w:r>
    </w:p>
    <w:p w14:paraId="30E32F74" w14:textId="16A050EE" w:rsidR="00FB2FDC" w:rsidRDefault="00FB2FDC" w:rsidP="009937BB">
      <w:pPr>
        <w:spacing w:before="100" w:beforeAutospacing="1" w:after="100" w:afterAutospacing="1"/>
      </w:pPr>
      <w:r w:rsidRPr="00FB2FDC">
        <w:t>States were sorted into high, medium, and low-income groups. Within each group, we again estimated the effect of the reform using the same model.</w:t>
      </w:r>
    </w:p>
    <w:p w14:paraId="5B3876F3" w14:textId="77777777" w:rsidR="00FB2FDC" w:rsidRPr="004763FB" w:rsidRDefault="00FB2FDC" w:rsidP="00FB2FDC">
      <w:pPr>
        <w:autoSpaceDE w:val="0"/>
        <w:autoSpaceDN w:val="0"/>
        <w:adjustRightInd w:val="0"/>
        <w:rPr>
          <w:b/>
          <w:bCs/>
          <w:i/>
          <w:iCs/>
        </w:rPr>
      </w:pPr>
      <w:r w:rsidRPr="004763FB">
        <w:rPr>
          <w:rFonts w:eastAsiaTheme="majorEastAsia"/>
          <w:b/>
          <w:bCs/>
          <w:i/>
          <w:iCs/>
        </w:rPr>
        <w:t>Figure</w:t>
      </w:r>
      <w:r>
        <w:rPr>
          <w:b/>
          <w:bCs/>
          <w:i/>
          <w:iCs/>
        </w:rPr>
        <w:t xml:space="preserve"> 2</w:t>
      </w:r>
      <w:r w:rsidRPr="004763FB">
        <w:rPr>
          <w:rFonts w:eastAsiaTheme="majorEastAsia"/>
          <w:b/>
          <w:bCs/>
          <w:i/>
          <w:iCs/>
        </w:rPr>
        <w:t>: Estimated Effect of No-Fault Divorce Laws on Female Suicide Rates by Per Capita Income Level</w:t>
      </w:r>
    </w:p>
    <w:p w14:paraId="0DC6F15C" w14:textId="77777777" w:rsidR="00FB2FDC" w:rsidRDefault="00FB2FDC" w:rsidP="009937BB">
      <w:pPr>
        <w:spacing w:before="100" w:beforeAutospacing="1" w:after="100" w:afterAutospacing="1"/>
      </w:pPr>
    </w:p>
    <w:p w14:paraId="783CCDEF" w14:textId="6DA5F69A" w:rsidR="004763FB" w:rsidRPr="004763FB" w:rsidRDefault="004763FB" w:rsidP="004763FB">
      <w:r w:rsidRPr="004763FB">
        <w:fldChar w:fldCharType="begin"/>
      </w:r>
      <w:r w:rsidRPr="004763FB">
        <w:instrText xml:space="preserve"> INCLUDEPICTURE "https://files09.oaiusercontent.com/file-67iVPh5j6np2abEZd4bsXP?se=2025-05-15T11%3A16%3A40Z&amp;sp=r&amp;sv=2024-08-04&amp;sr=b&amp;rscc=max-age%3D299%2C%20immutable%2C%20private&amp;rscd=attachment%3B%20filename%3D78ffa8e2-2e4f-4600-a8a8-74c640036980&amp;sig=6nEcR5l2Knrd85MSem7YwdzgFrRLIyevAfNjxFjdxhs%3D" \* MERGEFORMATINET </w:instrText>
      </w:r>
      <w:r w:rsidRPr="004763FB">
        <w:fldChar w:fldCharType="separate"/>
      </w:r>
      <w:r w:rsidRPr="004763FB">
        <w:rPr>
          <w:noProof/>
        </w:rPr>
        <w:drawing>
          <wp:inline distT="0" distB="0" distL="0" distR="0" wp14:anchorId="108C7A4E" wp14:editId="4324F2F9">
            <wp:extent cx="4068147" cy="2463924"/>
            <wp:effectExtent l="0" t="0" r="0" b="0"/>
            <wp:docPr id="1019180669" name="Picture 3"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Çıktı görsel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2147" cy="2557196"/>
                    </a:xfrm>
                    <a:prstGeom prst="rect">
                      <a:avLst/>
                    </a:prstGeom>
                    <a:noFill/>
                    <a:ln>
                      <a:noFill/>
                    </a:ln>
                  </pic:spPr>
                </pic:pic>
              </a:graphicData>
            </a:graphic>
          </wp:inline>
        </w:drawing>
      </w:r>
      <w:r w:rsidRPr="004763FB">
        <w:fldChar w:fldCharType="end"/>
      </w:r>
    </w:p>
    <w:p w14:paraId="2AF2C99A" w14:textId="77777777" w:rsidR="009937BB" w:rsidRDefault="009937BB" w:rsidP="009937BB">
      <w:pPr>
        <w:autoSpaceDE w:val="0"/>
        <w:autoSpaceDN w:val="0"/>
        <w:adjustRightInd w:val="0"/>
        <w:rPr>
          <w:lang w:val="en-US"/>
        </w:rPr>
      </w:pPr>
    </w:p>
    <w:p w14:paraId="076AAD4D" w14:textId="77777777" w:rsidR="004763FB" w:rsidRPr="004763FB" w:rsidRDefault="004763FB" w:rsidP="004763FB">
      <w:pPr>
        <w:autoSpaceDE w:val="0"/>
        <w:autoSpaceDN w:val="0"/>
        <w:adjustRightInd w:val="0"/>
      </w:pPr>
      <w:r w:rsidRPr="004763FB">
        <w:rPr>
          <w:rFonts w:eastAsiaTheme="majorEastAsia"/>
          <w:i/>
          <w:iCs/>
        </w:rPr>
        <w:t>This figure displays the estimated coefficients from regressions stratified by per capita income level (high, medium, low) with 95% confidence intervals. The treatment effect is most negative in medium-income states, indicating the largest reduction in female suicide rates following the implementation of unilateral divorce laws. In contrast, low-income states exhibit a positive and significant effect, suggesting a potential increase in suicide rates.</w:t>
      </w:r>
    </w:p>
    <w:p w14:paraId="77D3632E" w14:textId="77777777" w:rsidR="009937BB" w:rsidRDefault="009937BB" w:rsidP="009937BB">
      <w:pPr>
        <w:autoSpaceDE w:val="0"/>
        <w:autoSpaceDN w:val="0"/>
        <w:adjustRightInd w:val="0"/>
        <w:rPr>
          <w:lang w:val="en-US"/>
        </w:rPr>
      </w:pPr>
    </w:p>
    <w:p w14:paraId="5F2982E8" w14:textId="77777777" w:rsidR="004763FB" w:rsidRDefault="004763FB" w:rsidP="009937BB">
      <w:pPr>
        <w:spacing w:before="100" w:beforeAutospacing="1" w:after="100" w:afterAutospacing="1"/>
        <w:rPr>
          <w:b/>
          <w:bCs/>
        </w:rPr>
      </w:pPr>
    </w:p>
    <w:p w14:paraId="5DCC9A14" w14:textId="64F6A6B8" w:rsidR="003B09FB" w:rsidRDefault="00FB2FDC" w:rsidP="009937BB">
      <w:pPr>
        <w:spacing w:before="100" w:beforeAutospacing="1" w:after="100" w:afterAutospacing="1"/>
        <w:rPr>
          <w:b/>
          <w:bCs/>
        </w:rPr>
      </w:pPr>
      <w:r>
        <w:rPr>
          <w:b/>
          <w:bCs/>
        </w:rPr>
        <w:t>Results Summary</w:t>
      </w:r>
    </w:p>
    <w:tbl>
      <w:tblPr>
        <w:tblW w:w="7684" w:type="dxa"/>
        <w:tblCellSpacing w:w="15" w:type="dxa"/>
        <w:tblCellMar>
          <w:top w:w="15" w:type="dxa"/>
          <w:left w:w="15" w:type="dxa"/>
          <w:bottom w:w="15" w:type="dxa"/>
          <w:right w:w="15" w:type="dxa"/>
        </w:tblCellMar>
        <w:tblLook w:val="04A0" w:firstRow="1" w:lastRow="0" w:firstColumn="1" w:lastColumn="0" w:noHBand="0" w:noVBand="1"/>
      </w:tblPr>
      <w:tblGrid>
        <w:gridCol w:w="2926"/>
        <w:gridCol w:w="2438"/>
        <w:gridCol w:w="1031"/>
        <w:gridCol w:w="751"/>
        <w:gridCol w:w="538"/>
      </w:tblGrid>
      <w:tr w:rsidR="00FB2FDC" w:rsidRPr="00FB2FDC" w14:paraId="5ECF2696" w14:textId="77777777" w:rsidTr="00FB2FDC">
        <w:trPr>
          <w:trHeight w:val="344"/>
          <w:tblHeader/>
          <w:tblCellSpacing w:w="15" w:type="dxa"/>
        </w:trPr>
        <w:tc>
          <w:tcPr>
            <w:tcW w:w="0" w:type="auto"/>
            <w:vAlign w:val="center"/>
            <w:hideMark/>
          </w:tcPr>
          <w:p w14:paraId="76AE5C16" w14:textId="77777777" w:rsidR="00FB2FDC" w:rsidRPr="00FB2FDC" w:rsidRDefault="00FB2FDC" w:rsidP="00FB2FDC">
            <w:pPr>
              <w:rPr>
                <w:b/>
                <w:bCs/>
              </w:rPr>
            </w:pPr>
            <w:r w:rsidRPr="00FB2FDC">
              <w:rPr>
                <w:b/>
                <w:bCs/>
              </w:rPr>
              <w:t>Income Level</w:t>
            </w:r>
          </w:p>
        </w:tc>
        <w:tc>
          <w:tcPr>
            <w:tcW w:w="0" w:type="auto"/>
            <w:vAlign w:val="center"/>
            <w:hideMark/>
          </w:tcPr>
          <w:p w14:paraId="1A0FB07B" w14:textId="77777777" w:rsidR="00FB2FDC" w:rsidRPr="00FB2FDC" w:rsidRDefault="00FB2FDC" w:rsidP="00FB2FDC">
            <w:pPr>
              <w:rPr>
                <w:b/>
                <w:bCs/>
              </w:rPr>
            </w:pPr>
            <w:r w:rsidRPr="00FB2FDC">
              <w:rPr>
                <w:b/>
                <w:bCs/>
              </w:rPr>
              <w:t>Coefficient (t-stat)</w:t>
            </w:r>
          </w:p>
        </w:tc>
        <w:tc>
          <w:tcPr>
            <w:tcW w:w="0" w:type="auto"/>
            <w:vAlign w:val="center"/>
            <w:hideMark/>
          </w:tcPr>
          <w:p w14:paraId="66F21528" w14:textId="77777777" w:rsidR="00FB2FDC" w:rsidRPr="00FB2FDC" w:rsidRDefault="00FB2FDC" w:rsidP="00FB2FDC">
            <w:pPr>
              <w:rPr>
                <w:b/>
                <w:bCs/>
              </w:rPr>
            </w:pPr>
            <w:r w:rsidRPr="00FB2FDC">
              <w:rPr>
                <w:b/>
                <w:bCs/>
              </w:rPr>
              <w:t>p-value</w:t>
            </w:r>
          </w:p>
        </w:tc>
        <w:tc>
          <w:tcPr>
            <w:tcW w:w="0" w:type="auto"/>
            <w:vAlign w:val="center"/>
            <w:hideMark/>
          </w:tcPr>
          <w:p w14:paraId="70227B64" w14:textId="77777777" w:rsidR="00FB2FDC" w:rsidRPr="00FB2FDC" w:rsidRDefault="00FB2FDC" w:rsidP="00FB2FDC">
            <w:pPr>
              <w:rPr>
                <w:b/>
                <w:bCs/>
              </w:rPr>
            </w:pPr>
            <w:r w:rsidRPr="00FB2FDC">
              <w:rPr>
                <w:b/>
                <w:bCs/>
              </w:rPr>
              <w:t>R²</w:t>
            </w:r>
          </w:p>
        </w:tc>
        <w:tc>
          <w:tcPr>
            <w:tcW w:w="0" w:type="auto"/>
            <w:vAlign w:val="center"/>
            <w:hideMark/>
          </w:tcPr>
          <w:p w14:paraId="75E49FB0" w14:textId="77777777" w:rsidR="00FB2FDC" w:rsidRPr="00FB2FDC" w:rsidRDefault="00FB2FDC" w:rsidP="00FB2FDC">
            <w:pPr>
              <w:rPr>
                <w:b/>
                <w:bCs/>
              </w:rPr>
            </w:pPr>
            <w:r w:rsidRPr="00FB2FDC">
              <w:rPr>
                <w:b/>
                <w:bCs/>
              </w:rPr>
              <w:t>N</w:t>
            </w:r>
          </w:p>
        </w:tc>
      </w:tr>
      <w:tr w:rsidR="00FB2FDC" w:rsidRPr="00FB2FDC" w14:paraId="00B5EAAB" w14:textId="77777777" w:rsidTr="00FB2FDC">
        <w:trPr>
          <w:trHeight w:val="344"/>
          <w:tblCellSpacing w:w="15" w:type="dxa"/>
        </w:trPr>
        <w:tc>
          <w:tcPr>
            <w:tcW w:w="0" w:type="auto"/>
            <w:vAlign w:val="center"/>
            <w:hideMark/>
          </w:tcPr>
          <w:p w14:paraId="4C0827E0" w14:textId="77777777" w:rsidR="00FB2FDC" w:rsidRPr="00FB2FDC" w:rsidRDefault="00FB2FDC" w:rsidP="00FB2FDC">
            <w:r w:rsidRPr="00FB2FDC">
              <w:t>High-Income States</w:t>
            </w:r>
          </w:p>
        </w:tc>
        <w:tc>
          <w:tcPr>
            <w:tcW w:w="0" w:type="auto"/>
            <w:vAlign w:val="center"/>
            <w:hideMark/>
          </w:tcPr>
          <w:p w14:paraId="6FEE9EFA" w14:textId="77777777" w:rsidR="00FB2FDC" w:rsidRPr="00FB2FDC" w:rsidRDefault="00FB2FDC" w:rsidP="00FB2FDC">
            <w:r w:rsidRPr="00FB2FDC">
              <w:t>-5.87 (-2.57)</w:t>
            </w:r>
          </w:p>
        </w:tc>
        <w:tc>
          <w:tcPr>
            <w:tcW w:w="0" w:type="auto"/>
            <w:vAlign w:val="center"/>
            <w:hideMark/>
          </w:tcPr>
          <w:p w14:paraId="3055DE86" w14:textId="77777777" w:rsidR="00FB2FDC" w:rsidRPr="00FB2FDC" w:rsidRDefault="00FB2FDC" w:rsidP="00FB2FDC">
            <w:r w:rsidRPr="00FB2FDC">
              <w:t>0.011</w:t>
            </w:r>
          </w:p>
        </w:tc>
        <w:tc>
          <w:tcPr>
            <w:tcW w:w="0" w:type="auto"/>
            <w:vAlign w:val="center"/>
            <w:hideMark/>
          </w:tcPr>
          <w:p w14:paraId="69467E56" w14:textId="77777777" w:rsidR="00FB2FDC" w:rsidRPr="00FB2FDC" w:rsidRDefault="00FB2FDC" w:rsidP="00FB2FDC">
            <w:r w:rsidRPr="00FB2FDC">
              <w:t>0.020</w:t>
            </w:r>
          </w:p>
        </w:tc>
        <w:tc>
          <w:tcPr>
            <w:tcW w:w="0" w:type="auto"/>
            <w:vAlign w:val="center"/>
            <w:hideMark/>
          </w:tcPr>
          <w:p w14:paraId="5069AA45" w14:textId="77777777" w:rsidR="00FB2FDC" w:rsidRPr="00FB2FDC" w:rsidRDefault="00FB2FDC" w:rsidP="00FB2FDC">
            <w:r w:rsidRPr="00FB2FDC">
              <w:t>330</w:t>
            </w:r>
          </w:p>
        </w:tc>
      </w:tr>
      <w:tr w:rsidR="00FB2FDC" w:rsidRPr="00FB2FDC" w14:paraId="3B2D9EEF" w14:textId="77777777" w:rsidTr="00FB2FDC">
        <w:trPr>
          <w:trHeight w:val="344"/>
          <w:tblCellSpacing w:w="15" w:type="dxa"/>
        </w:trPr>
        <w:tc>
          <w:tcPr>
            <w:tcW w:w="0" w:type="auto"/>
            <w:vAlign w:val="center"/>
            <w:hideMark/>
          </w:tcPr>
          <w:p w14:paraId="5DF84E2D" w14:textId="77777777" w:rsidR="00FB2FDC" w:rsidRPr="00FB2FDC" w:rsidRDefault="00FB2FDC" w:rsidP="00FB2FDC">
            <w:r w:rsidRPr="00FB2FDC">
              <w:t>Medium-Income States</w:t>
            </w:r>
          </w:p>
        </w:tc>
        <w:tc>
          <w:tcPr>
            <w:tcW w:w="0" w:type="auto"/>
            <w:vAlign w:val="center"/>
            <w:hideMark/>
          </w:tcPr>
          <w:p w14:paraId="19DC0D10" w14:textId="77777777" w:rsidR="00FB2FDC" w:rsidRPr="00FB2FDC" w:rsidRDefault="00FB2FDC" w:rsidP="00FB2FDC">
            <w:r w:rsidRPr="00FB2FDC">
              <w:t>-11.20 (-5.14)</w:t>
            </w:r>
          </w:p>
        </w:tc>
        <w:tc>
          <w:tcPr>
            <w:tcW w:w="0" w:type="auto"/>
            <w:vAlign w:val="center"/>
            <w:hideMark/>
          </w:tcPr>
          <w:p w14:paraId="29EDCF4B" w14:textId="77777777" w:rsidR="00FB2FDC" w:rsidRPr="00FB2FDC" w:rsidRDefault="00FB2FDC" w:rsidP="00FB2FDC">
            <w:r w:rsidRPr="00FB2FDC">
              <w:t>0.000</w:t>
            </w:r>
          </w:p>
        </w:tc>
        <w:tc>
          <w:tcPr>
            <w:tcW w:w="0" w:type="auto"/>
            <w:vAlign w:val="center"/>
            <w:hideMark/>
          </w:tcPr>
          <w:p w14:paraId="233637BB" w14:textId="77777777" w:rsidR="00FB2FDC" w:rsidRPr="00FB2FDC" w:rsidRDefault="00FB2FDC" w:rsidP="00FB2FDC">
            <w:r w:rsidRPr="00FB2FDC">
              <w:t>0.075</w:t>
            </w:r>
          </w:p>
        </w:tc>
        <w:tc>
          <w:tcPr>
            <w:tcW w:w="0" w:type="auto"/>
            <w:vAlign w:val="center"/>
            <w:hideMark/>
          </w:tcPr>
          <w:p w14:paraId="7204BF59" w14:textId="77777777" w:rsidR="00FB2FDC" w:rsidRPr="00FB2FDC" w:rsidRDefault="00FB2FDC" w:rsidP="00FB2FDC">
            <w:r w:rsidRPr="00FB2FDC">
              <w:t>330</w:t>
            </w:r>
          </w:p>
        </w:tc>
      </w:tr>
      <w:tr w:rsidR="00FB2FDC" w:rsidRPr="00FB2FDC" w14:paraId="7C6FFFDD" w14:textId="77777777" w:rsidTr="00FB2FDC">
        <w:trPr>
          <w:trHeight w:val="344"/>
          <w:tblCellSpacing w:w="15" w:type="dxa"/>
        </w:trPr>
        <w:tc>
          <w:tcPr>
            <w:tcW w:w="0" w:type="auto"/>
            <w:vAlign w:val="center"/>
            <w:hideMark/>
          </w:tcPr>
          <w:p w14:paraId="60371C5A" w14:textId="77777777" w:rsidR="00FB2FDC" w:rsidRPr="00FB2FDC" w:rsidRDefault="00FB2FDC" w:rsidP="00FB2FDC">
            <w:r w:rsidRPr="00FB2FDC">
              <w:t>Low-Income States</w:t>
            </w:r>
          </w:p>
        </w:tc>
        <w:tc>
          <w:tcPr>
            <w:tcW w:w="0" w:type="auto"/>
            <w:vAlign w:val="center"/>
            <w:hideMark/>
          </w:tcPr>
          <w:p w14:paraId="3D478741" w14:textId="77777777" w:rsidR="00FB2FDC" w:rsidRPr="00FB2FDC" w:rsidRDefault="00FB2FDC" w:rsidP="00FB2FDC">
            <w:r w:rsidRPr="00FB2FDC">
              <w:t>+5.32 (4.09)</w:t>
            </w:r>
          </w:p>
        </w:tc>
        <w:tc>
          <w:tcPr>
            <w:tcW w:w="0" w:type="auto"/>
            <w:vAlign w:val="center"/>
            <w:hideMark/>
          </w:tcPr>
          <w:p w14:paraId="7C1CAB4A" w14:textId="77777777" w:rsidR="00FB2FDC" w:rsidRPr="00FB2FDC" w:rsidRDefault="00FB2FDC" w:rsidP="00FB2FDC">
            <w:r w:rsidRPr="00FB2FDC">
              <w:t>0.000</w:t>
            </w:r>
          </w:p>
        </w:tc>
        <w:tc>
          <w:tcPr>
            <w:tcW w:w="0" w:type="auto"/>
            <w:vAlign w:val="center"/>
            <w:hideMark/>
          </w:tcPr>
          <w:p w14:paraId="72E43E8D" w14:textId="77777777" w:rsidR="00FB2FDC" w:rsidRPr="00FB2FDC" w:rsidRDefault="00FB2FDC" w:rsidP="00FB2FDC">
            <w:r w:rsidRPr="00FB2FDC">
              <w:t>0.049</w:t>
            </w:r>
          </w:p>
        </w:tc>
        <w:tc>
          <w:tcPr>
            <w:tcW w:w="0" w:type="auto"/>
            <w:vAlign w:val="center"/>
            <w:hideMark/>
          </w:tcPr>
          <w:p w14:paraId="39408D0D" w14:textId="77777777" w:rsidR="00FB2FDC" w:rsidRPr="00FB2FDC" w:rsidRDefault="00FB2FDC" w:rsidP="00FB2FDC">
            <w:r w:rsidRPr="00FB2FDC">
              <w:t>330</w:t>
            </w:r>
          </w:p>
        </w:tc>
      </w:tr>
    </w:tbl>
    <w:p w14:paraId="4D571C0A" w14:textId="77777777" w:rsidR="007067A4" w:rsidRPr="007067A4" w:rsidRDefault="007067A4" w:rsidP="007067A4">
      <w:pPr>
        <w:spacing w:before="100" w:beforeAutospacing="1" w:after="100" w:afterAutospacing="1"/>
        <w:rPr>
          <w:b/>
          <w:bCs/>
        </w:rPr>
      </w:pPr>
      <w:r w:rsidRPr="007067A4">
        <w:rPr>
          <w:b/>
          <w:bCs/>
        </w:rPr>
        <w:t>Interpretation</w:t>
      </w:r>
    </w:p>
    <w:p w14:paraId="21DB8D31" w14:textId="77777777" w:rsidR="007067A4" w:rsidRPr="007067A4" w:rsidRDefault="007067A4" w:rsidP="007067A4">
      <w:pPr>
        <w:numPr>
          <w:ilvl w:val="0"/>
          <w:numId w:val="12"/>
        </w:numPr>
        <w:spacing w:before="100" w:beforeAutospacing="1" w:after="100" w:afterAutospacing="1"/>
      </w:pPr>
      <w:r w:rsidRPr="007067A4">
        <w:rPr>
          <w:b/>
          <w:bCs/>
        </w:rPr>
        <w:t>High-Income States:</w:t>
      </w:r>
      <w:r w:rsidRPr="007067A4">
        <w:t xml:space="preserve"> The treatment effect is negative and statistically significant at the 5% level. In wealthier contexts, women likely possess greater financial independence, legal awareness, and access to private resources (e.g., therapy, childcare), allowing them to capitalize on the new legal framework.</w:t>
      </w:r>
    </w:p>
    <w:p w14:paraId="7EC4574E" w14:textId="77777777" w:rsidR="007067A4" w:rsidRPr="007067A4" w:rsidRDefault="007067A4" w:rsidP="007067A4">
      <w:pPr>
        <w:numPr>
          <w:ilvl w:val="0"/>
          <w:numId w:val="12"/>
        </w:numPr>
        <w:spacing w:before="100" w:beforeAutospacing="1" w:after="100" w:afterAutospacing="1"/>
      </w:pPr>
      <w:r w:rsidRPr="007067A4">
        <w:rPr>
          <w:b/>
          <w:bCs/>
        </w:rPr>
        <w:t>Medium-Income States:</w:t>
      </w:r>
      <w:r w:rsidRPr="007067A4">
        <w:t xml:space="preserve"> The strongest beneficial effect appears here. This might be due to the "policy leverage" effect: for women who face moderate structural barriers, the legal reform offers a meaningful shift in power without the offsetting benefits already available in high-income environments. The legal change thus has a transformative role.</w:t>
      </w:r>
    </w:p>
    <w:p w14:paraId="4D56489E" w14:textId="77777777" w:rsidR="007067A4" w:rsidRPr="007067A4" w:rsidRDefault="007067A4" w:rsidP="007067A4">
      <w:pPr>
        <w:numPr>
          <w:ilvl w:val="0"/>
          <w:numId w:val="12"/>
        </w:numPr>
        <w:spacing w:before="100" w:beforeAutospacing="1" w:after="100" w:afterAutospacing="1"/>
      </w:pPr>
      <w:r w:rsidRPr="007067A4">
        <w:rPr>
          <w:b/>
          <w:bCs/>
        </w:rPr>
        <w:t>Low-Income States:</w:t>
      </w:r>
      <w:r w:rsidRPr="007067A4">
        <w:t xml:space="preserve"> Strikingly, we observe a significant positive coefficient, suggesting that female suicide rates actually increased after the reform. This finding raises serious concerns. Without economic security, legal empowerment may create new vulnerabilities — for example, women may leave abusive marriages only to face housing insecurity, childcare burdens, or social stigma.</w:t>
      </w:r>
    </w:p>
    <w:p w14:paraId="70D3CE01" w14:textId="77777777" w:rsidR="007067A4" w:rsidRPr="003B09FB" w:rsidRDefault="007067A4" w:rsidP="003B09FB">
      <w:pPr>
        <w:spacing w:before="100" w:beforeAutospacing="1" w:after="100" w:afterAutospacing="1"/>
      </w:pPr>
    </w:p>
    <w:p w14:paraId="17E9DA00" w14:textId="2B1D688A" w:rsidR="003B09FB" w:rsidRPr="003B09FB" w:rsidRDefault="003B09FB" w:rsidP="003B09FB">
      <w:r w:rsidRPr="003B09FB">
        <w:rPr>
          <w:b/>
          <w:bCs/>
          <w:sz w:val="27"/>
          <w:szCs w:val="27"/>
        </w:rPr>
        <w:t xml:space="preserve">2.3 </w:t>
      </w:r>
      <w:r w:rsidR="007067A4" w:rsidRPr="007067A4">
        <w:rPr>
          <w:b/>
          <w:bCs/>
          <w:sz w:val="27"/>
          <w:szCs w:val="27"/>
        </w:rPr>
        <w:t>Alternative Approaches and Robustness Considerations</w:t>
      </w:r>
    </w:p>
    <w:p w14:paraId="10DEB2E5" w14:textId="77777777" w:rsidR="007067A4" w:rsidRPr="007067A4" w:rsidRDefault="007067A4" w:rsidP="007067A4">
      <w:pPr>
        <w:spacing w:before="100" w:beforeAutospacing="1" w:after="100" w:afterAutospacing="1"/>
      </w:pPr>
      <w:r w:rsidRPr="007067A4">
        <w:t>While the above analysis offers important insights into treatment heterogeneity, it is still rooted in TWFE logic. However, recent econometric literature (e.g., Callaway &amp; Sant’Anna, 2021; Sun &amp; Abraham, 2020) highlights that TWFE can be problematic in settings with staggered treatment timing and heterogeneous treatment effects.</w:t>
      </w:r>
    </w:p>
    <w:p w14:paraId="4A81BAF4" w14:textId="77777777" w:rsidR="007067A4" w:rsidRPr="007067A4" w:rsidRDefault="007067A4" w:rsidP="007067A4">
      <w:pPr>
        <w:spacing w:before="100" w:beforeAutospacing="1" w:after="100" w:afterAutospacing="1"/>
      </w:pPr>
      <w:r w:rsidRPr="007067A4">
        <w:rPr>
          <w:b/>
          <w:bCs/>
        </w:rPr>
        <w:t>Limitations of TWFE:</w:t>
      </w:r>
    </w:p>
    <w:p w14:paraId="6DEE1295" w14:textId="77777777" w:rsidR="007067A4" w:rsidRPr="007067A4" w:rsidRDefault="007067A4" w:rsidP="007067A4">
      <w:pPr>
        <w:numPr>
          <w:ilvl w:val="0"/>
          <w:numId w:val="13"/>
        </w:numPr>
        <w:spacing w:before="100" w:beforeAutospacing="1" w:after="100" w:afterAutospacing="1"/>
      </w:pPr>
      <w:r w:rsidRPr="007067A4">
        <w:t>It may assign negative weights to certain groups, biasing average treatment effects.</w:t>
      </w:r>
    </w:p>
    <w:p w14:paraId="614BC634" w14:textId="77777777" w:rsidR="007067A4" w:rsidRPr="007067A4" w:rsidRDefault="007067A4" w:rsidP="007067A4">
      <w:pPr>
        <w:numPr>
          <w:ilvl w:val="0"/>
          <w:numId w:val="13"/>
        </w:numPr>
        <w:spacing w:before="100" w:beforeAutospacing="1" w:after="100" w:afterAutospacing="1"/>
      </w:pPr>
      <w:r w:rsidRPr="007067A4">
        <w:t>It cannot capture dynamic treatment effects over time unless event-study specifications are used.</w:t>
      </w:r>
    </w:p>
    <w:p w14:paraId="32FF9E45" w14:textId="77777777" w:rsidR="007067A4" w:rsidRPr="007067A4" w:rsidRDefault="007067A4" w:rsidP="007067A4">
      <w:pPr>
        <w:numPr>
          <w:ilvl w:val="0"/>
          <w:numId w:val="13"/>
        </w:numPr>
        <w:spacing w:before="100" w:beforeAutospacing="1" w:after="100" w:afterAutospacing="1"/>
      </w:pPr>
      <w:r w:rsidRPr="007067A4">
        <w:t>It masks subgroup differences, leading to misleading policy conclusions.</w:t>
      </w:r>
    </w:p>
    <w:p w14:paraId="13678DB1" w14:textId="77777777" w:rsidR="007067A4" w:rsidRPr="007067A4" w:rsidRDefault="007067A4" w:rsidP="007067A4">
      <w:pPr>
        <w:spacing w:before="100" w:beforeAutospacing="1" w:after="100" w:afterAutospacing="1"/>
      </w:pPr>
      <w:r w:rsidRPr="007067A4">
        <w:rPr>
          <w:b/>
          <w:bCs/>
        </w:rPr>
        <w:t>Robustness Analysis:</w:t>
      </w:r>
    </w:p>
    <w:p w14:paraId="06B383DD" w14:textId="77777777" w:rsidR="007067A4" w:rsidRPr="007067A4" w:rsidRDefault="007067A4" w:rsidP="007067A4">
      <w:pPr>
        <w:spacing w:before="100" w:beforeAutospacing="1" w:after="100" w:afterAutospacing="1"/>
      </w:pPr>
      <w:r w:rsidRPr="007067A4">
        <w:lastRenderedPageBreak/>
        <w:t>Given data limitations, we could not apply the full staggered DiD estimator across all states and years, but we implemented a robustness strategy through subgroup analysis, which approximates heterogeneity in a flexible way. Further work could involve:</w:t>
      </w:r>
    </w:p>
    <w:p w14:paraId="2FD6707B" w14:textId="77777777" w:rsidR="007067A4" w:rsidRPr="007067A4" w:rsidRDefault="007067A4" w:rsidP="007067A4">
      <w:pPr>
        <w:numPr>
          <w:ilvl w:val="0"/>
          <w:numId w:val="14"/>
        </w:numPr>
        <w:spacing w:before="100" w:beforeAutospacing="1" w:after="100" w:afterAutospacing="1"/>
      </w:pPr>
      <w:r w:rsidRPr="007067A4">
        <w:rPr>
          <w:b/>
          <w:bCs/>
        </w:rPr>
        <w:t>Event Study Graphs:</w:t>
      </w:r>
      <w:r w:rsidRPr="007067A4">
        <w:t xml:space="preserve"> To trace pre-trend validity and dynamic effects.</w:t>
      </w:r>
    </w:p>
    <w:p w14:paraId="50A5E531" w14:textId="77777777" w:rsidR="007067A4" w:rsidRPr="007067A4" w:rsidRDefault="007067A4" w:rsidP="007067A4">
      <w:pPr>
        <w:numPr>
          <w:ilvl w:val="0"/>
          <w:numId w:val="14"/>
        </w:numPr>
        <w:spacing w:before="100" w:beforeAutospacing="1" w:after="100" w:afterAutospacing="1"/>
      </w:pPr>
      <w:r w:rsidRPr="007067A4">
        <w:rPr>
          <w:b/>
          <w:bCs/>
        </w:rPr>
        <w:t>Callaway-Sant’Anna Estimator:</w:t>
      </w:r>
      <w:r w:rsidRPr="007067A4">
        <w:t xml:space="preserve"> To compute group-time average treatment effects using inverse probability weights.</w:t>
      </w:r>
    </w:p>
    <w:p w14:paraId="07565FB9" w14:textId="77777777" w:rsidR="007067A4" w:rsidRPr="007067A4" w:rsidRDefault="007067A4" w:rsidP="007067A4">
      <w:pPr>
        <w:numPr>
          <w:ilvl w:val="0"/>
          <w:numId w:val="14"/>
        </w:numPr>
        <w:spacing w:before="100" w:beforeAutospacing="1" w:after="100" w:afterAutospacing="1"/>
      </w:pPr>
      <w:r w:rsidRPr="007067A4">
        <w:rPr>
          <w:b/>
          <w:bCs/>
        </w:rPr>
        <w:t>Including Additional Covariates:</w:t>
      </w:r>
      <w:r w:rsidRPr="007067A4">
        <w:t xml:space="preserve"> Adding time-varying socioeconomic controls to the regression (e.g., unemployment, education levels) to reduce omitted variable bias.</w:t>
      </w:r>
    </w:p>
    <w:p w14:paraId="17A2E44C" w14:textId="77777777" w:rsidR="007067A4" w:rsidRPr="007067A4" w:rsidRDefault="007067A4" w:rsidP="007067A4">
      <w:pPr>
        <w:spacing w:before="100" w:beforeAutospacing="1" w:after="100" w:afterAutospacing="1"/>
      </w:pPr>
      <w:r w:rsidRPr="007067A4">
        <w:t>Moreover, sensitivity checks such as excluding potential outlier states (e.g., California, New York) or re-estimating the models on different time windows (e.g., 5 years before/after treatment) can offer further evidence on robustness.</w:t>
      </w:r>
    </w:p>
    <w:p w14:paraId="434668EB" w14:textId="77777777" w:rsidR="007067A4" w:rsidRPr="007067A4" w:rsidRDefault="007067A4" w:rsidP="007067A4">
      <w:pPr>
        <w:spacing w:before="100" w:beforeAutospacing="1" w:after="100" w:afterAutospacing="1"/>
        <w:outlineLvl w:val="2"/>
        <w:rPr>
          <w:b/>
          <w:bCs/>
          <w:sz w:val="27"/>
          <w:szCs w:val="27"/>
        </w:rPr>
      </w:pPr>
      <w:r w:rsidRPr="007067A4">
        <w:rPr>
          <w:b/>
          <w:bCs/>
          <w:sz w:val="27"/>
          <w:szCs w:val="27"/>
        </w:rPr>
        <w:t>2.4 Policy Interpretation and Institutional Relevance</w:t>
      </w:r>
    </w:p>
    <w:p w14:paraId="7F33E592" w14:textId="77777777" w:rsidR="007067A4" w:rsidRPr="007067A4" w:rsidRDefault="007067A4" w:rsidP="007067A4">
      <w:pPr>
        <w:spacing w:before="100" w:beforeAutospacing="1" w:after="100" w:afterAutospacing="1"/>
      </w:pPr>
      <w:r w:rsidRPr="007067A4">
        <w:t>The heterogeneity we observe has clear policy implications. Legal reforms do not operate in a vacuum. Their success is contingent on the ecosystem into which they are introduced. In particular:</w:t>
      </w:r>
    </w:p>
    <w:p w14:paraId="04FB08F4" w14:textId="77777777" w:rsidR="007067A4" w:rsidRPr="007067A4" w:rsidRDefault="007067A4" w:rsidP="007067A4">
      <w:pPr>
        <w:numPr>
          <w:ilvl w:val="0"/>
          <w:numId w:val="15"/>
        </w:numPr>
        <w:spacing w:before="100" w:beforeAutospacing="1" w:after="100" w:afterAutospacing="1"/>
      </w:pPr>
      <w:r w:rsidRPr="007067A4">
        <w:rPr>
          <w:b/>
          <w:bCs/>
        </w:rPr>
        <w:t>Institutional Capacity Matters:</w:t>
      </w:r>
      <w:r w:rsidRPr="007067A4">
        <w:t xml:space="preserve"> High-tax states may offer better enforcement and implementation (e.g., legal aid, social workers), facilitating uptake and positive outcomes.</w:t>
      </w:r>
    </w:p>
    <w:p w14:paraId="2D93364F" w14:textId="77777777" w:rsidR="007067A4" w:rsidRPr="007067A4" w:rsidRDefault="007067A4" w:rsidP="007067A4">
      <w:pPr>
        <w:numPr>
          <w:ilvl w:val="0"/>
          <w:numId w:val="15"/>
        </w:numPr>
        <w:spacing w:before="100" w:beforeAutospacing="1" w:after="100" w:afterAutospacing="1"/>
      </w:pPr>
      <w:r w:rsidRPr="007067A4">
        <w:rPr>
          <w:b/>
          <w:bCs/>
        </w:rPr>
        <w:t>Economic Context Matters:</w:t>
      </w:r>
      <w:r w:rsidRPr="007067A4">
        <w:t xml:space="preserve"> In wealthier states, legal reforms complement existing capabilities. In poorer states, the absence of such capabilities might convert reform into risk, especially for women with dependent children or without access to labor markets.</w:t>
      </w:r>
    </w:p>
    <w:p w14:paraId="1563367F" w14:textId="3DBD0502" w:rsidR="007067A4" w:rsidRPr="007067A4" w:rsidRDefault="007067A4" w:rsidP="003B09FB">
      <w:pPr>
        <w:numPr>
          <w:ilvl w:val="0"/>
          <w:numId w:val="15"/>
        </w:numPr>
        <w:spacing w:before="100" w:beforeAutospacing="1" w:after="100" w:afterAutospacing="1"/>
      </w:pPr>
      <w:r w:rsidRPr="007067A4">
        <w:rPr>
          <w:b/>
          <w:bCs/>
        </w:rPr>
        <w:t>Targeted Policy Design:</w:t>
      </w:r>
      <w:r w:rsidRPr="007067A4">
        <w:t xml:space="preserve"> National reforms should be accompanied by context-sensitive implementation strategies. For instance, in low-income states, parallel investments in public support systems may be necessary to ensure that reforms fulfill their intended purpose.</w:t>
      </w:r>
    </w:p>
    <w:p w14:paraId="3633A67F" w14:textId="2E1A885F" w:rsidR="007067A4" w:rsidRDefault="003B09FB" w:rsidP="007067A4">
      <w:pPr>
        <w:spacing w:before="100" w:beforeAutospacing="1" w:after="100" w:afterAutospacing="1"/>
      </w:pPr>
      <w:r w:rsidRPr="003B09FB">
        <w:t xml:space="preserve">This analysis highlights the importance of </w:t>
      </w:r>
      <w:r w:rsidRPr="003B09FB">
        <w:rPr>
          <w:b/>
          <w:bCs/>
        </w:rPr>
        <w:t>considering institutional context and economic capacity</w:t>
      </w:r>
      <w:r w:rsidRPr="003B09FB">
        <w:t xml:space="preserve"> when evaluating policy impacts. </w:t>
      </w:r>
    </w:p>
    <w:p w14:paraId="65B0D5E9" w14:textId="768733CB" w:rsidR="003B09FB" w:rsidRDefault="003B09FB" w:rsidP="003B09FB">
      <w:pPr>
        <w:spacing w:before="100" w:beforeAutospacing="1" w:after="100" w:afterAutospacing="1"/>
      </w:pPr>
      <w:r w:rsidRPr="003B09FB">
        <w:t xml:space="preserve">A national policy may not produce uniform benefits; rather, its success likely depends on </w:t>
      </w:r>
      <w:r w:rsidRPr="003B09FB">
        <w:rPr>
          <w:b/>
          <w:bCs/>
        </w:rPr>
        <w:t>state-specific structures</w:t>
      </w:r>
      <w:r w:rsidRPr="003B09FB">
        <w:t>, such as welfare capacity, labor market conditions, and cultural attitudes toward divorce.</w:t>
      </w:r>
      <w:r w:rsidR="007067A4">
        <w:br/>
      </w:r>
    </w:p>
    <w:p w14:paraId="52F9A0B1" w14:textId="088E1F77" w:rsidR="007067A4" w:rsidRPr="007067A4" w:rsidRDefault="007067A4" w:rsidP="007067A4">
      <w:pPr>
        <w:spacing w:before="100" w:beforeAutospacing="1" w:after="100" w:afterAutospacing="1"/>
        <w:outlineLvl w:val="2"/>
        <w:rPr>
          <w:b/>
          <w:bCs/>
          <w:sz w:val="27"/>
          <w:szCs w:val="27"/>
        </w:rPr>
      </w:pPr>
      <w:r w:rsidRPr="007067A4">
        <w:rPr>
          <w:b/>
          <w:bCs/>
          <w:sz w:val="27"/>
          <w:szCs w:val="27"/>
        </w:rPr>
        <w:t>2.</w:t>
      </w:r>
      <w:r>
        <w:rPr>
          <w:b/>
          <w:bCs/>
          <w:sz w:val="27"/>
          <w:szCs w:val="27"/>
        </w:rPr>
        <w:t>5 Conclusion of Re-estimation Emprical Findings</w:t>
      </w:r>
    </w:p>
    <w:p w14:paraId="4AEE68FF" w14:textId="77777777" w:rsidR="007067A4" w:rsidRDefault="007067A4" w:rsidP="007067A4">
      <w:pPr>
        <w:spacing w:before="100" w:beforeAutospacing="1" w:after="100" w:afterAutospacing="1"/>
      </w:pPr>
      <w:r>
        <w:t>This section offers strong evidence that while the implementation of no-fault divorce laws generally reduces female suicide rates — affirming the results of the original study — these effects are not homogeneous across states. Our stratified analysis by tax burden and income level reveals substantial heterogeneity, with reforms being most effective in medium-income and medium-tax states and potentially harmful in poorer regions.</w:t>
      </w:r>
    </w:p>
    <w:p w14:paraId="373ED93A" w14:textId="77777777" w:rsidR="007067A4" w:rsidRDefault="007067A4" w:rsidP="007067A4">
      <w:pPr>
        <w:spacing w:before="100" w:beforeAutospacing="1" w:after="100" w:afterAutospacing="1"/>
      </w:pPr>
      <w:r>
        <w:lastRenderedPageBreak/>
        <w:t>The findings underscore the value of complementing national legal reforms with regional support mechanisms, and of using modern econometric tools to uncover treatment effect heterogeneity. As a replication effort, this analysis confirms the original insight but expands upon it meaningfully, offering a richer, more nuanced understanding of when and where reforms succeed — and where they fall short.</w:t>
      </w:r>
    </w:p>
    <w:p w14:paraId="4CFAF79A" w14:textId="77777777" w:rsidR="007067A4" w:rsidRPr="003B09FB" w:rsidRDefault="007067A4" w:rsidP="003B09FB">
      <w:pPr>
        <w:spacing w:before="100" w:beforeAutospacing="1" w:after="100" w:afterAutospacing="1"/>
      </w:pPr>
    </w:p>
    <w:p w14:paraId="7EF36493" w14:textId="77777777" w:rsidR="00513CDE" w:rsidRPr="00513CDE" w:rsidRDefault="00513CDE" w:rsidP="00513CDE">
      <w:pPr>
        <w:spacing w:before="100" w:beforeAutospacing="1" w:after="100" w:afterAutospacing="1"/>
        <w:outlineLvl w:val="2"/>
        <w:rPr>
          <w:b/>
          <w:bCs/>
          <w:sz w:val="27"/>
          <w:szCs w:val="27"/>
        </w:rPr>
      </w:pPr>
      <w:r w:rsidRPr="00513CDE">
        <w:rPr>
          <w:b/>
          <w:bCs/>
          <w:sz w:val="27"/>
          <w:szCs w:val="27"/>
        </w:rPr>
        <w:t>Section 3: Conclusion and Assessment of Replication Success</w:t>
      </w:r>
    </w:p>
    <w:p w14:paraId="5A665190" w14:textId="77777777" w:rsidR="00513CDE" w:rsidRPr="00513CDE" w:rsidRDefault="00513CDE" w:rsidP="00513CDE">
      <w:pPr>
        <w:spacing w:before="100" w:beforeAutospacing="1" w:after="100" w:afterAutospacing="1"/>
      </w:pPr>
      <w:r w:rsidRPr="00513CDE">
        <w:t>This replication study set out to assess the validity and robustness of the findings in Stevenson and Wolfers (2006), who argued that the adoption of unilateral no-fault divorce laws significantly reduced female suicide rates in the United States. Using a stratified replication design, we re-estimated the treatment effects by separating U.S. states into different groups based on tax burdens and per capita income levels.</w:t>
      </w:r>
    </w:p>
    <w:p w14:paraId="2253EC63" w14:textId="77777777" w:rsidR="00513CDE" w:rsidRPr="00513CDE" w:rsidRDefault="00513CDE" w:rsidP="00513CDE">
      <w:pPr>
        <w:spacing w:before="100" w:beforeAutospacing="1" w:after="100" w:afterAutospacing="1"/>
      </w:pPr>
      <w:r w:rsidRPr="00513CDE">
        <w:t>Our main finding — that the policy generally led to reductions in female suicide rates — is consistent with the original study. In particular, we observed statistically significant declines in medium- and high-income or tax states. These results support the authors’ conclusion that legal empowerment through no-fault divorce reforms improved women’s welfare.</w:t>
      </w:r>
    </w:p>
    <w:p w14:paraId="08A05B19" w14:textId="77777777" w:rsidR="00513CDE" w:rsidRPr="00513CDE" w:rsidRDefault="00513CDE" w:rsidP="00513CDE">
      <w:pPr>
        <w:spacing w:before="100" w:beforeAutospacing="1" w:after="100" w:afterAutospacing="1"/>
      </w:pPr>
      <w:r w:rsidRPr="00513CDE">
        <w:t xml:space="preserve">However, our stratified analysis also uncovered critical heterogeneity. Notably, in low-income and low-tax states, we found </w:t>
      </w:r>
      <w:r w:rsidRPr="00513CDE">
        <w:rPr>
          <w:b/>
          <w:bCs/>
        </w:rPr>
        <w:t>positive and statistically significant</w:t>
      </w:r>
      <w:r w:rsidRPr="00513CDE">
        <w:t xml:space="preserve"> treatment effects, suggesting that female suicide rates </w:t>
      </w:r>
      <w:r w:rsidRPr="00513CDE">
        <w:rPr>
          <w:b/>
          <w:bCs/>
        </w:rPr>
        <w:t>increased</w:t>
      </w:r>
      <w:r w:rsidRPr="00513CDE">
        <w:t xml:space="preserve"> following the legal reform. This contrasts with the original paper’s more uniformly positive interpretation and highlights the importance of </w:t>
      </w:r>
      <w:r w:rsidRPr="00513CDE">
        <w:rPr>
          <w:b/>
          <w:bCs/>
        </w:rPr>
        <w:t>economic and institutional context</w:t>
      </w:r>
      <w:r w:rsidRPr="00513CDE">
        <w:t>.</w:t>
      </w:r>
    </w:p>
    <w:p w14:paraId="0AD38C5A" w14:textId="77777777" w:rsidR="00513CDE" w:rsidRPr="00513CDE" w:rsidRDefault="00513CDE" w:rsidP="00513CDE">
      <w:pPr>
        <w:spacing w:before="100" w:beforeAutospacing="1" w:after="100" w:afterAutospacing="1"/>
      </w:pPr>
      <w:r w:rsidRPr="00513CDE">
        <w:t>Several factors could account for this divergence:</w:t>
      </w:r>
    </w:p>
    <w:p w14:paraId="70BC09FF" w14:textId="77777777" w:rsidR="00513CDE" w:rsidRPr="00513CDE" w:rsidRDefault="00513CDE" w:rsidP="00513CDE">
      <w:pPr>
        <w:numPr>
          <w:ilvl w:val="0"/>
          <w:numId w:val="10"/>
        </w:numPr>
        <w:spacing w:before="100" w:beforeAutospacing="1" w:after="100" w:afterAutospacing="1"/>
      </w:pPr>
      <w:r w:rsidRPr="00513CDE">
        <w:rPr>
          <w:b/>
          <w:bCs/>
        </w:rPr>
        <w:t>Economic precarity</w:t>
      </w:r>
      <w:r w:rsidRPr="00513CDE">
        <w:t xml:space="preserve"> in poorer states may mean that legal empowerment without financial security leads to worsened outcomes.</w:t>
      </w:r>
    </w:p>
    <w:p w14:paraId="78D86967" w14:textId="77777777" w:rsidR="00513CDE" w:rsidRPr="00513CDE" w:rsidRDefault="00513CDE" w:rsidP="00513CDE">
      <w:pPr>
        <w:numPr>
          <w:ilvl w:val="0"/>
          <w:numId w:val="10"/>
        </w:numPr>
        <w:spacing w:before="100" w:beforeAutospacing="1" w:after="100" w:afterAutospacing="1"/>
      </w:pPr>
      <w:r w:rsidRPr="00513CDE">
        <w:rPr>
          <w:b/>
          <w:bCs/>
        </w:rPr>
        <w:t>Institutional capacity</w:t>
      </w:r>
      <w:r w:rsidRPr="00513CDE">
        <w:t xml:space="preserve"> may be weaker in low-tax states, providing fewer public services or safety nets for women facing marital dissolution.</w:t>
      </w:r>
    </w:p>
    <w:p w14:paraId="215098AB" w14:textId="77777777" w:rsidR="00513CDE" w:rsidRPr="00513CDE" w:rsidRDefault="00513CDE" w:rsidP="00513CDE">
      <w:pPr>
        <w:numPr>
          <w:ilvl w:val="0"/>
          <w:numId w:val="10"/>
        </w:numPr>
        <w:spacing w:before="100" w:beforeAutospacing="1" w:after="100" w:afterAutospacing="1"/>
      </w:pPr>
      <w:r w:rsidRPr="00513CDE">
        <w:t xml:space="preserve">The original </w:t>
      </w:r>
      <w:r w:rsidRPr="00513CDE">
        <w:rPr>
          <w:b/>
          <w:bCs/>
        </w:rPr>
        <w:t>TWFE DiD framework averages over heterogeneous treatment effects</w:t>
      </w:r>
      <w:r w:rsidRPr="00513CDE">
        <w:t>, which can obscure important subgroup patterns — a limitation we attempted to address through subsample analysis.</w:t>
      </w:r>
    </w:p>
    <w:p w14:paraId="6F68FCE4" w14:textId="781B1C98" w:rsidR="00864F6B" w:rsidRDefault="00513CDE" w:rsidP="004763FB">
      <w:pPr>
        <w:spacing w:before="100" w:beforeAutospacing="1" w:after="100" w:afterAutospacing="1"/>
      </w:pPr>
      <w:r w:rsidRPr="00513CDE">
        <w:t xml:space="preserve">In conclusion, while we successfully replicated the core insight of the Stevenson and Wolfers study — that unilateral divorce laws can improve women's welfare — our analysis suggests that </w:t>
      </w:r>
      <w:r w:rsidRPr="00513CDE">
        <w:rPr>
          <w:b/>
          <w:bCs/>
        </w:rPr>
        <w:t>the impact of such legal reforms is not uniform</w:t>
      </w:r>
      <w:r w:rsidRPr="00513CDE">
        <w:t>. Socioeconomic and policy environments matter. Future research and policy evaluations should incorporate heterogeneous treatment effects, using more flexible methods such as staggered DiD estimators, to fully understand the effects of reforms on vulnerable populations.</w:t>
      </w:r>
    </w:p>
    <w:p w14:paraId="64C3820E" w14:textId="00EFA5E8" w:rsidR="007067A4" w:rsidRPr="003B09FB" w:rsidRDefault="007067A4" w:rsidP="007067A4">
      <w:pPr>
        <w:spacing w:before="100" w:beforeAutospacing="1" w:after="100" w:afterAutospacing="1"/>
        <w:outlineLvl w:val="1"/>
        <w:rPr>
          <w:b/>
          <w:bCs/>
          <w:sz w:val="36"/>
          <w:szCs w:val="36"/>
        </w:rPr>
      </w:pPr>
      <w:r w:rsidRPr="003B09FB">
        <w:rPr>
          <w:b/>
          <w:bCs/>
          <w:sz w:val="36"/>
          <w:szCs w:val="36"/>
        </w:rPr>
        <w:t xml:space="preserve">Section </w:t>
      </w:r>
      <w:r>
        <w:rPr>
          <w:b/>
          <w:bCs/>
          <w:sz w:val="36"/>
          <w:szCs w:val="36"/>
        </w:rPr>
        <w:t>3</w:t>
      </w:r>
      <w:r w:rsidRPr="003B09FB">
        <w:rPr>
          <w:b/>
          <w:bCs/>
          <w:sz w:val="36"/>
          <w:szCs w:val="36"/>
        </w:rPr>
        <w:t xml:space="preserve">: </w:t>
      </w:r>
      <w:r w:rsidRPr="007067A4">
        <w:rPr>
          <w:b/>
          <w:bCs/>
          <w:sz w:val="36"/>
          <w:szCs w:val="36"/>
        </w:rPr>
        <w:t>Conclusion and Assessment of Replication Success</w:t>
      </w:r>
    </w:p>
    <w:p w14:paraId="77C9D5AD" w14:textId="042BA78C" w:rsidR="00D62660" w:rsidRPr="00D62660" w:rsidRDefault="00D62660" w:rsidP="00D62660">
      <w:pPr>
        <w:spacing w:before="100" w:beforeAutospacing="1" w:after="100" w:afterAutospacing="1"/>
      </w:pPr>
      <w:r w:rsidRPr="00D62660">
        <w:lastRenderedPageBreak/>
        <w:t>This replication project set out to evaluate the central claims made by Stevenson and Wolfers (2006), namely that the introduction of unilateral divorce laws significantly reduced female suicide rates in the United States. Using state-level panel data and a difference-in-differences strategy that mirrors the original, we applied subgroup analyses to assess the consistency and heterogeneity of treatment effects across varying socioeconomic contexts.</w:t>
      </w:r>
    </w:p>
    <w:p w14:paraId="15173A59" w14:textId="77777777" w:rsidR="00D62660" w:rsidRPr="00D62660" w:rsidRDefault="00D62660" w:rsidP="00D62660">
      <w:pPr>
        <w:spacing w:before="100" w:beforeAutospacing="1" w:after="100" w:afterAutospacing="1"/>
      </w:pPr>
      <w:r w:rsidRPr="00D62660">
        <w:t>Our findings are broadly consistent with the original study's conclusion: we find evidence that the introduction of no-fault divorce laws generally leads to a reduction in female suicide rates. This confirms the hypothesis that enhancing women's exit options within marriage improves their welfare, particularly in states with moderate or strong institutional support.</w:t>
      </w:r>
    </w:p>
    <w:p w14:paraId="37261C68" w14:textId="77777777" w:rsidR="00D62660" w:rsidRPr="00D62660" w:rsidRDefault="00D62660" w:rsidP="00D62660">
      <w:pPr>
        <w:spacing w:before="100" w:beforeAutospacing="1" w:after="100" w:afterAutospacing="1"/>
      </w:pPr>
      <w:r w:rsidRPr="00D62660">
        <w:t>However, our replication departs from the original paper in one crucial respect — we reveal that the effects of divorce reform are not homogeneous across states. Specifically, we find:</w:t>
      </w:r>
    </w:p>
    <w:p w14:paraId="4C1CA4D6" w14:textId="77777777" w:rsidR="00D62660" w:rsidRPr="00D62660" w:rsidRDefault="00D62660" w:rsidP="00D62660">
      <w:pPr>
        <w:numPr>
          <w:ilvl w:val="0"/>
          <w:numId w:val="16"/>
        </w:numPr>
        <w:spacing w:before="100" w:beforeAutospacing="1" w:after="100" w:afterAutospacing="1"/>
      </w:pPr>
      <w:r w:rsidRPr="00D62660">
        <w:rPr>
          <w:b/>
          <w:bCs/>
        </w:rPr>
        <w:t>Statistically significant negative effects</w:t>
      </w:r>
      <w:r w:rsidRPr="00D62660">
        <w:t xml:space="preserve"> in medium- and high-tax or income states, where social or economic buffers may help women benefit from greater legal autonomy.</w:t>
      </w:r>
    </w:p>
    <w:p w14:paraId="01EC8488" w14:textId="77777777" w:rsidR="00D62660" w:rsidRPr="00D62660" w:rsidRDefault="00D62660" w:rsidP="00D62660">
      <w:pPr>
        <w:numPr>
          <w:ilvl w:val="0"/>
          <w:numId w:val="16"/>
        </w:numPr>
        <w:spacing w:before="100" w:beforeAutospacing="1" w:after="100" w:afterAutospacing="1"/>
      </w:pPr>
      <w:r w:rsidRPr="00D62660">
        <w:rPr>
          <w:b/>
          <w:bCs/>
        </w:rPr>
        <w:t>Statistically significant positive effects</w:t>
      </w:r>
      <w:r w:rsidRPr="00D62660">
        <w:t xml:space="preserve"> in low-income and low-tax states, where institutional and economic fragility may limit or reverse the intended benefits of legal empowerment.</w:t>
      </w:r>
    </w:p>
    <w:p w14:paraId="69A50043" w14:textId="77777777" w:rsidR="00D62660" w:rsidRPr="00D62660" w:rsidRDefault="00D62660" w:rsidP="00D62660">
      <w:pPr>
        <w:spacing w:before="100" w:beforeAutospacing="1" w:after="100" w:afterAutospacing="1"/>
      </w:pPr>
      <w:r w:rsidRPr="00D62660">
        <w:t xml:space="preserve">These differences raise important questions about the generalizability of the original study’s conclusions. While the authors presented a national average effect, our subsample analysis suggests that such pooled estimates may obscure important subgroup dynamics. In this sense, our replication not only verifies the average treatment effect but also qualifies it with new insight: </w:t>
      </w:r>
      <w:r w:rsidRPr="00D62660">
        <w:rPr>
          <w:b/>
          <w:bCs/>
        </w:rPr>
        <w:t>the success of legal reforms is context-dependent.</w:t>
      </w:r>
    </w:p>
    <w:p w14:paraId="7A0806A5" w14:textId="77777777" w:rsidR="00D62660" w:rsidRPr="00D62660" w:rsidRDefault="00D62660" w:rsidP="00D62660">
      <w:pPr>
        <w:spacing w:before="100" w:beforeAutospacing="1" w:after="100" w:afterAutospacing="1"/>
      </w:pPr>
      <w:r w:rsidRPr="00D62660">
        <w:t>We acknowledge several limitations in our approach:</w:t>
      </w:r>
    </w:p>
    <w:p w14:paraId="20F3E5E6" w14:textId="77777777" w:rsidR="00D62660" w:rsidRPr="00D62660" w:rsidRDefault="00D62660" w:rsidP="00D62660">
      <w:pPr>
        <w:numPr>
          <w:ilvl w:val="0"/>
          <w:numId w:val="17"/>
        </w:numPr>
        <w:spacing w:before="100" w:beforeAutospacing="1" w:after="100" w:afterAutospacing="1"/>
      </w:pPr>
      <w:r w:rsidRPr="00D62660">
        <w:t>We used a TWFE framework rather than modern staggered DiD estimators (e.g., Callaway &amp; Sant’Anna), which could provide more precise group-time treatment effects.</w:t>
      </w:r>
    </w:p>
    <w:p w14:paraId="47C76911" w14:textId="77777777" w:rsidR="00D62660" w:rsidRPr="00D62660" w:rsidRDefault="00D62660" w:rsidP="00D62660">
      <w:pPr>
        <w:numPr>
          <w:ilvl w:val="0"/>
          <w:numId w:val="17"/>
        </w:numPr>
        <w:spacing w:before="100" w:beforeAutospacing="1" w:after="100" w:afterAutospacing="1"/>
      </w:pPr>
      <w:r w:rsidRPr="00D62660">
        <w:t>Our subgroup classification (by tax burden and income) is one of many potential dimensions; further studies could explore effects by urbanization, gender norms, or access to social services.</w:t>
      </w:r>
    </w:p>
    <w:p w14:paraId="48169A13" w14:textId="77777777" w:rsidR="00D62660" w:rsidRPr="00D62660" w:rsidRDefault="00D62660" w:rsidP="00D62660">
      <w:pPr>
        <w:numPr>
          <w:ilvl w:val="0"/>
          <w:numId w:val="17"/>
        </w:numPr>
        <w:spacing w:before="100" w:beforeAutospacing="1" w:after="100" w:afterAutospacing="1"/>
      </w:pPr>
      <w:r w:rsidRPr="00D62660">
        <w:t>The original study’s broader scope included other outcomes (e.g., domestic violence, labor supply), which we did not replicate due to data limitations.</w:t>
      </w:r>
    </w:p>
    <w:p w14:paraId="2621B022" w14:textId="77777777" w:rsidR="00D62660" w:rsidRPr="00D62660" w:rsidRDefault="00D62660" w:rsidP="00D62660">
      <w:pPr>
        <w:spacing w:before="100" w:beforeAutospacing="1" w:after="100" w:afterAutospacing="1"/>
      </w:pPr>
      <w:r w:rsidRPr="00D62660">
        <w:t>Despite these constraints, we believe our analysis offers a valid and valuable extension of the original research. Our results reinforce the idea that legal reforms such as unilateral divorce must be evaluated not only for their national impact but also for their differential effects across local contexts.</w:t>
      </w:r>
    </w:p>
    <w:p w14:paraId="699BC3BC" w14:textId="77777777" w:rsidR="00D62660" w:rsidRDefault="00D62660" w:rsidP="007067A4">
      <w:pPr>
        <w:spacing w:before="100" w:beforeAutospacing="1" w:after="100" w:afterAutospacing="1"/>
      </w:pPr>
      <w:r w:rsidRPr="00D62660">
        <w:t xml:space="preserve">In conclusion, while we replicate the core result of the Stevenson and Wolfers study — that no-fault divorce laws reduced female distress as proxied by suicide rates — our findings highlight the </w:t>
      </w:r>
      <w:r w:rsidRPr="00D62660">
        <w:rPr>
          <w:b/>
          <w:bCs/>
        </w:rPr>
        <w:t>need for policy sensitivity to economic and institutional variation</w:t>
      </w:r>
      <w:r w:rsidRPr="00D62660">
        <w:t>. This has meaningful implications for future policy design and for empirical researchers aiming to uncover the true distributional consequences of legal reform.</w:t>
      </w:r>
    </w:p>
    <w:p w14:paraId="3E4404ED" w14:textId="4455566E" w:rsidR="00D62660" w:rsidRPr="006120EE" w:rsidRDefault="00D62660" w:rsidP="007067A4">
      <w:pPr>
        <w:spacing w:before="100" w:beforeAutospacing="1" w:after="100" w:afterAutospacing="1"/>
        <w:rPr>
          <w:b/>
          <w:bCs/>
          <w:sz w:val="36"/>
          <w:szCs w:val="36"/>
        </w:rPr>
      </w:pPr>
      <w:r w:rsidRPr="00D62660">
        <w:rPr>
          <w:b/>
          <w:bCs/>
          <w:sz w:val="36"/>
          <w:szCs w:val="36"/>
        </w:rPr>
        <w:lastRenderedPageBreak/>
        <w:t>Section 4: References</w:t>
      </w:r>
    </w:p>
    <w:p w14:paraId="613BFD05" w14:textId="77777777" w:rsidR="006120EE" w:rsidRDefault="006120EE" w:rsidP="006120EE">
      <w:pPr>
        <w:spacing w:before="100" w:beforeAutospacing="1" w:after="100" w:afterAutospacing="1"/>
      </w:pPr>
      <w:r>
        <w:t>Stevenson, B., &amp; Wolfers, J. (2006). Bargaining in the Shadow of the Law: Divorce Laws and Family Distress. The Quarterly Journal of Economics, 121(1), 267–288. https://doi.org/10.1093/qje/121.1.267</w:t>
      </w:r>
    </w:p>
    <w:p w14:paraId="55668F2B" w14:textId="77777777" w:rsidR="006120EE" w:rsidRDefault="006120EE" w:rsidP="006120EE">
      <w:pPr>
        <w:spacing w:before="100" w:beforeAutospacing="1" w:after="100" w:afterAutospacing="1"/>
      </w:pPr>
    </w:p>
    <w:p w14:paraId="5A8F431B" w14:textId="77777777" w:rsidR="006120EE" w:rsidRDefault="006120EE" w:rsidP="006120EE">
      <w:pPr>
        <w:spacing w:before="100" w:beforeAutospacing="1" w:after="100" w:afterAutospacing="1"/>
      </w:pPr>
      <w:r>
        <w:t>Callaway, B., &amp; Sant’Anna, P. H. C. (2021). Difference-in-Differences with Multiple Time Periods. Journal of Econometrics, 225(2), 200–230. https://doi.org/10.1016/j.jeconom.2020.12.001</w:t>
      </w:r>
    </w:p>
    <w:p w14:paraId="450E3E85" w14:textId="77777777" w:rsidR="006120EE" w:rsidRDefault="006120EE" w:rsidP="006120EE">
      <w:pPr>
        <w:spacing w:before="100" w:beforeAutospacing="1" w:after="100" w:afterAutospacing="1"/>
      </w:pPr>
    </w:p>
    <w:p w14:paraId="4E815ABE" w14:textId="77777777" w:rsidR="006120EE" w:rsidRDefault="006120EE" w:rsidP="006120EE">
      <w:pPr>
        <w:spacing w:before="100" w:beforeAutospacing="1" w:after="100" w:afterAutospacing="1"/>
      </w:pPr>
      <w:r>
        <w:t>Sun, L., &amp; Abraham, S. (2021). Estimating Dynamic Treatment Effects in Event Studies with Heterogeneous Treatment Effects. Journal of Econometrics, 225(2), 175–199. https://doi.org/10.1016/j.jeconom.2020.09.006</w:t>
      </w:r>
    </w:p>
    <w:p w14:paraId="5383107A" w14:textId="77777777" w:rsidR="006120EE" w:rsidRDefault="006120EE" w:rsidP="006120EE">
      <w:pPr>
        <w:spacing w:before="100" w:beforeAutospacing="1" w:after="100" w:afterAutospacing="1"/>
      </w:pPr>
    </w:p>
    <w:p w14:paraId="661BEFE9" w14:textId="77777777" w:rsidR="006120EE" w:rsidRDefault="006120EE" w:rsidP="006120EE">
      <w:pPr>
        <w:spacing w:before="100" w:beforeAutospacing="1" w:after="100" w:afterAutospacing="1"/>
      </w:pPr>
      <w:r>
        <w:t>Angrist, J. D., &amp; Pischke, J.-S. (2009). Mostly Harmless Econometrics: An Empiricist’s Companion. Princeton University Press.</w:t>
      </w:r>
    </w:p>
    <w:p w14:paraId="58CFA472" w14:textId="77777777" w:rsidR="006120EE" w:rsidRDefault="006120EE" w:rsidP="006120EE">
      <w:pPr>
        <w:spacing w:before="100" w:beforeAutospacing="1" w:after="100" w:afterAutospacing="1"/>
      </w:pPr>
    </w:p>
    <w:p w14:paraId="53D5FC30" w14:textId="30E48B59" w:rsidR="007067A4" w:rsidRPr="00864F6B" w:rsidRDefault="006120EE" w:rsidP="006120EE">
      <w:pPr>
        <w:spacing w:before="100" w:beforeAutospacing="1" w:after="100" w:afterAutospacing="1"/>
      </w:pPr>
      <w:r>
        <w:t>Wooldridge, J. M. (2010). Econometric Analysis of Cross Section and Panel Data (2nd ed.). MIT Press.</w:t>
      </w:r>
    </w:p>
    <w:p w14:paraId="33F6D021" w14:textId="29BA99CF" w:rsidR="003B09FB" w:rsidRPr="003B09FB" w:rsidRDefault="003B09FB" w:rsidP="003B09FB"/>
    <w:p w14:paraId="2A73BBAB" w14:textId="77777777" w:rsidR="007067A4" w:rsidRPr="003B09FB" w:rsidRDefault="007067A4"/>
    <w:sectPr w:rsidR="007067A4" w:rsidRPr="003B09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6C3A"/>
    <w:multiLevelType w:val="multilevel"/>
    <w:tmpl w:val="67F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10632"/>
    <w:multiLevelType w:val="multilevel"/>
    <w:tmpl w:val="B99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F7548"/>
    <w:multiLevelType w:val="multilevel"/>
    <w:tmpl w:val="3E72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343F3"/>
    <w:multiLevelType w:val="multilevel"/>
    <w:tmpl w:val="FE54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7BEE"/>
    <w:multiLevelType w:val="multilevel"/>
    <w:tmpl w:val="4AF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F37D0"/>
    <w:multiLevelType w:val="multilevel"/>
    <w:tmpl w:val="D42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54A75"/>
    <w:multiLevelType w:val="multilevel"/>
    <w:tmpl w:val="756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2133F"/>
    <w:multiLevelType w:val="multilevel"/>
    <w:tmpl w:val="F56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A5D95"/>
    <w:multiLevelType w:val="multilevel"/>
    <w:tmpl w:val="CDE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A346A"/>
    <w:multiLevelType w:val="multilevel"/>
    <w:tmpl w:val="26E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21A34"/>
    <w:multiLevelType w:val="multilevel"/>
    <w:tmpl w:val="C88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569CB"/>
    <w:multiLevelType w:val="multilevel"/>
    <w:tmpl w:val="97C8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6695D"/>
    <w:multiLevelType w:val="multilevel"/>
    <w:tmpl w:val="E060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95657"/>
    <w:multiLevelType w:val="multilevel"/>
    <w:tmpl w:val="111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931E8"/>
    <w:multiLevelType w:val="multilevel"/>
    <w:tmpl w:val="A0C8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17AB5"/>
    <w:multiLevelType w:val="multilevel"/>
    <w:tmpl w:val="793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94920"/>
    <w:multiLevelType w:val="multilevel"/>
    <w:tmpl w:val="3480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845831">
    <w:abstractNumId w:val="14"/>
  </w:num>
  <w:num w:numId="2" w16cid:durableId="1582641670">
    <w:abstractNumId w:val="12"/>
  </w:num>
  <w:num w:numId="3" w16cid:durableId="649864836">
    <w:abstractNumId w:val="8"/>
  </w:num>
  <w:num w:numId="4" w16cid:durableId="993337525">
    <w:abstractNumId w:val="10"/>
  </w:num>
  <w:num w:numId="5" w16cid:durableId="591089697">
    <w:abstractNumId w:val="16"/>
  </w:num>
  <w:num w:numId="6" w16cid:durableId="804084081">
    <w:abstractNumId w:val="9"/>
  </w:num>
  <w:num w:numId="7" w16cid:durableId="199829215">
    <w:abstractNumId w:val="5"/>
  </w:num>
  <w:num w:numId="8" w16cid:durableId="777992818">
    <w:abstractNumId w:val="4"/>
  </w:num>
  <w:num w:numId="9" w16cid:durableId="676809451">
    <w:abstractNumId w:val="15"/>
  </w:num>
  <w:num w:numId="10" w16cid:durableId="874578769">
    <w:abstractNumId w:val="1"/>
  </w:num>
  <w:num w:numId="11" w16cid:durableId="1284923738">
    <w:abstractNumId w:val="0"/>
  </w:num>
  <w:num w:numId="12" w16cid:durableId="1283344289">
    <w:abstractNumId w:val="3"/>
  </w:num>
  <w:num w:numId="13" w16cid:durableId="936212246">
    <w:abstractNumId w:val="11"/>
  </w:num>
  <w:num w:numId="14" w16cid:durableId="983463318">
    <w:abstractNumId w:val="13"/>
  </w:num>
  <w:num w:numId="15" w16cid:durableId="1993631815">
    <w:abstractNumId w:val="2"/>
  </w:num>
  <w:num w:numId="16" w16cid:durableId="116608085">
    <w:abstractNumId w:val="7"/>
  </w:num>
  <w:num w:numId="17" w16cid:durableId="1967931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FB"/>
    <w:rsid w:val="002445AD"/>
    <w:rsid w:val="003B09FB"/>
    <w:rsid w:val="004109CC"/>
    <w:rsid w:val="004763FB"/>
    <w:rsid w:val="004E3806"/>
    <w:rsid w:val="00513CDE"/>
    <w:rsid w:val="005479AD"/>
    <w:rsid w:val="006120EE"/>
    <w:rsid w:val="00671A57"/>
    <w:rsid w:val="007067A4"/>
    <w:rsid w:val="00754F89"/>
    <w:rsid w:val="00783F05"/>
    <w:rsid w:val="00864F6B"/>
    <w:rsid w:val="009937BB"/>
    <w:rsid w:val="00AD0C39"/>
    <w:rsid w:val="00D62660"/>
    <w:rsid w:val="00FB2FD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1A8C"/>
  <w15:chartTrackingRefBased/>
  <w15:docId w15:val="{95E06078-58C6-CE48-B49C-6D228B65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6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B0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0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0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0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9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9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9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9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0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0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0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9FB"/>
    <w:rPr>
      <w:rFonts w:eastAsiaTheme="majorEastAsia" w:cstheme="majorBidi"/>
      <w:color w:val="272727" w:themeColor="text1" w:themeTint="D8"/>
    </w:rPr>
  </w:style>
  <w:style w:type="paragraph" w:styleId="Title">
    <w:name w:val="Title"/>
    <w:basedOn w:val="Normal"/>
    <w:next w:val="Normal"/>
    <w:link w:val="TitleChar"/>
    <w:uiPriority w:val="10"/>
    <w:qFormat/>
    <w:rsid w:val="003B09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9FB"/>
    <w:pPr>
      <w:spacing w:before="160"/>
      <w:jc w:val="center"/>
    </w:pPr>
    <w:rPr>
      <w:i/>
      <w:iCs/>
      <w:color w:val="404040" w:themeColor="text1" w:themeTint="BF"/>
    </w:rPr>
  </w:style>
  <w:style w:type="character" w:customStyle="1" w:styleId="QuoteChar">
    <w:name w:val="Quote Char"/>
    <w:basedOn w:val="DefaultParagraphFont"/>
    <w:link w:val="Quote"/>
    <w:uiPriority w:val="29"/>
    <w:rsid w:val="003B09FB"/>
    <w:rPr>
      <w:i/>
      <w:iCs/>
      <w:color w:val="404040" w:themeColor="text1" w:themeTint="BF"/>
    </w:rPr>
  </w:style>
  <w:style w:type="paragraph" w:styleId="ListParagraph">
    <w:name w:val="List Paragraph"/>
    <w:basedOn w:val="Normal"/>
    <w:uiPriority w:val="34"/>
    <w:qFormat/>
    <w:rsid w:val="003B09FB"/>
    <w:pPr>
      <w:ind w:left="720"/>
      <w:contextualSpacing/>
    </w:pPr>
  </w:style>
  <w:style w:type="character" w:styleId="IntenseEmphasis">
    <w:name w:val="Intense Emphasis"/>
    <w:basedOn w:val="DefaultParagraphFont"/>
    <w:uiPriority w:val="21"/>
    <w:qFormat/>
    <w:rsid w:val="003B09FB"/>
    <w:rPr>
      <w:i/>
      <w:iCs/>
      <w:color w:val="0F4761" w:themeColor="accent1" w:themeShade="BF"/>
    </w:rPr>
  </w:style>
  <w:style w:type="paragraph" w:styleId="IntenseQuote">
    <w:name w:val="Intense Quote"/>
    <w:basedOn w:val="Normal"/>
    <w:next w:val="Normal"/>
    <w:link w:val="IntenseQuoteChar"/>
    <w:uiPriority w:val="30"/>
    <w:qFormat/>
    <w:rsid w:val="003B0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9FB"/>
    <w:rPr>
      <w:i/>
      <w:iCs/>
      <w:color w:val="0F4761" w:themeColor="accent1" w:themeShade="BF"/>
    </w:rPr>
  </w:style>
  <w:style w:type="character" w:styleId="IntenseReference">
    <w:name w:val="Intense Reference"/>
    <w:basedOn w:val="DefaultParagraphFont"/>
    <w:uiPriority w:val="32"/>
    <w:qFormat/>
    <w:rsid w:val="003B09FB"/>
    <w:rPr>
      <w:b/>
      <w:bCs/>
      <w:smallCaps/>
      <w:color w:val="0F4761" w:themeColor="accent1" w:themeShade="BF"/>
      <w:spacing w:val="5"/>
    </w:rPr>
  </w:style>
  <w:style w:type="character" w:styleId="Strong">
    <w:name w:val="Strong"/>
    <w:basedOn w:val="DefaultParagraphFont"/>
    <w:uiPriority w:val="22"/>
    <w:qFormat/>
    <w:rsid w:val="003B09FB"/>
    <w:rPr>
      <w:b/>
      <w:bCs/>
    </w:rPr>
  </w:style>
  <w:style w:type="character" w:styleId="Emphasis">
    <w:name w:val="Emphasis"/>
    <w:basedOn w:val="DefaultParagraphFont"/>
    <w:uiPriority w:val="20"/>
    <w:qFormat/>
    <w:rsid w:val="003B09FB"/>
    <w:rPr>
      <w:i/>
      <w:iCs/>
    </w:rPr>
  </w:style>
  <w:style w:type="character" w:styleId="HTMLCode">
    <w:name w:val="HTML Code"/>
    <w:basedOn w:val="DefaultParagraphFont"/>
    <w:uiPriority w:val="99"/>
    <w:semiHidden/>
    <w:unhideWhenUsed/>
    <w:rsid w:val="003B09FB"/>
    <w:rPr>
      <w:rFonts w:ascii="Courier New" w:eastAsia="Times New Roman" w:hAnsi="Courier New" w:cs="Courier New"/>
      <w:sz w:val="20"/>
      <w:szCs w:val="20"/>
    </w:rPr>
  </w:style>
  <w:style w:type="character" w:styleId="Hyperlink">
    <w:name w:val="Hyperlink"/>
    <w:basedOn w:val="DefaultParagraphFont"/>
    <w:uiPriority w:val="99"/>
    <w:unhideWhenUsed/>
    <w:rsid w:val="00783F05"/>
    <w:rPr>
      <w:color w:val="467886" w:themeColor="hyperlink"/>
      <w:u w:val="single"/>
    </w:rPr>
  </w:style>
  <w:style w:type="character" w:styleId="UnresolvedMention">
    <w:name w:val="Unresolved Mention"/>
    <w:basedOn w:val="DefaultParagraphFont"/>
    <w:uiPriority w:val="99"/>
    <w:semiHidden/>
    <w:unhideWhenUsed/>
    <w:rsid w:val="00783F05"/>
    <w:rPr>
      <w:color w:val="605E5C"/>
      <w:shd w:val="clear" w:color="auto" w:fill="E1DFDD"/>
    </w:rPr>
  </w:style>
  <w:style w:type="character" w:styleId="FollowedHyperlink">
    <w:name w:val="FollowedHyperlink"/>
    <w:basedOn w:val="DefaultParagraphFont"/>
    <w:uiPriority w:val="99"/>
    <w:semiHidden/>
    <w:unhideWhenUsed/>
    <w:rsid w:val="00864F6B"/>
    <w:rPr>
      <w:color w:val="96607D" w:themeColor="followedHyperlink"/>
      <w:u w:val="single"/>
    </w:rPr>
  </w:style>
  <w:style w:type="paragraph" w:styleId="NormalWeb">
    <w:name w:val="Normal (Web)"/>
    <w:basedOn w:val="Normal"/>
    <w:uiPriority w:val="99"/>
    <w:unhideWhenUsed/>
    <w:rsid w:val="00864F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8168">
      <w:bodyDiv w:val="1"/>
      <w:marLeft w:val="0"/>
      <w:marRight w:val="0"/>
      <w:marTop w:val="0"/>
      <w:marBottom w:val="0"/>
      <w:divBdr>
        <w:top w:val="none" w:sz="0" w:space="0" w:color="auto"/>
        <w:left w:val="none" w:sz="0" w:space="0" w:color="auto"/>
        <w:bottom w:val="none" w:sz="0" w:space="0" w:color="auto"/>
        <w:right w:val="none" w:sz="0" w:space="0" w:color="auto"/>
      </w:divBdr>
    </w:div>
    <w:div w:id="73862866">
      <w:bodyDiv w:val="1"/>
      <w:marLeft w:val="0"/>
      <w:marRight w:val="0"/>
      <w:marTop w:val="0"/>
      <w:marBottom w:val="0"/>
      <w:divBdr>
        <w:top w:val="none" w:sz="0" w:space="0" w:color="auto"/>
        <w:left w:val="none" w:sz="0" w:space="0" w:color="auto"/>
        <w:bottom w:val="none" w:sz="0" w:space="0" w:color="auto"/>
        <w:right w:val="none" w:sz="0" w:space="0" w:color="auto"/>
      </w:divBdr>
    </w:div>
    <w:div w:id="146552634">
      <w:bodyDiv w:val="1"/>
      <w:marLeft w:val="0"/>
      <w:marRight w:val="0"/>
      <w:marTop w:val="0"/>
      <w:marBottom w:val="0"/>
      <w:divBdr>
        <w:top w:val="none" w:sz="0" w:space="0" w:color="auto"/>
        <w:left w:val="none" w:sz="0" w:space="0" w:color="auto"/>
        <w:bottom w:val="none" w:sz="0" w:space="0" w:color="auto"/>
        <w:right w:val="none" w:sz="0" w:space="0" w:color="auto"/>
      </w:divBdr>
    </w:div>
    <w:div w:id="171922939">
      <w:bodyDiv w:val="1"/>
      <w:marLeft w:val="0"/>
      <w:marRight w:val="0"/>
      <w:marTop w:val="0"/>
      <w:marBottom w:val="0"/>
      <w:divBdr>
        <w:top w:val="none" w:sz="0" w:space="0" w:color="auto"/>
        <w:left w:val="none" w:sz="0" w:space="0" w:color="auto"/>
        <w:bottom w:val="none" w:sz="0" w:space="0" w:color="auto"/>
        <w:right w:val="none" w:sz="0" w:space="0" w:color="auto"/>
      </w:divBdr>
    </w:div>
    <w:div w:id="192378879">
      <w:bodyDiv w:val="1"/>
      <w:marLeft w:val="0"/>
      <w:marRight w:val="0"/>
      <w:marTop w:val="0"/>
      <w:marBottom w:val="0"/>
      <w:divBdr>
        <w:top w:val="none" w:sz="0" w:space="0" w:color="auto"/>
        <w:left w:val="none" w:sz="0" w:space="0" w:color="auto"/>
        <w:bottom w:val="none" w:sz="0" w:space="0" w:color="auto"/>
        <w:right w:val="none" w:sz="0" w:space="0" w:color="auto"/>
      </w:divBdr>
    </w:div>
    <w:div w:id="194319410">
      <w:bodyDiv w:val="1"/>
      <w:marLeft w:val="0"/>
      <w:marRight w:val="0"/>
      <w:marTop w:val="0"/>
      <w:marBottom w:val="0"/>
      <w:divBdr>
        <w:top w:val="none" w:sz="0" w:space="0" w:color="auto"/>
        <w:left w:val="none" w:sz="0" w:space="0" w:color="auto"/>
        <w:bottom w:val="none" w:sz="0" w:space="0" w:color="auto"/>
        <w:right w:val="none" w:sz="0" w:space="0" w:color="auto"/>
      </w:divBdr>
      <w:divsChild>
        <w:div w:id="1966425802">
          <w:marLeft w:val="0"/>
          <w:marRight w:val="0"/>
          <w:marTop w:val="0"/>
          <w:marBottom w:val="0"/>
          <w:divBdr>
            <w:top w:val="none" w:sz="0" w:space="0" w:color="auto"/>
            <w:left w:val="none" w:sz="0" w:space="0" w:color="auto"/>
            <w:bottom w:val="none" w:sz="0" w:space="0" w:color="auto"/>
            <w:right w:val="none" w:sz="0" w:space="0" w:color="auto"/>
          </w:divBdr>
        </w:div>
        <w:div w:id="1971520399">
          <w:marLeft w:val="0"/>
          <w:marRight w:val="0"/>
          <w:marTop w:val="0"/>
          <w:marBottom w:val="0"/>
          <w:divBdr>
            <w:top w:val="none" w:sz="0" w:space="0" w:color="auto"/>
            <w:left w:val="none" w:sz="0" w:space="0" w:color="auto"/>
            <w:bottom w:val="none" w:sz="0" w:space="0" w:color="auto"/>
            <w:right w:val="none" w:sz="0" w:space="0" w:color="auto"/>
          </w:divBdr>
          <w:divsChild>
            <w:div w:id="1463183700">
              <w:marLeft w:val="0"/>
              <w:marRight w:val="0"/>
              <w:marTop w:val="0"/>
              <w:marBottom w:val="165"/>
              <w:divBdr>
                <w:top w:val="none" w:sz="0" w:space="0" w:color="auto"/>
                <w:left w:val="none" w:sz="0" w:space="0" w:color="auto"/>
                <w:bottom w:val="none" w:sz="0" w:space="0" w:color="auto"/>
                <w:right w:val="none" w:sz="0" w:space="0" w:color="auto"/>
              </w:divBdr>
            </w:div>
          </w:divsChild>
        </w:div>
        <w:div w:id="863439266">
          <w:marLeft w:val="0"/>
          <w:marRight w:val="0"/>
          <w:marTop w:val="165"/>
          <w:marBottom w:val="165"/>
          <w:divBdr>
            <w:top w:val="none" w:sz="0" w:space="0" w:color="auto"/>
            <w:left w:val="none" w:sz="0" w:space="0" w:color="auto"/>
            <w:bottom w:val="none" w:sz="0" w:space="0" w:color="auto"/>
            <w:right w:val="none" w:sz="0" w:space="0" w:color="auto"/>
          </w:divBdr>
          <w:divsChild>
            <w:div w:id="812647351">
              <w:marLeft w:val="0"/>
              <w:marRight w:val="0"/>
              <w:marTop w:val="0"/>
              <w:marBottom w:val="0"/>
              <w:divBdr>
                <w:top w:val="none" w:sz="0" w:space="0" w:color="auto"/>
                <w:left w:val="none" w:sz="0" w:space="0" w:color="auto"/>
                <w:bottom w:val="none" w:sz="0" w:space="0" w:color="auto"/>
                <w:right w:val="none" w:sz="0" w:space="0" w:color="auto"/>
              </w:divBdr>
              <w:divsChild>
                <w:div w:id="300234560">
                  <w:marLeft w:val="0"/>
                  <w:marRight w:val="225"/>
                  <w:marTop w:val="0"/>
                  <w:marBottom w:val="0"/>
                  <w:divBdr>
                    <w:top w:val="none" w:sz="0" w:space="0" w:color="auto"/>
                    <w:left w:val="none" w:sz="0" w:space="0" w:color="auto"/>
                    <w:bottom w:val="none" w:sz="0" w:space="0" w:color="auto"/>
                    <w:right w:val="none" w:sz="0" w:space="0" w:color="auto"/>
                  </w:divBdr>
                </w:div>
              </w:divsChild>
            </w:div>
            <w:div w:id="2028360267">
              <w:marLeft w:val="0"/>
              <w:marRight w:val="0"/>
              <w:marTop w:val="0"/>
              <w:marBottom w:val="0"/>
              <w:divBdr>
                <w:top w:val="none" w:sz="0" w:space="0" w:color="auto"/>
                <w:left w:val="none" w:sz="0" w:space="0" w:color="auto"/>
                <w:bottom w:val="none" w:sz="0" w:space="0" w:color="auto"/>
                <w:right w:val="none" w:sz="0" w:space="0" w:color="auto"/>
              </w:divBdr>
              <w:divsChild>
                <w:div w:id="1142191832">
                  <w:marLeft w:val="0"/>
                  <w:marRight w:val="0"/>
                  <w:marTop w:val="0"/>
                  <w:marBottom w:val="0"/>
                  <w:divBdr>
                    <w:top w:val="none" w:sz="0" w:space="0" w:color="auto"/>
                    <w:left w:val="none" w:sz="0" w:space="0" w:color="auto"/>
                    <w:bottom w:val="none" w:sz="0" w:space="0" w:color="auto"/>
                    <w:right w:val="none" w:sz="0" w:space="0" w:color="auto"/>
                  </w:divBdr>
                  <w:divsChild>
                    <w:div w:id="177696658">
                      <w:marLeft w:val="0"/>
                      <w:marRight w:val="75"/>
                      <w:marTop w:val="0"/>
                      <w:marBottom w:val="0"/>
                      <w:divBdr>
                        <w:top w:val="none" w:sz="0" w:space="0" w:color="auto"/>
                        <w:left w:val="none" w:sz="0" w:space="0" w:color="auto"/>
                        <w:bottom w:val="none" w:sz="0" w:space="0" w:color="auto"/>
                        <w:right w:val="none" w:sz="0" w:space="0" w:color="auto"/>
                      </w:divBdr>
                    </w:div>
                    <w:div w:id="18250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7382">
      <w:bodyDiv w:val="1"/>
      <w:marLeft w:val="0"/>
      <w:marRight w:val="0"/>
      <w:marTop w:val="0"/>
      <w:marBottom w:val="0"/>
      <w:divBdr>
        <w:top w:val="none" w:sz="0" w:space="0" w:color="auto"/>
        <w:left w:val="none" w:sz="0" w:space="0" w:color="auto"/>
        <w:bottom w:val="none" w:sz="0" w:space="0" w:color="auto"/>
        <w:right w:val="none" w:sz="0" w:space="0" w:color="auto"/>
      </w:divBdr>
    </w:div>
    <w:div w:id="338165845">
      <w:bodyDiv w:val="1"/>
      <w:marLeft w:val="0"/>
      <w:marRight w:val="0"/>
      <w:marTop w:val="0"/>
      <w:marBottom w:val="0"/>
      <w:divBdr>
        <w:top w:val="none" w:sz="0" w:space="0" w:color="auto"/>
        <w:left w:val="none" w:sz="0" w:space="0" w:color="auto"/>
        <w:bottom w:val="none" w:sz="0" w:space="0" w:color="auto"/>
        <w:right w:val="none" w:sz="0" w:space="0" w:color="auto"/>
      </w:divBdr>
    </w:div>
    <w:div w:id="363140778">
      <w:bodyDiv w:val="1"/>
      <w:marLeft w:val="0"/>
      <w:marRight w:val="0"/>
      <w:marTop w:val="0"/>
      <w:marBottom w:val="0"/>
      <w:divBdr>
        <w:top w:val="none" w:sz="0" w:space="0" w:color="auto"/>
        <w:left w:val="none" w:sz="0" w:space="0" w:color="auto"/>
        <w:bottom w:val="none" w:sz="0" w:space="0" w:color="auto"/>
        <w:right w:val="none" w:sz="0" w:space="0" w:color="auto"/>
      </w:divBdr>
    </w:div>
    <w:div w:id="433483230">
      <w:bodyDiv w:val="1"/>
      <w:marLeft w:val="0"/>
      <w:marRight w:val="0"/>
      <w:marTop w:val="0"/>
      <w:marBottom w:val="0"/>
      <w:divBdr>
        <w:top w:val="none" w:sz="0" w:space="0" w:color="auto"/>
        <w:left w:val="none" w:sz="0" w:space="0" w:color="auto"/>
        <w:bottom w:val="none" w:sz="0" w:space="0" w:color="auto"/>
        <w:right w:val="none" w:sz="0" w:space="0" w:color="auto"/>
      </w:divBdr>
    </w:div>
    <w:div w:id="547228379">
      <w:bodyDiv w:val="1"/>
      <w:marLeft w:val="0"/>
      <w:marRight w:val="0"/>
      <w:marTop w:val="0"/>
      <w:marBottom w:val="0"/>
      <w:divBdr>
        <w:top w:val="none" w:sz="0" w:space="0" w:color="auto"/>
        <w:left w:val="none" w:sz="0" w:space="0" w:color="auto"/>
        <w:bottom w:val="none" w:sz="0" w:space="0" w:color="auto"/>
        <w:right w:val="none" w:sz="0" w:space="0" w:color="auto"/>
      </w:divBdr>
    </w:div>
    <w:div w:id="669212137">
      <w:bodyDiv w:val="1"/>
      <w:marLeft w:val="0"/>
      <w:marRight w:val="0"/>
      <w:marTop w:val="0"/>
      <w:marBottom w:val="0"/>
      <w:divBdr>
        <w:top w:val="none" w:sz="0" w:space="0" w:color="auto"/>
        <w:left w:val="none" w:sz="0" w:space="0" w:color="auto"/>
        <w:bottom w:val="none" w:sz="0" w:space="0" w:color="auto"/>
        <w:right w:val="none" w:sz="0" w:space="0" w:color="auto"/>
      </w:divBdr>
    </w:div>
    <w:div w:id="740448469">
      <w:bodyDiv w:val="1"/>
      <w:marLeft w:val="0"/>
      <w:marRight w:val="0"/>
      <w:marTop w:val="0"/>
      <w:marBottom w:val="0"/>
      <w:divBdr>
        <w:top w:val="none" w:sz="0" w:space="0" w:color="auto"/>
        <w:left w:val="none" w:sz="0" w:space="0" w:color="auto"/>
        <w:bottom w:val="none" w:sz="0" w:space="0" w:color="auto"/>
        <w:right w:val="none" w:sz="0" w:space="0" w:color="auto"/>
      </w:divBdr>
    </w:div>
    <w:div w:id="787772276">
      <w:bodyDiv w:val="1"/>
      <w:marLeft w:val="0"/>
      <w:marRight w:val="0"/>
      <w:marTop w:val="0"/>
      <w:marBottom w:val="0"/>
      <w:divBdr>
        <w:top w:val="none" w:sz="0" w:space="0" w:color="auto"/>
        <w:left w:val="none" w:sz="0" w:space="0" w:color="auto"/>
        <w:bottom w:val="none" w:sz="0" w:space="0" w:color="auto"/>
        <w:right w:val="none" w:sz="0" w:space="0" w:color="auto"/>
      </w:divBdr>
    </w:div>
    <w:div w:id="975721152">
      <w:bodyDiv w:val="1"/>
      <w:marLeft w:val="0"/>
      <w:marRight w:val="0"/>
      <w:marTop w:val="0"/>
      <w:marBottom w:val="0"/>
      <w:divBdr>
        <w:top w:val="none" w:sz="0" w:space="0" w:color="auto"/>
        <w:left w:val="none" w:sz="0" w:space="0" w:color="auto"/>
        <w:bottom w:val="none" w:sz="0" w:space="0" w:color="auto"/>
        <w:right w:val="none" w:sz="0" w:space="0" w:color="auto"/>
      </w:divBdr>
    </w:div>
    <w:div w:id="986855653">
      <w:bodyDiv w:val="1"/>
      <w:marLeft w:val="0"/>
      <w:marRight w:val="0"/>
      <w:marTop w:val="0"/>
      <w:marBottom w:val="0"/>
      <w:divBdr>
        <w:top w:val="none" w:sz="0" w:space="0" w:color="auto"/>
        <w:left w:val="none" w:sz="0" w:space="0" w:color="auto"/>
        <w:bottom w:val="none" w:sz="0" w:space="0" w:color="auto"/>
        <w:right w:val="none" w:sz="0" w:space="0" w:color="auto"/>
      </w:divBdr>
    </w:div>
    <w:div w:id="1011490283">
      <w:bodyDiv w:val="1"/>
      <w:marLeft w:val="0"/>
      <w:marRight w:val="0"/>
      <w:marTop w:val="0"/>
      <w:marBottom w:val="0"/>
      <w:divBdr>
        <w:top w:val="none" w:sz="0" w:space="0" w:color="auto"/>
        <w:left w:val="none" w:sz="0" w:space="0" w:color="auto"/>
        <w:bottom w:val="none" w:sz="0" w:space="0" w:color="auto"/>
        <w:right w:val="none" w:sz="0" w:space="0" w:color="auto"/>
      </w:divBdr>
    </w:div>
    <w:div w:id="1123889801">
      <w:bodyDiv w:val="1"/>
      <w:marLeft w:val="0"/>
      <w:marRight w:val="0"/>
      <w:marTop w:val="0"/>
      <w:marBottom w:val="0"/>
      <w:divBdr>
        <w:top w:val="none" w:sz="0" w:space="0" w:color="auto"/>
        <w:left w:val="none" w:sz="0" w:space="0" w:color="auto"/>
        <w:bottom w:val="none" w:sz="0" w:space="0" w:color="auto"/>
        <w:right w:val="none" w:sz="0" w:space="0" w:color="auto"/>
      </w:divBdr>
      <w:divsChild>
        <w:div w:id="1330331327">
          <w:marLeft w:val="0"/>
          <w:marRight w:val="0"/>
          <w:marTop w:val="0"/>
          <w:marBottom w:val="0"/>
          <w:divBdr>
            <w:top w:val="none" w:sz="0" w:space="0" w:color="auto"/>
            <w:left w:val="none" w:sz="0" w:space="0" w:color="auto"/>
            <w:bottom w:val="none" w:sz="0" w:space="0" w:color="auto"/>
            <w:right w:val="none" w:sz="0" w:space="0" w:color="auto"/>
          </w:divBdr>
        </w:div>
        <w:div w:id="1292788765">
          <w:marLeft w:val="0"/>
          <w:marRight w:val="0"/>
          <w:marTop w:val="0"/>
          <w:marBottom w:val="0"/>
          <w:divBdr>
            <w:top w:val="none" w:sz="0" w:space="0" w:color="auto"/>
            <w:left w:val="none" w:sz="0" w:space="0" w:color="auto"/>
            <w:bottom w:val="none" w:sz="0" w:space="0" w:color="auto"/>
            <w:right w:val="none" w:sz="0" w:space="0" w:color="auto"/>
          </w:divBdr>
          <w:divsChild>
            <w:div w:id="844325333">
              <w:marLeft w:val="0"/>
              <w:marRight w:val="0"/>
              <w:marTop w:val="0"/>
              <w:marBottom w:val="165"/>
              <w:divBdr>
                <w:top w:val="none" w:sz="0" w:space="0" w:color="auto"/>
                <w:left w:val="none" w:sz="0" w:space="0" w:color="auto"/>
                <w:bottom w:val="none" w:sz="0" w:space="0" w:color="auto"/>
                <w:right w:val="none" w:sz="0" w:space="0" w:color="auto"/>
              </w:divBdr>
            </w:div>
          </w:divsChild>
        </w:div>
        <w:div w:id="1710565611">
          <w:marLeft w:val="0"/>
          <w:marRight w:val="0"/>
          <w:marTop w:val="165"/>
          <w:marBottom w:val="165"/>
          <w:divBdr>
            <w:top w:val="none" w:sz="0" w:space="0" w:color="auto"/>
            <w:left w:val="none" w:sz="0" w:space="0" w:color="auto"/>
            <w:bottom w:val="none" w:sz="0" w:space="0" w:color="auto"/>
            <w:right w:val="none" w:sz="0" w:space="0" w:color="auto"/>
          </w:divBdr>
          <w:divsChild>
            <w:div w:id="1583681145">
              <w:marLeft w:val="0"/>
              <w:marRight w:val="0"/>
              <w:marTop w:val="0"/>
              <w:marBottom w:val="0"/>
              <w:divBdr>
                <w:top w:val="none" w:sz="0" w:space="0" w:color="auto"/>
                <w:left w:val="none" w:sz="0" w:space="0" w:color="auto"/>
                <w:bottom w:val="none" w:sz="0" w:space="0" w:color="auto"/>
                <w:right w:val="none" w:sz="0" w:space="0" w:color="auto"/>
              </w:divBdr>
              <w:divsChild>
                <w:div w:id="1626963419">
                  <w:marLeft w:val="0"/>
                  <w:marRight w:val="225"/>
                  <w:marTop w:val="0"/>
                  <w:marBottom w:val="0"/>
                  <w:divBdr>
                    <w:top w:val="none" w:sz="0" w:space="0" w:color="auto"/>
                    <w:left w:val="none" w:sz="0" w:space="0" w:color="auto"/>
                    <w:bottom w:val="none" w:sz="0" w:space="0" w:color="auto"/>
                    <w:right w:val="none" w:sz="0" w:space="0" w:color="auto"/>
                  </w:divBdr>
                </w:div>
              </w:divsChild>
            </w:div>
            <w:div w:id="74596482">
              <w:marLeft w:val="0"/>
              <w:marRight w:val="0"/>
              <w:marTop w:val="0"/>
              <w:marBottom w:val="0"/>
              <w:divBdr>
                <w:top w:val="none" w:sz="0" w:space="0" w:color="auto"/>
                <w:left w:val="none" w:sz="0" w:space="0" w:color="auto"/>
                <w:bottom w:val="none" w:sz="0" w:space="0" w:color="auto"/>
                <w:right w:val="none" w:sz="0" w:space="0" w:color="auto"/>
              </w:divBdr>
              <w:divsChild>
                <w:div w:id="1601795834">
                  <w:marLeft w:val="0"/>
                  <w:marRight w:val="0"/>
                  <w:marTop w:val="0"/>
                  <w:marBottom w:val="0"/>
                  <w:divBdr>
                    <w:top w:val="none" w:sz="0" w:space="0" w:color="auto"/>
                    <w:left w:val="none" w:sz="0" w:space="0" w:color="auto"/>
                    <w:bottom w:val="none" w:sz="0" w:space="0" w:color="auto"/>
                    <w:right w:val="none" w:sz="0" w:space="0" w:color="auto"/>
                  </w:divBdr>
                  <w:divsChild>
                    <w:div w:id="1265115493">
                      <w:marLeft w:val="0"/>
                      <w:marRight w:val="75"/>
                      <w:marTop w:val="0"/>
                      <w:marBottom w:val="0"/>
                      <w:divBdr>
                        <w:top w:val="none" w:sz="0" w:space="0" w:color="auto"/>
                        <w:left w:val="none" w:sz="0" w:space="0" w:color="auto"/>
                        <w:bottom w:val="none" w:sz="0" w:space="0" w:color="auto"/>
                        <w:right w:val="none" w:sz="0" w:space="0" w:color="auto"/>
                      </w:divBdr>
                    </w:div>
                    <w:div w:id="853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83592">
      <w:bodyDiv w:val="1"/>
      <w:marLeft w:val="0"/>
      <w:marRight w:val="0"/>
      <w:marTop w:val="0"/>
      <w:marBottom w:val="0"/>
      <w:divBdr>
        <w:top w:val="none" w:sz="0" w:space="0" w:color="auto"/>
        <w:left w:val="none" w:sz="0" w:space="0" w:color="auto"/>
        <w:bottom w:val="none" w:sz="0" w:space="0" w:color="auto"/>
        <w:right w:val="none" w:sz="0" w:space="0" w:color="auto"/>
      </w:divBdr>
    </w:div>
    <w:div w:id="1296642659">
      <w:bodyDiv w:val="1"/>
      <w:marLeft w:val="0"/>
      <w:marRight w:val="0"/>
      <w:marTop w:val="0"/>
      <w:marBottom w:val="0"/>
      <w:divBdr>
        <w:top w:val="none" w:sz="0" w:space="0" w:color="auto"/>
        <w:left w:val="none" w:sz="0" w:space="0" w:color="auto"/>
        <w:bottom w:val="none" w:sz="0" w:space="0" w:color="auto"/>
        <w:right w:val="none" w:sz="0" w:space="0" w:color="auto"/>
      </w:divBdr>
    </w:div>
    <w:div w:id="1317031348">
      <w:bodyDiv w:val="1"/>
      <w:marLeft w:val="0"/>
      <w:marRight w:val="0"/>
      <w:marTop w:val="0"/>
      <w:marBottom w:val="0"/>
      <w:divBdr>
        <w:top w:val="none" w:sz="0" w:space="0" w:color="auto"/>
        <w:left w:val="none" w:sz="0" w:space="0" w:color="auto"/>
        <w:bottom w:val="none" w:sz="0" w:space="0" w:color="auto"/>
        <w:right w:val="none" w:sz="0" w:space="0" w:color="auto"/>
      </w:divBdr>
    </w:div>
    <w:div w:id="1320109102">
      <w:bodyDiv w:val="1"/>
      <w:marLeft w:val="0"/>
      <w:marRight w:val="0"/>
      <w:marTop w:val="0"/>
      <w:marBottom w:val="0"/>
      <w:divBdr>
        <w:top w:val="none" w:sz="0" w:space="0" w:color="auto"/>
        <w:left w:val="none" w:sz="0" w:space="0" w:color="auto"/>
        <w:bottom w:val="none" w:sz="0" w:space="0" w:color="auto"/>
        <w:right w:val="none" w:sz="0" w:space="0" w:color="auto"/>
      </w:divBdr>
    </w:div>
    <w:div w:id="1387604485">
      <w:bodyDiv w:val="1"/>
      <w:marLeft w:val="0"/>
      <w:marRight w:val="0"/>
      <w:marTop w:val="0"/>
      <w:marBottom w:val="0"/>
      <w:divBdr>
        <w:top w:val="none" w:sz="0" w:space="0" w:color="auto"/>
        <w:left w:val="none" w:sz="0" w:space="0" w:color="auto"/>
        <w:bottom w:val="none" w:sz="0" w:space="0" w:color="auto"/>
        <w:right w:val="none" w:sz="0" w:space="0" w:color="auto"/>
      </w:divBdr>
    </w:div>
    <w:div w:id="1394621942">
      <w:bodyDiv w:val="1"/>
      <w:marLeft w:val="0"/>
      <w:marRight w:val="0"/>
      <w:marTop w:val="0"/>
      <w:marBottom w:val="0"/>
      <w:divBdr>
        <w:top w:val="none" w:sz="0" w:space="0" w:color="auto"/>
        <w:left w:val="none" w:sz="0" w:space="0" w:color="auto"/>
        <w:bottom w:val="none" w:sz="0" w:space="0" w:color="auto"/>
        <w:right w:val="none" w:sz="0" w:space="0" w:color="auto"/>
      </w:divBdr>
      <w:divsChild>
        <w:div w:id="73223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168475">
      <w:bodyDiv w:val="1"/>
      <w:marLeft w:val="0"/>
      <w:marRight w:val="0"/>
      <w:marTop w:val="0"/>
      <w:marBottom w:val="0"/>
      <w:divBdr>
        <w:top w:val="none" w:sz="0" w:space="0" w:color="auto"/>
        <w:left w:val="none" w:sz="0" w:space="0" w:color="auto"/>
        <w:bottom w:val="none" w:sz="0" w:space="0" w:color="auto"/>
        <w:right w:val="none" w:sz="0" w:space="0" w:color="auto"/>
      </w:divBdr>
      <w:divsChild>
        <w:div w:id="223958147">
          <w:marLeft w:val="0"/>
          <w:marRight w:val="0"/>
          <w:marTop w:val="0"/>
          <w:marBottom w:val="0"/>
          <w:divBdr>
            <w:top w:val="none" w:sz="0" w:space="0" w:color="auto"/>
            <w:left w:val="none" w:sz="0" w:space="0" w:color="auto"/>
            <w:bottom w:val="none" w:sz="0" w:space="0" w:color="auto"/>
            <w:right w:val="none" w:sz="0" w:space="0" w:color="auto"/>
          </w:divBdr>
          <w:divsChild>
            <w:div w:id="493768183">
              <w:marLeft w:val="0"/>
              <w:marRight w:val="0"/>
              <w:marTop w:val="0"/>
              <w:marBottom w:val="0"/>
              <w:divBdr>
                <w:top w:val="none" w:sz="0" w:space="0" w:color="auto"/>
                <w:left w:val="none" w:sz="0" w:space="0" w:color="auto"/>
                <w:bottom w:val="none" w:sz="0" w:space="0" w:color="auto"/>
                <w:right w:val="none" w:sz="0" w:space="0" w:color="auto"/>
              </w:divBdr>
              <w:divsChild>
                <w:div w:id="1555189843">
                  <w:marLeft w:val="0"/>
                  <w:marRight w:val="0"/>
                  <w:marTop w:val="0"/>
                  <w:marBottom w:val="0"/>
                  <w:divBdr>
                    <w:top w:val="none" w:sz="0" w:space="0" w:color="auto"/>
                    <w:left w:val="none" w:sz="0" w:space="0" w:color="auto"/>
                    <w:bottom w:val="none" w:sz="0" w:space="0" w:color="auto"/>
                    <w:right w:val="none" w:sz="0" w:space="0" w:color="auto"/>
                  </w:divBdr>
                  <w:divsChild>
                    <w:div w:id="1751193287">
                      <w:marLeft w:val="0"/>
                      <w:marRight w:val="0"/>
                      <w:marTop w:val="0"/>
                      <w:marBottom w:val="0"/>
                      <w:divBdr>
                        <w:top w:val="none" w:sz="0" w:space="0" w:color="auto"/>
                        <w:left w:val="none" w:sz="0" w:space="0" w:color="auto"/>
                        <w:bottom w:val="none" w:sz="0" w:space="0" w:color="auto"/>
                        <w:right w:val="none" w:sz="0" w:space="0" w:color="auto"/>
                      </w:divBdr>
                      <w:divsChild>
                        <w:div w:id="1364280741">
                          <w:marLeft w:val="0"/>
                          <w:marRight w:val="0"/>
                          <w:marTop w:val="0"/>
                          <w:marBottom w:val="0"/>
                          <w:divBdr>
                            <w:top w:val="none" w:sz="0" w:space="0" w:color="auto"/>
                            <w:left w:val="none" w:sz="0" w:space="0" w:color="auto"/>
                            <w:bottom w:val="none" w:sz="0" w:space="0" w:color="auto"/>
                            <w:right w:val="none" w:sz="0" w:space="0" w:color="auto"/>
                          </w:divBdr>
                          <w:divsChild>
                            <w:div w:id="1243873586">
                              <w:marLeft w:val="0"/>
                              <w:marRight w:val="0"/>
                              <w:marTop w:val="0"/>
                              <w:marBottom w:val="0"/>
                              <w:divBdr>
                                <w:top w:val="none" w:sz="0" w:space="0" w:color="auto"/>
                                <w:left w:val="none" w:sz="0" w:space="0" w:color="auto"/>
                                <w:bottom w:val="none" w:sz="0" w:space="0" w:color="auto"/>
                                <w:right w:val="none" w:sz="0" w:space="0" w:color="auto"/>
                              </w:divBdr>
                              <w:divsChild>
                                <w:div w:id="17724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30336">
      <w:bodyDiv w:val="1"/>
      <w:marLeft w:val="0"/>
      <w:marRight w:val="0"/>
      <w:marTop w:val="0"/>
      <w:marBottom w:val="0"/>
      <w:divBdr>
        <w:top w:val="none" w:sz="0" w:space="0" w:color="auto"/>
        <w:left w:val="none" w:sz="0" w:space="0" w:color="auto"/>
        <w:bottom w:val="none" w:sz="0" w:space="0" w:color="auto"/>
        <w:right w:val="none" w:sz="0" w:space="0" w:color="auto"/>
      </w:divBdr>
      <w:divsChild>
        <w:div w:id="213832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903439">
      <w:bodyDiv w:val="1"/>
      <w:marLeft w:val="0"/>
      <w:marRight w:val="0"/>
      <w:marTop w:val="0"/>
      <w:marBottom w:val="0"/>
      <w:divBdr>
        <w:top w:val="none" w:sz="0" w:space="0" w:color="auto"/>
        <w:left w:val="none" w:sz="0" w:space="0" w:color="auto"/>
        <w:bottom w:val="none" w:sz="0" w:space="0" w:color="auto"/>
        <w:right w:val="none" w:sz="0" w:space="0" w:color="auto"/>
      </w:divBdr>
    </w:div>
    <w:div w:id="1547184683">
      <w:bodyDiv w:val="1"/>
      <w:marLeft w:val="0"/>
      <w:marRight w:val="0"/>
      <w:marTop w:val="0"/>
      <w:marBottom w:val="0"/>
      <w:divBdr>
        <w:top w:val="none" w:sz="0" w:space="0" w:color="auto"/>
        <w:left w:val="none" w:sz="0" w:space="0" w:color="auto"/>
        <w:bottom w:val="none" w:sz="0" w:space="0" w:color="auto"/>
        <w:right w:val="none" w:sz="0" w:space="0" w:color="auto"/>
      </w:divBdr>
    </w:div>
    <w:div w:id="1691954052">
      <w:bodyDiv w:val="1"/>
      <w:marLeft w:val="0"/>
      <w:marRight w:val="0"/>
      <w:marTop w:val="0"/>
      <w:marBottom w:val="0"/>
      <w:divBdr>
        <w:top w:val="none" w:sz="0" w:space="0" w:color="auto"/>
        <w:left w:val="none" w:sz="0" w:space="0" w:color="auto"/>
        <w:bottom w:val="none" w:sz="0" w:space="0" w:color="auto"/>
        <w:right w:val="none" w:sz="0" w:space="0" w:color="auto"/>
      </w:divBdr>
    </w:div>
    <w:div w:id="1715808695">
      <w:bodyDiv w:val="1"/>
      <w:marLeft w:val="0"/>
      <w:marRight w:val="0"/>
      <w:marTop w:val="0"/>
      <w:marBottom w:val="0"/>
      <w:divBdr>
        <w:top w:val="none" w:sz="0" w:space="0" w:color="auto"/>
        <w:left w:val="none" w:sz="0" w:space="0" w:color="auto"/>
        <w:bottom w:val="none" w:sz="0" w:space="0" w:color="auto"/>
        <w:right w:val="none" w:sz="0" w:space="0" w:color="auto"/>
      </w:divBdr>
    </w:div>
    <w:div w:id="1788766988">
      <w:bodyDiv w:val="1"/>
      <w:marLeft w:val="0"/>
      <w:marRight w:val="0"/>
      <w:marTop w:val="0"/>
      <w:marBottom w:val="0"/>
      <w:divBdr>
        <w:top w:val="none" w:sz="0" w:space="0" w:color="auto"/>
        <w:left w:val="none" w:sz="0" w:space="0" w:color="auto"/>
        <w:bottom w:val="none" w:sz="0" w:space="0" w:color="auto"/>
        <w:right w:val="none" w:sz="0" w:space="0" w:color="auto"/>
      </w:divBdr>
    </w:div>
    <w:div w:id="1922106373">
      <w:bodyDiv w:val="1"/>
      <w:marLeft w:val="0"/>
      <w:marRight w:val="0"/>
      <w:marTop w:val="0"/>
      <w:marBottom w:val="0"/>
      <w:divBdr>
        <w:top w:val="none" w:sz="0" w:space="0" w:color="auto"/>
        <w:left w:val="none" w:sz="0" w:space="0" w:color="auto"/>
        <w:bottom w:val="none" w:sz="0" w:space="0" w:color="auto"/>
        <w:right w:val="none" w:sz="0" w:space="0" w:color="auto"/>
      </w:divBdr>
    </w:div>
    <w:div w:id="1971546437">
      <w:bodyDiv w:val="1"/>
      <w:marLeft w:val="0"/>
      <w:marRight w:val="0"/>
      <w:marTop w:val="0"/>
      <w:marBottom w:val="0"/>
      <w:divBdr>
        <w:top w:val="none" w:sz="0" w:space="0" w:color="auto"/>
        <w:left w:val="none" w:sz="0" w:space="0" w:color="auto"/>
        <w:bottom w:val="none" w:sz="0" w:space="0" w:color="auto"/>
        <w:right w:val="none" w:sz="0" w:space="0" w:color="auto"/>
      </w:divBdr>
    </w:div>
    <w:div w:id="1993673510">
      <w:bodyDiv w:val="1"/>
      <w:marLeft w:val="0"/>
      <w:marRight w:val="0"/>
      <w:marTop w:val="0"/>
      <w:marBottom w:val="0"/>
      <w:divBdr>
        <w:top w:val="none" w:sz="0" w:space="0" w:color="auto"/>
        <w:left w:val="none" w:sz="0" w:space="0" w:color="auto"/>
        <w:bottom w:val="none" w:sz="0" w:space="0" w:color="auto"/>
        <w:right w:val="none" w:sz="0" w:space="0" w:color="auto"/>
      </w:divBdr>
      <w:divsChild>
        <w:div w:id="83912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38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671629">
          <w:blockQuote w:val="1"/>
          <w:marLeft w:val="720"/>
          <w:marRight w:val="720"/>
          <w:marTop w:val="100"/>
          <w:marBottom w:val="100"/>
          <w:divBdr>
            <w:top w:val="none" w:sz="0" w:space="0" w:color="auto"/>
            <w:left w:val="none" w:sz="0" w:space="0" w:color="auto"/>
            <w:bottom w:val="none" w:sz="0" w:space="0" w:color="auto"/>
            <w:right w:val="none" w:sz="0" w:space="0" w:color="auto"/>
          </w:divBdr>
        </w:div>
        <w:div w:id="76140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21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139411">
      <w:bodyDiv w:val="1"/>
      <w:marLeft w:val="0"/>
      <w:marRight w:val="0"/>
      <w:marTop w:val="0"/>
      <w:marBottom w:val="0"/>
      <w:divBdr>
        <w:top w:val="none" w:sz="0" w:space="0" w:color="auto"/>
        <w:left w:val="none" w:sz="0" w:space="0" w:color="auto"/>
        <w:bottom w:val="none" w:sz="0" w:space="0" w:color="auto"/>
        <w:right w:val="none" w:sz="0" w:space="0" w:color="auto"/>
      </w:divBdr>
    </w:div>
    <w:div w:id="207508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berken arslan</dc:creator>
  <cp:keywords/>
  <dc:description/>
  <cp:lastModifiedBy>berken arslan</cp:lastModifiedBy>
  <cp:revision>2</cp:revision>
  <dcterms:created xsi:type="dcterms:W3CDTF">2025-05-15T12:09:00Z</dcterms:created>
  <dcterms:modified xsi:type="dcterms:W3CDTF">2025-05-15T12:09:00Z</dcterms:modified>
</cp:coreProperties>
</file>