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1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16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0.0007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28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16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5.1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3" w:name="математическая-модель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товара.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 S к цене p. Она 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r>
          <m:t>p</m:t>
        </m:r>
        <m:r>
          <m:t>c</m:t>
        </m:r>
        <m:r>
          <m:t>r</m:t>
        </m:r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r>
          <m:t>p</m:t>
        </m:r>
        <m:r>
          <m:t>c</m:t>
        </m:r>
        <m:r>
          <m:t>r</m:t>
        </m:r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 τ.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</w:t>
      </w:r>
      <w:r>
        <w:t xml:space="preserve"> </w:t>
      </w:r>
      <w:r>
        <w:t xml:space="preserve">условию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3"/>
    <w:bookmarkStart w:id="38" w:name="X1b26c68749f307c773df5899083df5e9f47b22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 с помощью языков программирования</w:t>
      </w:r>
    </w:p>
    <w:bookmarkStart w:id="30" w:name="openmodelica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 [1]: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Real cr = 10.5;</w:t>
      </w:r>
      <w:r>
        <w:br/>
      </w:r>
      <w:r>
        <w:rPr>
          <w:rStyle w:val="VerbatimChar"/>
        </w:rPr>
        <w:t xml:space="preserve">Real N = 28;</w:t>
      </w:r>
      <w:r>
        <w:br/>
      </w:r>
      <w:r>
        <w:rPr>
          <w:rStyle w:val="VerbatimChar"/>
        </w:rPr>
        <w:t xml:space="preserve">Real q = 1;</w:t>
      </w:r>
      <w:r>
        <w:br/>
      </w:r>
      <w:r>
        <w:rPr>
          <w:rStyle w:val="VerbatimChar"/>
        </w:rPr>
        <w:t xml:space="preserve">Real t1 = 16;</w:t>
      </w:r>
      <w:r>
        <w:br/>
      </w:r>
      <w:r>
        <w:rPr>
          <w:rStyle w:val="VerbatimChar"/>
        </w:rPr>
        <w:t xml:space="preserve">Real t2 = 25;</w:t>
      </w:r>
      <w:r>
        <w:br/>
      </w:r>
      <w:r>
        <w:rPr>
          <w:rStyle w:val="VerbatimChar"/>
        </w:rPr>
        <w:t xml:space="preserve">Real p1 = 7.2;</w:t>
      </w:r>
      <w:r>
        <w:br/>
      </w:r>
      <w:r>
        <w:rPr>
          <w:rStyle w:val="VerbatimChar"/>
        </w:rPr>
        <w:t xml:space="preserve">Real p2 = 5.1;</w:t>
      </w:r>
      <w:r>
        <w:br/>
      </w:r>
      <w:r>
        <w:br/>
      </w:r>
      <w:r>
        <w:rPr>
          <w:rStyle w:val="VerbatimChar"/>
        </w:rPr>
        <w:t xml:space="preserve">Real a1 = cr / (t1 * t1 * p1 * p1 * N * q);</w:t>
      </w:r>
      <w:r>
        <w:br/>
      </w:r>
      <w:r>
        <w:rPr>
          <w:rStyle w:val="VerbatimChar"/>
        </w:rPr>
        <w:t xml:space="preserve">Real a2 = cr / (t2 * t2 * p2 * p2 * N * q);</w:t>
      </w:r>
      <w:r>
        <w:br/>
      </w:r>
      <w:r>
        <w:rPr>
          <w:rStyle w:val="VerbatimChar"/>
        </w:rPr>
        <w:t xml:space="preserve">Real b = cr / (t1 * t1 * p1 * p1 * t2 * t2 * p2 * p2 * N * q);</w:t>
      </w:r>
      <w:r>
        <w:br/>
      </w:r>
      <w:r>
        <w:rPr>
          <w:rStyle w:val="VerbatimChar"/>
        </w:rPr>
        <w:t xml:space="preserve">Real c1 = (cr - p1) / (t1*p1);</w:t>
      </w:r>
      <w:r>
        <w:br/>
      </w:r>
      <w:r>
        <w:rPr>
          <w:rStyle w:val="VerbatimChar"/>
        </w:rPr>
        <w:t xml:space="preserve">Real c2 = (cr - p2) / (t2*p2);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4.4;</w:t>
      </w:r>
      <w:r>
        <w:br/>
      </w:r>
      <w:r>
        <w:rPr>
          <w:rStyle w:val="VerbatimChar"/>
        </w:rPr>
        <w:t xml:space="preserve">M2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В результате работы программы получаем следующий график (рис. 1).</w:t>
      </w:r>
    </w:p>
    <w:p>
      <w:pPr>
        <w:pStyle w:val="CaptionedFigure"/>
      </w:pPr>
      <w:r>
        <w:drawing>
          <wp:inline>
            <wp:extent cx="3733800" cy="2878137"/>
            <wp:effectExtent b="0" l="0" r="0" t="0"/>
            <wp:docPr descr="График для первого случая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для первого случая</w:t>
      </w:r>
    </w:p>
    <w:p>
      <w:pPr>
        <w:pStyle w:val="BodyText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Real cr = 10.5;</w:t>
      </w:r>
      <w:r>
        <w:br/>
      </w:r>
      <w:r>
        <w:rPr>
          <w:rStyle w:val="VerbatimChar"/>
        </w:rPr>
        <w:t xml:space="preserve">Real N = 28;</w:t>
      </w:r>
      <w:r>
        <w:br/>
      </w:r>
      <w:r>
        <w:rPr>
          <w:rStyle w:val="VerbatimChar"/>
        </w:rPr>
        <w:t xml:space="preserve">Real q = 1;</w:t>
      </w:r>
      <w:r>
        <w:br/>
      </w:r>
      <w:r>
        <w:rPr>
          <w:rStyle w:val="VerbatimChar"/>
        </w:rPr>
        <w:t xml:space="preserve">Real t1 = 16;</w:t>
      </w:r>
      <w:r>
        <w:br/>
      </w:r>
      <w:r>
        <w:rPr>
          <w:rStyle w:val="VerbatimChar"/>
        </w:rPr>
        <w:t xml:space="preserve">Real t2 = 25;</w:t>
      </w:r>
      <w:r>
        <w:br/>
      </w:r>
      <w:r>
        <w:rPr>
          <w:rStyle w:val="VerbatimChar"/>
        </w:rPr>
        <w:t xml:space="preserve">Real p1 = 7.2;</w:t>
      </w:r>
      <w:r>
        <w:br/>
      </w:r>
      <w:r>
        <w:rPr>
          <w:rStyle w:val="VerbatimChar"/>
        </w:rPr>
        <w:t xml:space="preserve">Real p2 = 5.1;</w:t>
      </w:r>
      <w:r>
        <w:br/>
      </w:r>
      <w:r>
        <w:br/>
      </w:r>
      <w:r>
        <w:rPr>
          <w:rStyle w:val="VerbatimChar"/>
        </w:rPr>
        <w:t xml:space="preserve">Real a1 = cr / (t1 * t1 * p1 * p1 * N * q);</w:t>
      </w:r>
      <w:r>
        <w:br/>
      </w:r>
      <w:r>
        <w:rPr>
          <w:rStyle w:val="VerbatimChar"/>
        </w:rPr>
        <w:t xml:space="preserve">Real a2 = cr / (t2 * t2 * p2 * p2 * N * q);</w:t>
      </w:r>
      <w:r>
        <w:br/>
      </w:r>
      <w:r>
        <w:rPr>
          <w:rStyle w:val="VerbatimChar"/>
        </w:rPr>
        <w:t xml:space="preserve">Real b = cr / (t1 * t1 * p1 * p1 * t2 * t2 * p2 * p2 * N * q);</w:t>
      </w:r>
      <w:r>
        <w:br/>
      </w:r>
      <w:r>
        <w:rPr>
          <w:rStyle w:val="VerbatimChar"/>
        </w:rPr>
        <w:t xml:space="preserve">Real c1 = (cr - p1) / (t1*p1);</w:t>
      </w:r>
      <w:r>
        <w:br/>
      </w:r>
      <w:r>
        <w:rPr>
          <w:rStyle w:val="VerbatimChar"/>
        </w:rPr>
        <w:t xml:space="preserve">Real c2 = (cr - p2) / (t2*p2);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4.4;</w:t>
      </w:r>
      <w:r>
        <w:br/>
      </w:r>
      <w:r>
        <w:rPr>
          <w:rStyle w:val="VerbatimChar"/>
        </w:rPr>
        <w:t xml:space="preserve">M2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+ 0.0007)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lab08_2;</w:t>
      </w:r>
    </w:p>
    <w:p>
      <w:pPr>
        <w:pStyle w:val="FirstParagraph"/>
      </w:pPr>
      <w:r>
        <w:t xml:space="preserve">В результате работы программы получаем следующий график (рис. 2).</w:t>
      </w:r>
    </w:p>
    <w:p>
      <w:pPr>
        <w:pStyle w:val="CaptionedFigure"/>
      </w:pPr>
      <w:r>
        <w:drawing>
          <wp:inline>
            <wp:extent cx="3733800" cy="2866154"/>
            <wp:effectExtent b="0" l="0" r="0" t="0"/>
            <wp:docPr descr="График для второго случа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для второго случая</w:t>
      </w:r>
    </w:p>
    <w:bookmarkEnd w:id="30"/>
    <w:bookmarkStart w:id="37" w:name="julia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 [2]: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cr = 10.5</w:t>
      </w:r>
      <w:r>
        <w:br/>
      </w:r>
      <w:r>
        <w:rPr>
          <w:rStyle w:val="VerbatimChar"/>
        </w:rPr>
        <w:t xml:space="preserve">N = 28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t1 = 16</w:t>
      </w:r>
      <w:r>
        <w:br/>
      </w:r>
      <w:r>
        <w:rPr>
          <w:rStyle w:val="VerbatimChar"/>
        </w:rPr>
        <w:t xml:space="preserve">t2 = 25</w:t>
      </w:r>
      <w:r>
        <w:br/>
      </w:r>
      <w:r>
        <w:rPr>
          <w:rStyle w:val="VerbatimChar"/>
        </w:rPr>
        <w:t xml:space="preserve">p1 = 7.2</w:t>
      </w:r>
      <w:r>
        <w:br/>
      </w:r>
      <w:r>
        <w:rPr>
          <w:rStyle w:val="VerbatimChar"/>
        </w:rPr>
        <w:t xml:space="preserve">p2 = 5.1</w:t>
      </w:r>
      <w:r>
        <w:br/>
      </w:r>
      <w:r>
        <w:br/>
      </w:r>
      <w:r>
        <w:rPr>
          <w:rStyle w:val="VerbatimChar"/>
        </w:rPr>
        <w:t xml:space="preserve">a1 = cr / (t1 * t1 * p1 * p1 * N * q)</w:t>
      </w:r>
      <w:r>
        <w:br/>
      </w:r>
      <w:r>
        <w:rPr>
          <w:rStyle w:val="VerbatimChar"/>
        </w:rPr>
        <w:t xml:space="preserve">a2 = cr / (t2 * t2 * p2 * p2 * N * q)</w:t>
      </w:r>
      <w:r>
        <w:br/>
      </w:r>
      <w:r>
        <w:rPr>
          <w:rStyle w:val="VerbatimChar"/>
        </w:rPr>
        <w:t xml:space="preserve">b = cr / (t1 * t1 * p1 * p1 * t2 * t2 * p2 * p2 * N * q)</w:t>
      </w:r>
      <w:r>
        <w:br/>
      </w:r>
      <w:r>
        <w:rPr>
          <w:rStyle w:val="VerbatimChar"/>
        </w:rPr>
        <w:t xml:space="preserve">c1 = (cr - p1) / (t1*p1)</w:t>
      </w:r>
      <w:r>
        <w:br/>
      </w:r>
      <w:r>
        <w:rPr>
          <w:rStyle w:val="VerbatimChar"/>
        </w:rPr>
        <w:t xml:space="preserve">c2 = (cr - p2) / (t2*p2)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 * u[1] * u[2] - a1 / c1*u[1] * u[1]</w:t>
      </w:r>
      <w:r>
        <w:br/>
      </w:r>
      <w:r>
        <w:rPr>
          <w:rStyle w:val="VerbatimChar"/>
        </w:rPr>
        <w:t xml:space="preserve">    du[2] = c2 / c1 * u[2] - b / c1 * u[1] * u[2] - a2 / c1 * 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[4.4, 4]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legent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FirstParagraph"/>
      </w:pPr>
      <w:r>
        <w:t xml:space="preserve">В результате работы программы получаем следующий график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первого случая" title="" id="32" name="Picture"/>
            <a:graphic>
              <a:graphicData uri="http://schemas.openxmlformats.org/drawingml/2006/picture">
                <pic:pic>
                  <pic:nvPicPr>
                    <pic:cNvPr descr="image/lab08_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для первого случая</w:t>
      </w:r>
    </w:p>
    <w:p>
      <w:pPr>
        <w:pStyle w:val="BodyText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cr = 10.5</w:t>
      </w:r>
      <w:r>
        <w:br/>
      </w:r>
      <w:r>
        <w:rPr>
          <w:rStyle w:val="VerbatimChar"/>
        </w:rPr>
        <w:t xml:space="preserve">N = 28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t1 = 16</w:t>
      </w:r>
      <w:r>
        <w:br/>
      </w:r>
      <w:r>
        <w:rPr>
          <w:rStyle w:val="VerbatimChar"/>
        </w:rPr>
        <w:t xml:space="preserve">t2 = 25</w:t>
      </w:r>
      <w:r>
        <w:br/>
      </w:r>
      <w:r>
        <w:rPr>
          <w:rStyle w:val="VerbatimChar"/>
        </w:rPr>
        <w:t xml:space="preserve">p1 = 7.2</w:t>
      </w:r>
      <w:r>
        <w:br/>
      </w:r>
      <w:r>
        <w:rPr>
          <w:rStyle w:val="VerbatimChar"/>
        </w:rPr>
        <w:t xml:space="preserve">p2 = 5.1</w:t>
      </w:r>
      <w:r>
        <w:br/>
      </w:r>
      <w:r>
        <w:br/>
      </w:r>
      <w:r>
        <w:rPr>
          <w:rStyle w:val="VerbatimChar"/>
        </w:rPr>
        <w:t xml:space="preserve">a1 = cr / (t1 * t1 * p1 * p1 * N * q)</w:t>
      </w:r>
      <w:r>
        <w:br/>
      </w:r>
      <w:r>
        <w:rPr>
          <w:rStyle w:val="VerbatimChar"/>
        </w:rPr>
        <w:t xml:space="preserve">a2 = cr / (t2 * t2 * p2 * p2 * N * q)</w:t>
      </w:r>
      <w:r>
        <w:br/>
      </w:r>
      <w:r>
        <w:rPr>
          <w:rStyle w:val="VerbatimChar"/>
        </w:rPr>
        <w:t xml:space="preserve">b = cr / (t1 * t1 * p1 * p1 * t2 * t2 * p2 * p2 * N * q)</w:t>
      </w:r>
      <w:r>
        <w:br/>
      </w:r>
      <w:r>
        <w:rPr>
          <w:rStyle w:val="VerbatimChar"/>
        </w:rPr>
        <w:t xml:space="preserve">c1 = (cr - p1) / (t1*p1)</w:t>
      </w:r>
      <w:r>
        <w:br/>
      </w:r>
      <w:r>
        <w:rPr>
          <w:rStyle w:val="VerbatimChar"/>
        </w:rPr>
        <w:t xml:space="preserve">c2 = (cr - p2) / (t2*p2)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+ 0.0007) * u[1] * u[2] - a1 / c1 * u[1] * u[1]</w:t>
      </w:r>
      <w:r>
        <w:br/>
      </w:r>
      <w:r>
        <w:rPr>
          <w:rStyle w:val="VerbatimChar"/>
        </w:rPr>
        <w:t xml:space="preserve">    du[2] = c2 / c1 * u[2] - b / c1 * u[1] * u[2] - a2 / c1 * 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[4.4, 4]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p>
      <w:pPr>
        <w:pStyle w:val="FirstParagraph"/>
      </w:pPr>
      <w:r>
        <w:t xml:space="preserve">В результате работы программы получаем следующий график (рис. 4).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второго случая" title="" id="35" name="Picture"/>
            <a:graphic>
              <a:graphicData uri="http://schemas.openxmlformats.org/drawingml/2006/picture">
                <pic:pic>
                  <pic:nvPicPr>
                    <pic:cNvPr descr="image/lab08_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для второго случая</w:t>
      </w:r>
    </w:p>
    <w:bookmarkEnd w:id="37"/>
    <w:bookmarkEnd w:id="38"/>
    <w:bookmarkStart w:id="39" w:name="анализ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Анализ</w:t>
      </w:r>
    </w:p>
    <w:p>
      <w:pPr>
        <w:pStyle w:val="FirstParagraph"/>
      </w:pPr>
      <w:r>
        <w:t xml:space="preserve">Графики в OpenModelica получились идентичными с графиками, полученными с помощью Julia.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и построили модель конкуренции двух фирм.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OpenModelica: https://openmodelica.org/</w:t>
      </w:r>
    </w:p>
    <w:p>
      <w:pPr>
        <w:pStyle w:val="BodyText"/>
      </w:pPr>
      <w:r>
        <w:t xml:space="preserve">[2] Документация по Julia: https://docs.julialang.org/en/v1/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Желдакова Виктория Алексеевна</dc:creator>
  <dc:language>ru-RU</dc:language>
  <cp:keywords/>
  <dcterms:created xsi:type="dcterms:W3CDTF">2024-03-18T11:23:03Z</dcterms:created>
  <dcterms:modified xsi:type="dcterms:W3CDTF">2024-03-18T11:23:03Z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