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Желдакова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Познакомиться с операционной системой Linux.</w:t>
      </w:r>
    </w:p>
    <w:p>
      <w:pPr>
        <w:numPr>
          <w:ilvl w:val="0"/>
          <w:numId w:val="1001"/>
        </w:numPr>
        <w:pStyle w:val="Compact"/>
      </w:pPr>
      <w:r>
        <w:t xml:space="preserve">Получить практические навыки работы с редактором Emacs.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По популярности он соперничает с редактором vi и его клонами.</w:t>
      </w:r>
    </w:p>
    <w:p>
      <w:pPr>
        <w:pStyle w:val="BodyText"/>
      </w:pPr>
      <w:r>
        <w:t xml:space="preserve">Разнообразие его функций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p>
      <w:pPr>
        <w:pStyle w:val="BodyText"/>
      </w:pPr>
      <w:r>
        <w:t xml:space="preserve">Первая версия редактора Emacs была написана в 70-х годах 20-го столетия Richard Stallman как набор макросов для редактора TECO . В дальнейшем, уже будучи основателем Фонда Свободного программного обеспечения Free Software Foundation и проекта GNU, Stallman разработал GNU Emacs в развитие оригинального Emacs и до сих пор сопровождает эту программу. Вы можете подробнее ознакомиться с историей редактора, прочитав статью, располагающуюся по этому адресу.</w:t>
      </w:r>
    </w:p>
    <w:p>
      <w:pPr>
        <w:pStyle w:val="BodyText"/>
      </w:pPr>
      <w:r>
        <w:t xml:space="preserve">Emacs является одним из старейших редакторов. Он использовался тысячами программистов на протяжении последних 20 с лишним лет, для него создано много дополнительных пакетов расширений. Эти дополнения позволяют делать с помощью Emacs такие вещи, которые Stallman , вероятно, даже не считал возможными в начале своей работы над редактором.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командной строки откроем emacs и, введя комбинации C-x C-f, создадим новый файл lab07.sh (рис. 1).</w:t>
      </w:r>
    </w:p>
    <w:p>
      <w:pPr>
        <w:pStyle w:val="CaptionedFigure"/>
      </w:pPr>
      <w:bookmarkStart w:id="23" w:name="fig:001"/>
      <w:r>
        <w:drawing>
          <wp:inline>
            <wp:extent cx="4925465" cy="5202090"/>
            <wp:effectExtent b="0" l="0" r="0" t="0"/>
            <wp:docPr descr="Рис. 1: Окно редактора emacs при запуск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520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Окно редактора emacs при запуске</w:t>
      </w:r>
    </w:p>
    <w:p>
      <w:pPr>
        <w:pStyle w:val="BodyText"/>
      </w:pPr>
      <w:r>
        <w:t xml:space="preserve">Наберём в открывшемся окне данный нам текст (рис. 2).</w:t>
      </w:r>
    </w:p>
    <w:p>
      <w:pPr>
        <w:pStyle w:val="CaptionedFigure"/>
      </w:pPr>
      <w:bookmarkStart w:id="25" w:name="fig:002"/>
      <w:r>
        <w:drawing>
          <wp:inline>
            <wp:extent cx="4925465" cy="1813431"/>
            <wp:effectExtent b="0" l="0" r="0" t="0"/>
            <wp:docPr descr="Рис. 2: Окно редактора с набранным текстом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181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Окно редактора с набранным текстом</w:t>
      </w:r>
    </w:p>
    <w:p>
      <w:pPr>
        <w:pStyle w:val="BodyText"/>
      </w:pPr>
      <w:r>
        <w:t xml:space="preserve">Сохраним файл с помощью комбинации C-x C-s (рис. 3).</w:t>
      </w:r>
    </w:p>
    <w:p>
      <w:pPr>
        <w:pStyle w:val="CaptionedFigure"/>
      </w:pPr>
      <w:bookmarkStart w:id="27" w:name="fig:003"/>
      <w:r>
        <w:drawing>
          <wp:inline>
            <wp:extent cx="3719072" cy="238205"/>
            <wp:effectExtent b="0" l="0" r="0" t="0"/>
            <wp:docPr descr="Рис. 3: Результат сохранения файл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Результат сохранения файла</w:t>
      </w:r>
    </w:p>
    <w:p>
      <w:pPr>
        <w:pStyle w:val="BodyText"/>
      </w:pPr>
      <w:r>
        <w:t xml:space="preserve">Используя команду C-k, вырезали целую строку (рис. 4).</w:t>
      </w:r>
    </w:p>
    <w:p>
      <w:pPr>
        <w:pStyle w:val="CaptionedFigure"/>
      </w:pPr>
      <w:bookmarkStart w:id="29" w:name="fig:004"/>
      <w:r>
        <w:drawing>
          <wp:inline>
            <wp:extent cx="4902413" cy="1775011"/>
            <wp:effectExtent b="0" l="0" r="0" t="0"/>
            <wp:docPr descr="Рис. 4: Результат вырезания стро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177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Результат вырезания строки</w:t>
      </w:r>
    </w:p>
    <w:p>
      <w:pPr>
        <w:pStyle w:val="BodyText"/>
      </w:pPr>
      <w:r>
        <w:t xml:space="preserve">Перенесём курсор в конец файла и, введя C-y, вставим туда только что вырезанную строку (рис. 5).</w:t>
      </w:r>
    </w:p>
    <w:p>
      <w:pPr>
        <w:pStyle w:val="CaptionedFigure"/>
      </w:pPr>
      <w:bookmarkStart w:id="31" w:name="fig:005"/>
      <w:r>
        <w:drawing>
          <wp:inline>
            <wp:extent cx="4894729" cy="1890272"/>
            <wp:effectExtent b="0" l="0" r="0" t="0"/>
            <wp:docPr descr="Рис. 5: Результат вставк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189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Результат вставки</w:t>
      </w:r>
    </w:p>
    <w:p>
      <w:pPr>
        <w:pStyle w:val="BodyText"/>
      </w:pPr>
      <w:r>
        <w:t xml:space="preserve">С помощью C-space выделим фрагмент текста, скопируем его в буфер обмена на M-w и вставим в конец файла (рис. 6).</w:t>
      </w:r>
    </w:p>
    <w:p>
      <w:pPr>
        <w:pStyle w:val="CaptionedFigure"/>
      </w:pPr>
      <w:bookmarkStart w:id="33" w:name="fig:006"/>
      <w:r>
        <w:drawing>
          <wp:inline>
            <wp:extent cx="4902413" cy="1997848"/>
            <wp:effectExtent b="0" l="0" r="0" t="0"/>
            <wp:docPr descr="Рис. 6: Результат копирования строки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199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Результат копирования строки</w:t>
      </w:r>
    </w:p>
    <w:p>
      <w:pPr>
        <w:pStyle w:val="BodyText"/>
      </w:pPr>
      <w:r>
        <w:t xml:space="preserve">Снова выделим эту область, с помощью C-w вырежем, а с помощью C-/ отменим последнее действие (рис. 7 и рис. 8).</w:t>
      </w:r>
    </w:p>
    <w:p>
      <w:pPr>
        <w:pStyle w:val="CaptionedFigure"/>
      </w:pPr>
      <w:bookmarkStart w:id="35" w:name="fig:007"/>
      <w:r>
        <w:drawing>
          <wp:inline>
            <wp:extent cx="4887045" cy="2043952"/>
            <wp:effectExtent b="0" l="0" r="0" t="0"/>
            <wp:docPr descr="Рис. 7: Результат вырезания фрагмента текст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45" cy="204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Результат вырезания фрагмента текста</w:t>
      </w:r>
    </w:p>
    <w:p>
      <w:pPr>
        <w:pStyle w:val="CaptionedFigure"/>
      </w:pPr>
      <w:bookmarkStart w:id="36" w:name="fig:008"/>
      <w:r>
        <w:drawing>
          <wp:inline>
            <wp:extent cx="4902413" cy="1997848"/>
            <wp:effectExtent b="0" l="0" r="0" t="0"/>
            <wp:docPr descr="Рис. 8: Результат отмены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199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Результат отмены последнего действия</w:t>
      </w:r>
    </w:p>
    <w:p>
      <w:pPr>
        <w:pStyle w:val="BodyText"/>
      </w:pPr>
      <w:r>
        <w:t xml:space="preserve">Переместим курсор в начало строки, в конец, в начало буфера и в конец буфера, используя соответственно C-a, C-e, M-&lt;, M-&gt; (рис. 9, рис. 10, рис. 11 и рис. 12).</w:t>
      </w:r>
    </w:p>
    <w:p>
      <w:pPr>
        <w:pStyle w:val="CaptionedFigure"/>
      </w:pPr>
      <w:bookmarkStart w:id="38" w:name="fig:009"/>
      <w:r>
        <w:drawing>
          <wp:inline>
            <wp:extent cx="4925465" cy="1974796"/>
            <wp:effectExtent b="0" l="0" r="0" t="0"/>
            <wp:docPr descr="Рис. 9: Результат перемещения курсора в начало строк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197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Результат перемещения курсора в начало строки</w:t>
      </w:r>
    </w:p>
    <w:p>
      <w:pPr>
        <w:pStyle w:val="CaptionedFigure"/>
      </w:pPr>
      <w:bookmarkStart w:id="40" w:name="fig:010"/>
      <w:r>
        <w:drawing>
          <wp:inline>
            <wp:extent cx="4894729" cy="2059321"/>
            <wp:effectExtent b="0" l="0" r="0" t="0"/>
            <wp:docPr descr="Рис. 10: Результат перемещения курсора в конец строк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2059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Результат перемещения курсора в конец строки</w:t>
      </w:r>
    </w:p>
    <w:p>
      <w:pPr>
        <w:pStyle w:val="CaptionedFigure"/>
      </w:pPr>
      <w:bookmarkStart w:id="42" w:name="fig:011"/>
      <w:r>
        <w:drawing>
          <wp:inline>
            <wp:extent cx="4925465" cy="1997848"/>
            <wp:effectExtent b="0" l="0" r="0" t="0"/>
            <wp:docPr descr="Рис. 11: Результат перемещения курсора в начало буфер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199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Результат перемещения курсора в начало буфера</w:t>
      </w:r>
    </w:p>
    <w:p>
      <w:pPr>
        <w:pStyle w:val="CaptionedFigure"/>
      </w:pPr>
      <w:bookmarkStart w:id="44" w:name="fig:012"/>
      <w:r>
        <w:drawing>
          <wp:inline>
            <wp:extent cx="4894729" cy="2013216"/>
            <wp:effectExtent b="0" l="0" r="0" t="0"/>
            <wp:docPr descr="Рис. 12: Результат перемещения курсора в конец буфер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2013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Результат перемещения курсора в конец буфера</w:t>
      </w:r>
    </w:p>
    <w:p>
      <w:pPr>
        <w:pStyle w:val="BodyText"/>
      </w:pPr>
      <w:r>
        <w:t xml:space="preserve">Выведем список активных буферов на экран с помощью C-x C-b (рис. 13).</w:t>
      </w:r>
    </w:p>
    <w:p>
      <w:pPr>
        <w:pStyle w:val="CaptionedFigure"/>
      </w:pPr>
      <w:bookmarkStart w:id="46" w:name="fig:013"/>
      <w:r>
        <w:drawing>
          <wp:inline>
            <wp:extent cx="5334000" cy="5665447"/>
            <wp:effectExtent b="0" l="0" r="0" t="0"/>
            <wp:docPr descr="Рис. 13: С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Список активных буферов</w:t>
      </w:r>
    </w:p>
    <w:p>
      <w:pPr>
        <w:pStyle w:val="BodyText"/>
      </w:pPr>
      <w:r>
        <w:t xml:space="preserve">Переместимся на новое окно, используя C-x о, и переключимся на буфер scratch (рис. 14).</w:t>
      </w:r>
    </w:p>
    <w:p>
      <w:pPr>
        <w:pStyle w:val="CaptionedFigure"/>
      </w:pPr>
      <w:bookmarkStart w:id="48" w:name="fig:014"/>
      <w:r>
        <w:drawing>
          <wp:inline>
            <wp:extent cx="4917781" cy="5263563"/>
            <wp:effectExtent b="0" l="0" r="0" t="0"/>
            <wp:docPr descr="Рис. 14: Буфер scratch в новом окне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526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Буфер scratch в новом окне</w:t>
      </w:r>
    </w:p>
    <w:p>
      <w:pPr>
        <w:pStyle w:val="BodyText"/>
      </w:pPr>
      <w:r>
        <w:t xml:space="preserve">Закроем новое окно на C-x 0 и переключимся на буфер scratch (рис. 15) и обратно с помощью клавиш C-x b.</w:t>
      </w:r>
    </w:p>
    <w:p>
      <w:pPr>
        <w:pStyle w:val="CaptionedFigure"/>
      </w:pPr>
      <w:bookmarkStart w:id="50" w:name="fig:015"/>
      <w:r>
        <w:drawing>
          <wp:inline>
            <wp:extent cx="4894729" cy="5225142"/>
            <wp:effectExtent b="0" l="0" r="0" t="0"/>
            <wp:docPr descr="Рис. 15: Буфер scratch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5225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Буфер scratch</w:t>
      </w:r>
    </w:p>
    <w:p>
      <w:pPr>
        <w:pStyle w:val="BodyText"/>
      </w:pPr>
      <w:r>
        <w:t xml:space="preserve">Поделим окно на два по вертикали с помощью C-x 3 и каждое из них на два по горизонтали с помощью C-x 2 (рис. 16).</w:t>
      </w:r>
    </w:p>
    <w:p>
      <w:pPr>
        <w:pStyle w:val="CaptionedFigure"/>
      </w:pPr>
      <w:bookmarkStart w:id="52" w:name="fig:016"/>
      <w:r>
        <w:drawing>
          <wp:inline>
            <wp:extent cx="4917781" cy="5202090"/>
            <wp:effectExtent b="0" l="0" r="0" t="0"/>
            <wp:docPr descr="Рис. 16: Деление фрейма на 4 част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520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 Деление фрейма на 4 части</w:t>
      </w:r>
    </w:p>
    <w:p>
      <w:pPr>
        <w:pStyle w:val="BodyText"/>
      </w:pPr>
      <w:r>
        <w:t xml:space="preserve">Откроем в каждом окне новый буфер и введём несколько строк текста. Переключимся в режим поиска на C-s X и попробуем найти несколько слов (рис. 17). Попереключаем результаты поиска с помощью C-s и в конце выйдем из этого режима на C-g.</w:t>
      </w:r>
    </w:p>
    <w:p>
      <w:pPr>
        <w:pStyle w:val="CaptionedFigure"/>
      </w:pPr>
      <w:bookmarkStart w:id="54" w:name="fig:017"/>
      <w:r>
        <w:drawing>
          <wp:inline>
            <wp:extent cx="4933149" cy="5248194"/>
            <wp:effectExtent b="0" l="0" r="0" t="0"/>
            <wp:docPr descr="Рис. 17: Поиск слова в буфер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524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17: Поиск слова в буфере</w:t>
      </w:r>
    </w:p>
    <w:p>
      <w:pPr>
        <w:pStyle w:val="BodyText"/>
      </w:pPr>
      <w:r>
        <w:t xml:space="preserve">Перейдём в режим поиска и замены, используя M-%, введём текст для поиска и для замены. После подсвечивания результатов нажмём !, чтобы подтвердить замену (рис. 18 и рис. 19).</w:t>
      </w:r>
    </w:p>
    <w:p>
      <w:pPr>
        <w:pStyle w:val="CaptionedFigure"/>
      </w:pPr>
      <w:bookmarkStart w:id="56" w:name="fig:018"/>
      <w:r>
        <w:drawing>
          <wp:inline>
            <wp:extent cx="4894729" cy="5225142"/>
            <wp:effectExtent b="0" l="0" r="0" t="0"/>
            <wp:docPr descr="Рис. 18: Поиск текста, который необходимо заменить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5225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18: Поиск текста, который необходимо заменить</w:t>
      </w:r>
    </w:p>
    <w:p>
      <w:pPr>
        <w:pStyle w:val="CaptionedFigure"/>
      </w:pPr>
      <w:bookmarkStart w:id="58" w:name="fig:019"/>
      <w:r>
        <w:drawing>
          <wp:inline>
            <wp:extent cx="2589519" cy="2197633"/>
            <wp:effectExtent b="0" l="0" r="0" t="0"/>
            <wp:docPr descr="Рис. 19: Результат замены текст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19" cy="219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19: Результат замены текста</w:t>
      </w:r>
    </w:p>
    <w:p>
      <w:pPr>
        <w:pStyle w:val="BodyText"/>
      </w:pPr>
      <w:r>
        <w:t xml:space="preserve">Используем другой режим поиска, введя M-s o (рис. 20).</w:t>
      </w:r>
    </w:p>
    <w:p>
      <w:pPr>
        <w:pStyle w:val="CaptionedFigure"/>
      </w:pPr>
      <w:bookmarkStart w:id="60" w:name="fig:020"/>
      <w:r>
        <w:drawing>
          <wp:inline>
            <wp:extent cx="4940833" cy="3012141"/>
            <wp:effectExtent b="0" l="0" r="0" t="0"/>
            <wp:docPr descr="Рис. 20: Результат поиска текст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20: Результат поиска текста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numPr>
          <w:ilvl w:val="0"/>
          <w:numId w:val="1002"/>
        </w:numPr>
        <w:pStyle w:val="Compact"/>
      </w:pPr>
      <w:r>
        <w:t xml:space="preserve">Познакомились с операционной системой Linux.</w:t>
      </w:r>
    </w:p>
    <w:p>
      <w:pPr>
        <w:numPr>
          <w:ilvl w:val="0"/>
          <w:numId w:val="1002"/>
        </w:numPr>
        <w:pStyle w:val="Compact"/>
      </w:pPr>
      <w:r>
        <w:t xml:space="preserve">Получили практические навыки работы с редактором Emacs.</w:t>
      </w:r>
    </w:p>
    <w:bookmarkEnd w:id="62"/>
    <w:bookmarkStart w:id="6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04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Управление на горячие клавиши, огромное количество разных функций.</w:t>
      </w:r>
    </w:p>
    <w:p>
      <w:pPr>
        <w:numPr>
          <w:ilvl w:val="0"/>
          <w:numId w:val="1005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соответствует одному редактируемому объекту (результаты компиляции, взаимодействие с пользователем).</w:t>
      </w:r>
    </w:p>
    <w:p>
      <w:pPr>
        <w:pStyle w:val="BodyText"/>
      </w:pPr>
      <w:r>
        <w:t xml:space="preserve">Окно - это область экрана, в которой отображается буфер.</w:t>
      </w:r>
    </w:p>
    <w:p>
      <w:pPr>
        <w:numPr>
          <w:ilvl w:val="0"/>
          <w:numId w:val="1006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numPr>
          <w:ilvl w:val="0"/>
          <w:numId w:val="1007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`</w:t>
      </w:r>
      <w:r>
        <w:rPr>
          <w:iCs/>
          <w:i/>
        </w:rPr>
        <w:t xml:space="preserve">scratch</w:t>
      </w:r>
      <w:r>
        <w:t xml:space="preserve">’, который может быть использован для вычисления выражений Лиспа в Emacs, и Messages.</w:t>
      </w:r>
    </w:p>
    <w:p>
      <w:pPr>
        <w:numPr>
          <w:ilvl w:val="0"/>
          <w:numId w:val="1008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 и c, затем Shift и</w:t>
      </w:r>
      <w:r>
        <w:br/>
      </w:r>
    </w:p>
    <w:p>
      <w:pPr>
        <w:pStyle w:val="BodyText"/>
      </w:pPr>
      <w:r>
        <w:t xml:space="preserve">Ctrl и c, затем Ctrl, Shift и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Разделить по горизонтали – C-x 2</w:t>
      </w:r>
    </w:p>
    <w:p>
      <w:pPr>
        <w:pStyle w:val="BodyText"/>
      </w:pPr>
      <w:r>
        <w:t xml:space="preserve">Разделить по вертикали – C-x 3</w:t>
      </w:r>
    </w:p>
    <w:p>
      <w:pPr>
        <w:numPr>
          <w:ilvl w:val="0"/>
          <w:numId w:val="1010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Для настройки Emacs используется специальный файл, который обычно находится в каталоге пользователя и называется .emacs.</w:t>
      </w:r>
    </w:p>
    <w:p>
      <w:pPr>
        <w:numPr>
          <w:ilvl w:val="0"/>
          <w:numId w:val="1011"/>
        </w:numPr>
        <w:pStyle w:val="Compact"/>
      </w:pPr>
      <w:r>
        <w:t xml:space="preserve">Какую функцию выполняет клавиша Backspace и можно ли её переназначить?</w:t>
      </w:r>
    </w:p>
    <w:p>
      <w:pPr>
        <w:pStyle w:val="FirstParagraph"/>
      </w:pPr>
      <w:r>
        <w:t xml:space="preserve">С помощью этой клавиши можно стереть символ и её можно переназначить.</w:t>
      </w:r>
    </w:p>
    <w:p>
      <w:pPr>
        <w:numPr>
          <w:ilvl w:val="0"/>
          <w:numId w:val="1012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Vi показался удобнее и проще, потому что в Emacs намного больше функций и сложные сочетания клавиш.</w:t>
      </w:r>
    </w:p>
    <w:bookmarkStart w:id="63" w:name="refs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Желдакова Виктория Алексевна</dc:creator>
  <dc:language>ru-RU</dc:language>
  <cp:keywords/>
  <dcterms:created xsi:type="dcterms:W3CDTF">2022-05-16T17:38:09Z</dcterms:created>
  <dcterms:modified xsi:type="dcterms:W3CDTF">2022-05-16T17:38:09Z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Текстовой редактор emacs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