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F4E79"/>
          <w:sz w:val="40"/>
        </w:rPr>
        <w:t>ITCEN ESG 신사업 8 트랙 종합</w:t>
      </w:r>
    </w:p>
    <w:p>
      <w:pPr>
        <w:jc w:val="center"/>
      </w:pPr>
      <w:r>
        <w:rPr>
          <w:rFonts w:ascii="맑은 고딕" w:hAnsi="맑은 고딕"/>
          <w:i/>
          <w:color w:val="666666"/>
          <w:sz w:val="20"/>
        </w:rPr>
        <w:t>2026-09-07 개정 · 학교법인 유지 · 8 트랙 확정</w:t>
      </w:r>
    </w:p>
    <w:p>
      <w:pPr>
        <w:pStyle w:val="Heading1"/>
      </w:pPr>
      <w:r>
        <w:rPr>
          <w:rFonts w:ascii="맑은 고딕" w:hAnsi="맑은 고딕"/>
          <w:color w:val="1F4E79"/>
        </w:rPr>
        <w:t>1. 요약 (Executive)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270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신사업 라인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8 트랙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강제 근거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정보보호산업진흥법·자본시장법·보조금관리법·사립학교법·에너지법·저작권법·개보법·AI법 (2026)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대상 시장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지정 700사·상장사 2500·수급기관 100조+·사학법인 1400·다소비 4000+·AI 도입 전 기업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자격 로드맵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CISA + CFE + CIPP/K = 3개 (1·2·3·8 트랙 90% 커버) + KICPA·KEEP·KOCCA (특화)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우리 회사 재사용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설계평가·운영평가·시나리오 지표·리스크 모니터링 (RMS 방법론)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1F4E79"/>
        </w:rPr>
        <w:t>2. 8 트랙 정본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트랙</w:t>
            </w:r>
          </w:p>
        </w:tc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강제 근거</w:t>
            </w:r>
          </w:p>
        </w:tc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벌금·처벌</w:t>
            </w:r>
          </w:p>
        </w:tc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대상 규모</w:t>
            </w:r>
          </w:p>
        </w:tc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우리 채널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정보공시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정보보호산업진흥법 §13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과태료 1천만 이하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지정 700+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정보보안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AI 토큰 감사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AI법 2026 대비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예방·유출 시 개보법 매출 3%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전 기업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정보보안·CIO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부정거래 통합 감사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자본시장법 §176·178·443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부당이득 3배·무기 or 5년 이상 (5억+)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상장사 2500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감사위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★4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국고보조금 사후관리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보조금관리법 §29·30·40·41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부정수급 5배 벌금·5년 이하 징역·반환+가산금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수급기관 (연 100조+)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회계법인·비영리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★5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학교법인 감사보고서 자동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사립학교법 §31·32 + 사학기관 재무·회계규칙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임원취임승인 취소·시정명령·배임·횡령 형사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사학법인 1400 (대학·중고등)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회계법인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★6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에너지 이용 합리화 진단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에너지법 §32·78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1~2천만 과태료·개선명령 위반 시 형사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다소비 4000+ (2000toe+)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대기업 시설·에너지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★7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AI 학습 데이터 저작권 감사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저작권법 (2026 개정) + AI 저작권 가이드 2024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5년 이하 징역·5천만 벌금+침해이익 손배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AI 개발사·학습 데이터 사용 기업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AI 감사 확장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★8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Zero-Knowledge ML 감사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개보법 §29 안전조치+AI법·PIA 대응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유출 시 개보법 매출 3% 과징금 (예방 SaaS)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AI 도입 기업·개인정보 취급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정보공시 확장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1F4E79"/>
        </w:rPr>
        <w:t>3. 5 학교법인 감사보고서 자동 · 실행 전략</w:t>
      </w:r>
    </w:p>
    <w:p>
      <w:r>
        <w:rPr>
          <w:rFonts w:ascii="맑은 고딕" w:hAnsi="맑은 고딕"/>
          <w:b/>
          <w:sz w:val="22"/>
        </w:rPr>
        <w:t>벽 → 극복 방안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벽</w:t>
            </w:r>
          </w:p>
        </w:tc>
        <w:tc>
          <w:tcPr>
            <w:tcW w:type="dxa" w:w="5270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극복 방안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KICPA (공인회계사) 필수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회계법인 파트너십 (삼일·한영·삼정) · 우리는 SW 툴 공급 · 감사인 지위는 파트너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사학기관 재무·회계규칙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규칙 표준 서식 자동화 · 사학진흥재단 공동사업 검토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회계법인 독점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White-label OEM 모델 · 회계법인 브랜드로 배포 · 수수료 셰어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B2B2B 3단계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회계사 SaaS 시장 진입 · 개별 회계사·중소 회계법인 target</w:t>
            </w:r>
          </w:p>
        </w:tc>
      </w:tr>
    </w:tbl>
    <w:p/>
    <w:p>
      <w:r>
        <w:rPr>
          <w:rFonts w:ascii="맑은 고딕" w:hAnsi="맑은 고딕"/>
          <w:b/>
          <w:sz w:val="22"/>
        </w:rPr>
        <w:t>RMS 방법론 재활용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RMS 요소</w:t>
            </w:r>
          </w:p>
        </w:tc>
        <w:tc>
          <w:tcPr>
            <w:tcW w:type="dxa" w:w="5270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학교법인 활용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리스크 시나리오 지표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학교 재무 리스크 (미납·미수·부실 채권) 시나리오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설계평가·운영평가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학교 내부통제 평가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리스크 모니터링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학교 재무 KPI 대시보드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이상 감지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사학법인 특유 이상 거래 (교비 유용·부속병원 회계 등)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1F4E79"/>
        </w:rPr>
        <w:t>4. 자격 로드맵</w:t>
      </w:r>
    </w:p>
    <w:p>
      <w:r>
        <w:rPr>
          <w:rFonts w:ascii="맑은 고딕" w:hAnsi="맑은 고딕"/>
          <w:b/>
          <w:sz w:val="22"/>
        </w:rPr>
        <w:t>A. 필수 3개 (1·2·3·8 트랙 90% 커버)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우선</w:t>
            </w:r>
          </w:p>
        </w:tc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자격</w:t>
            </w:r>
          </w:p>
        </w:tc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발급</w:t>
            </w:r>
          </w:p>
        </w:tc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응시료 (KRW)</w:t>
            </w:r>
          </w:p>
        </w:tc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준비 기간</w:t>
            </w:r>
          </w:p>
        </w:tc>
        <w:tc>
          <w:tcPr>
            <w:tcW w:type="dxa" w:w="1757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트랙 커버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CISA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ISACA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77만 (회원 $575)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6~12개월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1·2·3·8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CFE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ACFE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60만 ($450) + Prep 130만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3~6개월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3·4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CIPP/K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IAPP + KISA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75만 ($550)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3~6개월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1·7·8</w:t>
            </w:r>
          </w:p>
        </w:tc>
      </w:tr>
    </w:tbl>
    <w:p>
      <w:r>
        <w:rPr>
          <w:rFonts w:ascii="맑은 고딕" w:hAnsi="맑은 고딕"/>
          <w:sz w:val="20"/>
        </w:rPr>
        <w:t>= 3개 합 · 약 210만 (자습 기준) · 8~18개월</w:t>
      </w:r>
    </w:p>
    <w:p/>
    <w:p>
      <w:r>
        <w:rPr>
          <w:rFonts w:ascii="맑은 고딕" w:hAnsi="맑은 고딕"/>
          <w:b/>
          <w:sz w:val="22"/>
        </w:rPr>
        <w:t>B. 특화 자격 (4·5·6·7 트랙 도메인)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트랙</w:t>
            </w:r>
          </w:p>
        </w:tc>
        <w:tc>
          <w:tcPr>
            <w:tcW w:type="dxa" w:w="3513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자격</w:t>
            </w:r>
          </w:p>
        </w:tc>
        <w:tc>
          <w:tcPr>
            <w:tcW w:type="dxa" w:w="3513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필수도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4 국고보조금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KICPA (공인회계사) or 감사인 교육 (한국공인회계사회)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★★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5 학교법인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KICPA 필수 or 회계법인 파트너십 + 사학감사 실무 세미나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★★★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6 에너지 진단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KEEP (에너지공단 진단자)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★★★ 필수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7 AI 저작권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KOCCA AI 저작권 교육 + 저작권법 실무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★★</w:t>
            </w:r>
          </w:p>
        </w:tc>
      </w:tr>
    </w:tbl>
    <w:p/>
    <w:p>
      <w:r>
        <w:rPr>
          <w:rFonts w:ascii="맑은 고딕" w:hAnsi="맑은 고딕"/>
          <w:b/>
          <w:sz w:val="22"/>
        </w:rPr>
        <w:t>C. AI 감사 보조 (2·7·8 강화)</w:t>
      </w:r>
    </w:p>
    <w:p>
      <w:r>
        <w:rPr>
          <w:rFonts w:ascii="맑은 고딕" w:hAnsi="맑은 고딕"/>
          <w:sz w:val="20"/>
        </w:rPr>
        <w:t>• AICE Professional (한경·KT · 12만)</w:t>
        <w:br/>
        <w:t>• AWS Certified ML Specialty ($300)</w:t>
        <w:br/>
        <w:t>• 빅데이터 분석기사 (KDATA · 국가공인)</w:t>
      </w:r>
    </w:p>
    <w:p/>
    <w:p>
      <w:pPr>
        <w:pStyle w:val="Heading1"/>
      </w:pPr>
      <w:r>
        <w:rPr>
          <w:rFonts w:ascii="맑은 고딕" w:hAnsi="맑은 고딕"/>
          <w:color w:val="1F4E79"/>
        </w:rPr>
        <w:t>5. 우리 회사 지표 매핑 (RMS 방법론 재활용)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트랙</w:t>
            </w:r>
          </w:p>
        </w:tc>
        <w:tc>
          <w:tcPr>
            <w:tcW w:type="dxa" w:w="2108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설계평가</w:t>
            </w:r>
          </w:p>
        </w:tc>
        <w:tc>
          <w:tcPr>
            <w:tcW w:type="dxa" w:w="2108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운영평가</w:t>
            </w:r>
          </w:p>
        </w:tc>
        <w:tc>
          <w:tcPr>
            <w:tcW w:type="dxa" w:w="2108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시나리오 지표</w:t>
            </w:r>
          </w:p>
        </w:tc>
        <w:tc>
          <w:tcPr>
            <w:tcW w:type="dxa" w:w="2108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리스크 모니터링</w:t>
            </w:r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 정보공시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2 AI 토큰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3 부정거래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4 국고보조금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5 학교법인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6 에너지 진단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7 AI 저작권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</w:tr>
      <w:tr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8 ZK ML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  <w:tc>
          <w:tcPr>
            <w:tcW w:type="dxa" w:w="2108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○</w:t>
            </w:r>
          </w:p>
        </w:tc>
      </w:tr>
    </w:tbl>
    <w:p>
      <w:r>
        <w:rPr>
          <w:rFonts w:ascii="맑은 고딕" w:hAnsi="맑은 고딕"/>
          <w:sz w:val="20"/>
        </w:rPr>
        <w:t>8 트랙 전체 = 우리 RMS 방법론 재활용 가능. 도메인 감시 지표만 트랙별 특화.</w:t>
      </w:r>
    </w:p>
    <w:p/>
    <w:p>
      <w:pPr>
        <w:pStyle w:val="Heading1"/>
      </w:pPr>
      <w:r>
        <w:rPr>
          <w:rFonts w:ascii="맑은 고딕" w:hAnsi="맑은 고딕"/>
          <w:color w:val="1F4E79"/>
        </w:rPr>
        <w:t>6. 우선순위 · 3 페이즈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635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2635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트랙</w:t>
            </w:r>
          </w:p>
        </w:tc>
        <w:tc>
          <w:tcPr>
            <w:tcW w:type="dxa" w:w="2635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Phase 1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즉시 · Q4 2026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1 정보공시 · 2 AI 토큰 감사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정면 fit · 기존 지표 재활용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Phase 2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단기 · H1 2027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3 부정거래 · 8 ZK ML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자본시장법 정면 · CIPP/K 취득 후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Phase 3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중기 · H2 2027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4 국고보조금 · 5 학교법인 · 6 에너지 · 7 AI 저작권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특화 자격·파트너십 준비 후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1F4E79"/>
        </w:rPr>
        <w:t>7. 우리 회사 강점 (ITCEN ESG)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자산</w:t>
            </w:r>
          </w:p>
        </w:tc>
        <w:tc>
          <w:tcPr>
            <w:tcW w:type="dxa" w:w="5270"/>
            <w:shd w:fill="1F4E79"/>
            <w:vAlign w:val="center"/>
          </w:tcPr>
          <w:p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재활용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ICM Agent Go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감사 자동화 엔진 → 모든 트랙 base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RMS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리스크 시나리오·설계평가·운영평가·모니터링 방법론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Contabulo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데이터 파이프라인·감사조서 자동화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CCP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맑은 고딕" w:hAnsi="맑은 고딕"/>
                <w:sz w:val="18"/>
              </w:rPr>
              <w:t>컴플라이언스 관리 플랫폼</w:t>
            </w:r>
          </w:p>
        </w:tc>
      </w:tr>
    </w:tbl>
    <w:p>
      <w:r>
        <w:rPr>
          <w:rFonts w:ascii="맑은 고딕" w:hAnsi="맑은 고딕"/>
          <w:sz w:val="20"/>
        </w:rPr>
        <w:t>8 트랙 전체 = 4 자산 조합으로 구현 가능. 신규 개발 최소·재활용 최대.</w:t>
      </w:r>
    </w:p>
    <w:p/>
    <w:p>
      <w:pPr>
        <w:pStyle w:val="Heading1"/>
      </w:pPr>
      <w:r>
        <w:rPr>
          <w:rFonts w:ascii="맑은 고딕" w:hAnsi="맑은 고딕"/>
          <w:color w:val="1F4E79"/>
        </w:rPr>
        <w:t>8. 결정 사항 (팀장 승인 필요)</w:t>
      </w:r>
    </w:p>
    <w:p>
      <w:r>
        <w:rPr>
          <w:rFonts w:ascii="맑은 고딕" w:hAnsi="맑은 고딕"/>
          <w:sz w:val="22"/>
        </w:rPr>
        <w:t>☐ 8 트랙 확정</w:t>
      </w:r>
    </w:p>
    <w:p>
      <w:r>
        <w:rPr>
          <w:rFonts w:ascii="맑은 고딕" w:hAnsi="맑은 고딕"/>
          <w:sz w:val="22"/>
        </w:rPr>
        <w:t>☐ Phase 1 즉시 착수 (1·2)</w:t>
      </w:r>
    </w:p>
    <w:p>
      <w:r>
        <w:rPr>
          <w:rFonts w:ascii="맑은 고딕" w:hAnsi="맑은 고딕"/>
          <w:sz w:val="22"/>
        </w:rPr>
        <w:t>☐ 자격 로드맵 예산 승인 (약 210만 × 담당자 N)</w:t>
      </w:r>
    </w:p>
    <w:p>
      <w:r>
        <w:rPr>
          <w:rFonts w:ascii="맑은 고딕" w:hAnsi="맑은 고딕"/>
          <w:sz w:val="22"/>
        </w:rPr>
        <w:t>☐ KICPA·KEEP·KOCCA 특화 자격 담당자 배정</w:t>
      </w:r>
    </w:p>
    <w:p>
      <w:r>
        <w:rPr>
          <w:rFonts w:ascii="맑은 고딕" w:hAnsi="맑은 고딕"/>
          <w:sz w:val="22"/>
        </w:rPr>
        <w:t>☐ 회계법인 파트너십 협의 (4·5 트랙 · 삼일·한영·삼정)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