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Tienda Genérica Virtual</w:t>
        <w:br/>
        <w:t>mediante microservicios</w:t>
      </w:r>
    </w:p>
    <w:p>
      <w:pPr>
        <w:pStyle w:val="Subtitle"/>
      </w:pPr>
      <w:r>
        <w:t>Informe de funcionalidad arquitectura y desarrollo asistido por inteligencia artificial</w:t>
      </w:r>
    </w:p>
    <w:p>
      <w:r>
        <w:t>Luisa Rincón</w:t>
        <w:br/>
        <w:t>Universidad El Bosque</w:t>
        <w:br/>
        <w:t>Sistemas Distribuidos 2026 2</w:t>
      </w:r>
    </w:p>
    <w:p>
      <w:pPr>
        <w:pStyle w:val="Heading1"/>
      </w:pPr>
      <w:r>
        <w:t>1 Propósito y resultado</w:t>
      </w:r>
    </w:p>
    <w:p>
      <w:r>
        <w:t>Este proyecto organiza la gestión de una tienda en cinco microservicios principales: Clientes, Usuarios, Proveedores, Productos y Ventas. El propósito es explicar qué hace cada uno, cómo se comunican y qué decisiones permiten conservar los datos y aplicar las reglas del negocio descritas en el documento del curso.</w:t>
      </w:r>
    </w:p>
    <w:p>
      <w:r>
        <w:t>El backend cuenta con estas funciones y con servicios auxiliares para reportes, inventario, carrito, pagos simulados y notificaciones. Los resultados finales registrados reúnen 138 pruebas automatizadas sin fallos. Esto respalda partes concretas de la implementación, pero no reemplaza la demostración completa en clase: el frontend aún requiere integración con las APIs y el despliegue con PostgreSQL real todavía debe comprobarse.</w:t>
      </w:r>
    </w:p>
    <w:tbl>
      <w:tblPr>
        <w:tblStyle w:val="TableGrid"/>
        <w:tblW w:type="auto" w:w="0"/>
        <w:tblLook w:firstColumn="1" w:firstRow="1" w:lastColumn="0" w:lastRow="0" w:noHBand="0" w:noVBand="1" w:val="04A0"/>
      </w:tblPr>
      <w:tblGrid>
        <w:gridCol w:w="3202"/>
        <w:gridCol w:w="3202"/>
        <w:gridCol w:w="3202"/>
      </w:tblGrid>
      <w:tr>
        <w:trPr>
          <w:cantSplit/>
          <w:tblHeader/>
        </w:trPr>
        <w:tc>
          <w:tcPr>
            <w:tcW w:type="dxa" w:w="3456"/>
            <w:shd w:fill="E7EDF2"/>
          </w:tcPr>
          <w:p>
            <w:pPr>
              <w:spacing w:after="80" w:before="80"/>
            </w:pPr>
            <w:r>
              <w:rPr>
                <w:b/>
                <w:sz w:val="18"/>
              </w:rPr>
              <w:t>Componente de la evaluación</w:t>
            </w:r>
          </w:p>
        </w:tc>
        <w:tc>
          <w:tcPr>
            <w:tcW w:type="dxa" w:w="792"/>
            <w:shd w:fill="E7EDF2"/>
          </w:tcPr>
          <w:p>
            <w:pPr>
              <w:spacing w:after="80" w:before="80"/>
            </w:pPr>
            <w:r>
              <w:rPr>
                <w:b/>
                <w:sz w:val="18"/>
              </w:rPr>
              <w:t>Peso</w:t>
            </w:r>
          </w:p>
        </w:tc>
        <w:tc>
          <w:tcPr>
            <w:tcW w:type="dxa" w:w="5184"/>
            <w:shd w:fill="E7EDF2"/>
          </w:tcPr>
          <w:p>
            <w:pPr>
              <w:spacing w:after="80" w:before="80"/>
            </w:pPr>
            <w:r>
              <w:rPr>
                <w:b/>
                <w:sz w:val="18"/>
              </w:rPr>
              <w:t>Contenido de este informe</w:t>
            </w:r>
          </w:p>
        </w:tc>
      </w:tr>
      <w:tr>
        <w:trPr>
          <w:cantSplit/>
        </w:trPr>
        <w:tc>
          <w:tcPr>
            <w:tcW w:type="dxa" w:w="3456"/>
          </w:tcPr>
          <w:p>
            <w:pPr>
              <w:spacing w:after="80" w:before="80"/>
            </w:pPr>
            <w:r>
              <w:rPr>
                <w:sz w:val="18"/>
              </w:rPr>
              <w:t>Solución y demostración en clase</w:t>
            </w:r>
          </w:p>
        </w:tc>
        <w:tc>
          <w:tcPr>
            <w:tcW w:type="dxa" w:w="792"/>
          </w:tcPr>
          <w:p>
            <w:pPr>
              <w:spacing w:after="80" w:before="80"/>
            </w:pPr>
            <w:r>
              <w:rPr>
                <w:sz w:val="18"/>
              </w:rPr>
              <w:t>50 %</w:t>
            </w:r>
          </w:p>
        </w:tc>
        <w:tc>
          <w:tcPr>
            <w:tcW w:type="dxa" w:w="5184"/>
          </w:tcPr>
          <w:p>
            <w:pPr>
              <w:spacing w:after="80" w:before="80"/>
            </w:pPr>
            <w:r>
              <w:rPr>
                <w:sz w:val="18"/>
              </w:rPr>
              <w:t>Funciones de los cinco servicios y guion de comprobación</w:t>
            </w:r>
          </w:p>
        </w:tc>
      </w:tr>
      <w:tr>
        <w:trPr>
          <w:cantSplit/>
        </w:trPr>
        <w:tc>
          <w:tcPr>
            <w:tcW w:type="dxa" w:w="3456"/>
          </w:tcPr>
          <w:p>
            <w:pPr>
              <w:spacing w:after="80" w:before="80"/>
            </w:pPr>
            <w:r>
              <w:rPr>
                <w:sz w:val="18"/>
              </w:rPr>
              <w:t>Explicación del desarrollo con IA</w:t>
            </w:r>
          </w:p>
        </w:tc>
        <w:tc>
          <w:tcPr>
            <w:tcW w:type="dxa" w:w="792"/>
          </w:tcPr>
          <w:p>
            <w:pPr>
              <w:spacing w:after="80" w:before="80"/>
            </w:pPr>
            <w:r>
              <w:rPr>
                <w:sz w:val="18"/>
              </w:rPr>
              <w:t>25 %</w:t>
            </w:r>
          </w:p>
        </w:tc>
        <w:tc>
          <w:tcPr>
            <w:tcW w:type="dxa" w:w="5184"/>
          </w:tcPr>
          <w:p>
            <w:pPr>
              <w:spacing w:after="80" w:before="80"/>
            </w:pPr>
            <w:r>
              <w:rPr>
                <w:sz w:val="18"/>
              </w:rPr>
              <w:t>Dificultades identificadas y actividad pendiente con Junie</w:t>
            </w:r>
          </w:p>
        </w:tc>
      </w:tr>
      <w:tr>
        <w:trPr>
          <w:cantSplit/>
        </w:trPr>
        <w:tc>
          <w:tcPr>
            <w:tcW w:type="dxa" w:w="3456"/>
          </w:tcPr>
          <w:p>
            <w:pPr>
              <w:spacing w:after="80" w:before="80"/>
            </w:pPr>
            <w:r>
              <w:rPr>
                <w:sz w:val="18"/>
              </w:rPr>
              <w:t>Arquitectura patrones y prácticas</w:t>
            </w:r>
          </w:p>
        </w:tc>
        <w:tc>
          <w:tcPr>
            <w:tcW w:type="dxa" w:w="792"/>
          </w:tcPr>
          <w:p>
            <w:pPr>
              <w:spacing w:after="80" w:before="80"/>
            </w:pPr>
            <w:r>
              <w:rPr>
                <w:sz w:val="18"/>
              </w:rPr>
              <w:t>25 %</w:t>
            </w:r>
          </w:p>
        </w:tc>
        <w:tc>
          <w:tcPr>
            <w:tcW w:type="dxa" w:w="5184"/>
          </w:tcPr>
          <w:p>
            <w:pPr>
              <w:spacing w:after="80" w:before="80"/>
            </w:pPr>
            <w:r>
              <w:rPr>
                <w:sz w:val="18"/>
              </w:rPr>
              <w:t>Evaluación argumentada con ejemplos del código</w:t>
            </w:r>
          </w:p>
        </w:tc>
      </w:tr>
    </w:tbl>
    <w:p/>
    <w:p>
      <w:pPr>
        <w:pStyle w:val="Heading2"/>
      </w:pPr>
      <w:r>
        <w:t>Qué entiendo por microservicio</w:t>
      </w:r>
    </w:p>
    <w:p>
      <w:r>
        <w:t>Un microservicio es una aplicación pequeña con una responsabilidad de negocio definida. Tiene su propia lógica, ofrece una interfaz para que otras aplicaciones la utilicen y puede ejecutarse en un proceso separado. Por ejemplo, Clientes sabe registrar y consultar personas; Ventas le pide sus datos cuando necesita registrar una compra.</w:t>
      </w:r>
    </w:p>
    <w:p>
      <w:r>
        <w:t>Dividir archivos en carpetas no basta para tener microservicios. En esta solución la separación también aparece en aplicaciones Spring Boot, puertos, APIs y bases de datos por dominio. Los servicios siguen necesitando acuerdos sobre los datos que intercambian y sobre qué hacer cuando otra aplicación falla.</w:t>
      </w:r>
    </w:p>
    <w:p>
      <w:r>
        <w:br w:type="page"/>
      </w:r>
    </w:p>
    <w:p>
      <w:pPr>
        <w:pStyle w:val="Heading1"/>
      </w:pPr>
      <w:r>
        <w:t>2 Funcionalidad de los microservicios</w:t>
      </w:r>
    </w:p>
    <w:p>
      <w:pPr>
        <w:pStyle w:val="Heading2"/>
      </w:pPr>
      <w:r>
        <w:t>Usuarios</w:t>
      </w:r>
    </w:p>
    <w:p>
      <w:r>
        <w:t>Usuarios controla quién puede trabajar en la tienda. Al iniciar una base vacía crea admininicial con la contraseña indicada en el enunciado. Después permite crear, consultar, actualizar y eliminar operadores. Cada alta requiere cédula, nombre, correo, usuario y contraseña. La cédula identifica a la persona; el nombre de usuario se utiliza para ingresar.</w:t>
      </w:r>
    </w:p>
    <w:p>
      <w:r>
        <w:t>Las contraseñas se guardan mediante BCrypt. Cuando las credenciales son correctas, el servicio emite un token JWT. La administración de usuarios requiere rol de administrador. El usuario inicial se puede desactivar después de crear otro administrador activo; esta regla evita perder el acceso administrativo por una operación individual.</w:t>
      </w:r>
    </w:p>
    <w:p>
      <w:pPr>
        <w:spacing w:after="160"/>
      </w:pPr>
      <w:r>
        <w:rPr>
          <w:rFonts w:ascii="Consolas" w:hAnsi="Consolas"/>
          <w:sz w:val="17"/>
        </w:rPr>
        <w:t>Servicio: user-service  |  Puerto: 8081</w:t>
        <w:br/>
        <w:t>POST /api/users/login</w:t>
        <w:br/>
        <w:t>POST /api/users</w:t>
        <w:br/>
        <w:t>GET  /api/users/cedula/{cedula}</w:t>
        <w:br/>
        <w:t>PUT o DELETE /api/users/{id}</w:t>
      </w:r>
    </w:p>
    <w:p>
      <w:pPr>
        <w:pStyle w:val="Heading2"/>
      </w:pPr>
      <w:r>
        <w:t>Clientes</w:t>
      </w:r>
    </w:p>
    <w:p>
      <w:r>
        <w:t>Clientes administra cédula, nombre, dirección, teléfono y correo. Su función es conservar la información de las personas a quienes se les registran ventas. Incluye las operaciones de crear, listar, consultar, actualizar y eliminar. No calcula valores de facturas ni almacena contraseñas, porque esas responsabilidades corresponden a otros servicios.</w:t>
      </w:r>
    </w:p>
    <w:p>
      <w:r>
        <w:t>La consulta se realiza por cédula y el sistema rechaza registros duplicados. Si el cliente no existe, devuelve un error de recurso no encontrado. Durante una venta, la consulta debe recuperar un cliente registrado; no debe inventar uno ni sustituirlo automáticamente por un cliente genérico.</w:t>
      </w:r>
    </w:p>
    <w:p>
      <w:pPr>
        <w:spacing w:after="160"/>
      </w:pPr>
      <w:r>
        <w:rPr>
          <w:rFonts w:ascii="Consolas" w:hAnsi="Consolas"/>
          <w:sz w:val="17"/>
        </w:rPr>
        <w:t>Servicio: customer-service  |  Puerto: 8089</w:t>
        <w:br/>
        <w:t>POST y GET /api/customers</w:t>
        <w:br/>
        <w:t>GET, PUT y DELETE /api/customers/{cedula}</w:t>
      </w:r>
    </w:p>
    <w:p>
      <w:pPr>
        <w:pStyle w:val="Heading2"/>
      </w:pPr>
      <w:r>
        <w:t>Proveedores</w:t>
      </w:r>
    </w:p>
    <w:p>
      <w:r>
        <w:t>Proveedores registra NIT, nombre, dirección, teléfono y ciudad. Permite las mismas operaciones básicas de mantenimiento. El NIT se conserva como identificador de negocio y debe ser único. El servicio Productos consulta esta API para verificar que un proveedor mencionado en un archivo CSV exista antes de aceptar la carga.</w:t>
      </w:r>
    </w:p>
    <w:p>
      <w:r>
        <w:t>La cédula y el NIT se intercambian como cadenas de dígitos. Esto evita que JavaScript pierda precisión al manejar identificadores largos. La representación técnica puede diferir del BIGINT del documento, pero mantiene su significado y valida el formato numérico.</w:t>
      </w:r>
    </w:p>
    <w:p>
      <w:pPr>
        <w:spacing w:after="160"/>
      </w:pPr>
      <w:r>
        <w:rPr>
          <w:rFonts w:ascii="Consolas" w:hAnsi="Consolas"/>
          <w:sz w:val="17"/>
        </w:rPr>
        <w:t>Servicio: supplier-service  |  Puerto: 8090</w:t>
        <w:br/>
        <w:t>POST y GET /api/suppliers</w:t>
        <w:br/>
        <w:t>GET, PUT y DELETE /api/suppliers/{nit}</w:t>
      </w:r>
    </w:p>
    <w:p>
      <w:r>
        <w:br w:type="page"/>
      </w:r>
    </w:p>
    <w:p>
      <w:pPr>
        <w:pStyle w:val="Heading1"/>
      </w:pPr>
      <w:r>
        <w:t>3 Productos y ventas</w:t>
      </w:r>
    </w:p>
    <w:p>
      <w:pPr>
        <w:pStyle w:val="Heading2"/>
      </w:pPr>
      <w:r>
        <w:t>Productos</w:t>
      </w:r>
    </w:p>
    <w:p>
      <w:r>
        <w:t>Productos conserva código, nombre, proveedor, precio de compra, precio de venta e IVA. En el repositorio se llama catalog-service. Su función principal para el curso es importar un CSV de seis columnas y reemplazar los productos anteriores únicamente cuando todos los datos son válidos.</w:t>
      </w:r>
    </w:p>
    <w:p>
      <w:r>
        <w:t>La carga comprueba extensión, estructura, importes, IVA, nombres, códigos repetidos y existencia de proveedores. Primero valida el archivo completo y después cambia los registros dentro de una transacción. Un bloqueo de base de datos coordina las escrituras del catálogo para que dos importaciones simultáneas no terminen mezclando archivos.</w:t>
      </w:r>
    </w:p>
    <w:p>
      <w:pPr>
        <w:spacing w:after="160"/>
      </w:pPr>
      <w:r>
        <w:rPr>
          <w:rFonts w:ascii="Consolas" w:hAnsi="Consolas"/>
          <w:sz w:val="17"/>
        </w:rPr>
        <w:t>Puerto: 8082</w:t>
        <w:br/>
        <w:t>POST /api/products/import  [multipart con campo file]</w:t>
        <w:br/>
        <w:t>GET  /api/products/code/{code}</w:t>
        <w:br/>
        <w:t>CSV: codigo_producto,nombre_producto,nitproveedor,</w:t>
        <w:br/>
        <w:t xml:space="preserve">     precio_compra,ivacompra,precio_venta</w:t>
      </w:r>
    </w:p>
    <w:p>
      <w:pPr>
        <w:pStyle w:val="Heading2"/>
      </w:pPr>
      <w:r>
        <w:t>Ventas</w:t>
      </w:r>
    </w:p>
    <w:p>
      <w:r>
        <w:t>Ventas registra la operación comercial y su detalle. Se implementó en order-service mediante /api/sales. El nombre técnico de la carpeta no cambia su responsabilidad. Recibe la cédula del cliente y entre uno y tres renglones con código y cantidad; obtiene al operador autenticado desde el token y consulta las referencias necesarias en Usuarios, Clientes y Productos.</w:t>
      </w:r>
    </w:p>
    <w:p>
      <w:r>
        <w:t>El backend toma el precio y el IVA del catálogo. Así, cambiar un precio en una petición del navegador no altera el valor autorizado de la venta. Se guardan las cédulas, el consecutivo, los totales y una copia de los datos de cada producto vendido. Cabecera y detalle pertenecen a la misma base y se confirman juntos.</w:t>
      </w:r>
    </w:p>
    <w:p>
      <w:r>
        <w:t>Cada solicitud incluye Idempotency-Key. Repetir la misma clave con los mismos datos devuelve la venta existente; usarla con otros datos produce un conflicto. El identificador lo genera la base y puede presentar huecos después de una transacción abortada, como ocurre con las secuencias de base de datos.</w:t>
      </w:r>
    </w:p>
    <w:tbl>
      <w:tblPr>
        <w:tblStyle w:val="TableGrid"/>
        <w:tblW w:type="auto" w:w="0"/>
        <w:tblLook w:firstColumn="1" w:firstRow="1" w:lastColumn="0" w:lastRow="0" w:noHBand="0" w:noVBand="1" w:val="04A0"/>
      </w:tblPr>
      <w:tblGrid>
        <w:gridCol w:w="1601"/>
        <w:gridCol w:w="1601"/>
        <w:gridCol w:w="1601"/>
        <w:gridCol w:w="1601"/>
        <w:gridCol w:w="1601"/>
        <w:gridCol w:w="1601"/>
      </w:tblGrid>
      <w:tr>
        <w:trPr>
          <w:cantSplit/>
          <w:tblHeader/>
        </w:trPr>
        <w:tc>
          <w:tcPr>
            <w:tcW w:type="dxa" w:w="1944"/>
            <w:shd w:fill="E7EDF2"/>
          </w:tcPr>
          <w:p>
            <w:pPr>
              <w:spacing w:after="80" w:before="80"/>
            </w:pPr>
            <w:r>
              <w:rPr>
                <w:b/>
                <w:sz w:val="18"/>
              </w:rPr>
              <w:t>Producto</w:t>
            </w:r>
          </w:p>
        </w:tc>
        <w:tc>
          <w:tcPr>
            <w:tcW w:type="dxa" w:w="864"/>
            <w:shd w:fill="E7EDF2"/>
          </w:tcPr>
          <w:p>
            <w:pPr>
              <w:spacing w:after="80" w:before="80"/>
            </w:pPr>
            <w:r>
              <w:rPr>
                <w:b/>
                <w:sz w:val="18"/>
              </w:rPr>
              <w:t>Cantidad</w:t>
            </w:r>
          </w:p>
        </w:tc>
        <w:tc>
          <w:tcPr>
            <w:tcW w:type="dxa" w:w="1656"/>
            <w:shd w:fill="E7EDF2"/>
          </w:tcPr>
          <w:p>
            <w:pPr>
              <w:spacing w:after="80" w:before="80"/>
            </w:pPr>
            <w:r>
              <w:rPr>
                <w:b/>
                <w:sz w:val="18"/>
              </w:rPr>
              <w:t>Precio unitario</w:t>
            </w:r>
          </w:p>
        </w:tc>
        <w:tc>
          <w:tcPr>
            <w:tcW w:type="dxa" w:w="936"/>
            <w:shd w:fill="E7EDF2"/>
          </w:tcPr>
          <w:p>
            <w:pPr>
              <w:spacing w:after="80" w:before="80"/>
            </w:pPr>
            <w:r>
              <w:rPr>
                <w:b/>
                <w:sz w:val="18"/>
              </w:rPr>
              <w:t>IVA</w:t>
            </w:r>
          </w:p>
        </w:tc>
        <w:tc>
          <w:tcPr>
            <w:tcW w:type="dxa" w:w="1584"/>
            <w:shd w:fill="E7EDF2"/>
          </w:tcPr>
          <w:p>
            <w:pPr>
              <w:spacing w:after="80" w:before="80"/>
            </w:pPr>
            <w:r>
              <w:rPr>
                <w:b/>
                <w:sz w:val="18"/>
              </w:rPr>
              <w:t>Subtotal</w:t>
            </w:r>
          </w:p>
        </w:tc>
        <w:tc>
          <w:tcPr>
            <w:tcW w:type="dxa" w:w="1512"/>
            <w:shd w:fill="E7EDF2"/>
          </w:tcPr>
          <w:p>
            <w:pPr>
              <w:spacing w:after="80" w:before="80"/>
            </w:pPr>
            <w:r>
              <w:rPr>
                <w:b/>
                <w:sz w:val="18"/>
              </w:rPr>
              <w:t>Impuesto</w:t>
            </w:r>
          </w:p>
        </w:tc>
      </w:tr>
      <w:tr>
        <w:trPr>
          <w:cantSplit/>
        </w:trPr>
        <w:tc>
          <w:tcPr>
            <w:tcW w:type="dxa" w:w="1944"/>
          </w:tcPr>
          <w:p>
            <w:pPr>
              <w:spacing w:after="80" w:before="80"/>
            </w:pPr>
            <w:r>
              <w:rPr>
                <w:sz w:val="18"/>
              </w:rPr>
              <w:t>Leche</w:t>
            </w:r>
          </w:p>
        </w:tc>
        <w:tc>
          <w:tcPr>
            <w:tcW w:type="dxa" w:w="864"/>
          </w:tcPr>
          <w:p>
            <w:pPr>
              <w:spacing w:after="80" w:before="80"/>
            </w:pPr>
            <w:r>
              <w:rPr>
                <w:sz w:val="18"/>
              </w:rPr>
              <w:t>2</w:t>
            </w:r>
          </w:p>
        </w:tc>
        <w:tc>
          <w:tcPr>
            <w:tcW w:type="dxa" w:w="1656"/>
          </w:tcPr>
          <w:p>
            <w:pPr>
              <w:spacing w:after="80" w:before="80"/>
            </w:pPr>
            <w:r>
              <w:rPr>
                <w:sz w:val="18"/>
              </w:rPr>
              <w:t>1 500</w:t>
            </w:r>
          </w:p>
        </w:tc>
        <w:tc>
          <w:tcPr>
            <w:tcW w:type="dxa" w:w="936"/>
          </w:tcPr>
          <w:p>
            <w:pPr>
              <w:spacing w:after="80" w:before="80"/>
            </w:pPr>
            <w:r>
              <w:rPr>
                <w:sz w:val="18"/>
              </w:rPr>
              <w:t>0 %</w:t>
            </w:r>
          </w:p>
        </w:tc>
        <w:tc>
          <w:tcPr>
            <w:tcW w:type="dxa" w:w="1584"/>
          </w:tcPr>
          <w:p>
            <w:pPr>
              <w:spacing w:after="80" w:before="80"/>
            </w:pPr>
            <w:r>
              <w:rPr>
                <w:sz w:val="18"/>
              </w:rPr>
              <w:t>3 000</w:t>
            </w:r>
          </w:p>
        </w:tc>
        <w:tc>
          <w:tcPr>
            <w:tcW w:type="dxa" w:w="1512"/>
          </w:tcPr>
          <w:p>
            <w:pPr>
              <w:spacing w:after="80" w:before="80"/>
            </w:pPr>
            <w:r>
              <w:rPr>
                <w:sz w:val="18"/>
              </w:rPr>
              <w:t>0</w:t>
            </w:r>
          </w:p>
        </w:tc>
      </w:tr>
      <w:tr>
        <w:trPr>
          <w:cantSplit/>
        </w:trPr>
        <w:tc>
          <w:tcPr>
            <w:tcW w:type="dxa" w:w="1944"/>
          </w:tcPr>
          <w:p>
            <w:pPr>
              <w:spacing w:after="80" w:before="80"/>
            </w:pPr>
            <w:r>
              <w:rPr>
                <w:sz w:val="18"/>
              </w:rPr>
              <w:t>Arroz</w:t>
            </w:r>
          </w:p>
        </w:tc>
        <w:tc>
          <w:tcPr>
            <w:tcW w:type="dxa" w:w="864"/>
          </w:tcPr>
          <w:p>
            <w:pPr>
              <w:spacing w:after="80" w:before="80"/>
            </w:pPr>
            <w:r>
              <w:rPr>
                <w:sz w:val="18"/>
              </w:rPr>
              <w:t>1</w:t>
            </w:r>
          </w:p>
        </w:tc>
        <w:tc>
          <w:tcPr>
            <w:tcW w:type="dxa" w:w="1656"/>
          </w:tcPr>
          <w:p>
            <w:pPr>
              <w:spacing w:after="80" w:before="80"/>
            </w:pPr>
            <w:r>
              <w:rPr>
                <w:sz w:val="18"/>
              </w:rPr>
              <w:t>3 000</w:t>
            </w:r>
          </w:p>
        </w:tc>
        <w:tc>
          <w:tcPr>
            <w:tcW w:type="dxa" w:w="936"/>
          </w:tcPr>
          <w:p>
            <w:pPr>
              <w:spacing w:after="80" w:before="80"/>
            </w:pPr>
            <w:r>
              <w:rPr>
                <w:sz w:val="18"/>
              </w:rPr>
              <w:t>5 %</w:t>
            </w:r>
          </w:p>
        </w:tc>
        <w:tc>
          <w:tcPr>
            <w:tcW w:type="dxa" w:w="1584"/>
          </w:tcPr>
          <w:p>
            <w:pPr>
              <w:spacing w:after="80" w:before="80"/>
            </w:pPr>
            <w:r>
              <w:rPr>
                <w:sz w:val="18"/>
              </w:rPr>
              <w:t>3 000</w:t>
            </w:r>
          </w:p>
        </w:tc>
        <w:tc>
          <w:tcPr>
            <w:tcW w:type="dxa" w:w="1512"/>
          </w:tcPr>
          <w:p>
            <w:pPr>
              <w:spacing w:after="80" w:before="80"/>
            </w:pPr>
            <w:r>
              <w:rPr>
                <w:sz w:val="18"/>
              </w:rPr>
              <w:t>150</w:t>
            </w:r>
          </w:p>
        </w:tc>
      </w:tr>
    </w:tbl>
    <w:p/>
    <w:p>
      <w:r>
        <w:t>En este ejemplo, el subtotal es 6 000, el IVA es 150 y el valor final es 6 150. Aplicar 19 % a toda la compra daría un resultado incorrecto. Estos valores son un caso de demostración, no una venta real realizada por la tienda.</w:t>
      </w:r>
    </w:p>
    <w:p>
      <w:pPr>
        <w:spacing w:after="160"/>
      </w:pPr>
      <w:r>
        <w:rPr>
          <w:rFonts w:ascii="Consolas" w:hAnsi="Consolas"/>
          <w:sz w:val="17"/>
        </w:rPr>
        <w:t>Puerto: 8085</w:t>
        <w:br/>
        <w:t>POST /api/sales  [encabezado Idempotency-Key]</w:t>
        <w:br/>
        <w:t>GET /api/sales/{id}</w:t>
      </w:r>
    </w:p>
    <w:p>
      <w:r>
        <w:br w:type="page"/>
      </w:r>
    </w:p>
    <w:p>
      <w:pPr>
        <w:pStyle w:val="Heading1"/>
      </w:pPr>
      <w:r>
        <w:t>4 Arquitectura y comunicación</w:t>
      </w:r>
    </w:p>
    <w:p>
      <w:r>
        <w:drawing>
          <wp:inline xmlns:a="http://schemas.openxmlformats.org/drawingml/2006/main" xmlns:pic="http://schemas.openxmlformats.org/drawingml/2006/picture">
            <wp:extent cx="6035040" cy="2414016"/>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035040" cy="2414016"/>
                    </a:xfrm>
                    <a:prstGeom prst="rect"/>
                  </pic:spPr>
                </pic:pic>
              </a:graphicData>
            </a:graphic>
          </wp:inline>
        </w:drawing>
      </w:r>
    </w:p>
    <w:p>
      <w:pPr>
        <w:pStyle w:val="Caption"/>
      </w:pPr>
      <w:r>
        <w:t>Figura 1. Distribución lógica de los cinco dominios. Diagrama elaborado a partir del código; no es un pantallazo de ejecución.</w:t>
      </w:r>
    </w:p>
    <w:p>
      <w:r>
        <w:t>Considero adecuada la separación principal porque cada servicio resuelve un problema identificable. Clientes y Proveedores mantienen personas y empresas; Usuarios controla acceso; Productos administra el catálogo; Ventas registra transacciones. Los reportes se reúnen en admin-service mediante consultas a las APIs propietarias.</w:t>
      </w:r>
    </w:p>
    <w:p>
      <w:r>
        <w:t>La configuración de Compose utiliza una instancia PostgreSQL con bases y roles separados. Esto ofrece separación lógica de datos, pero todos los servicios conservan una dependencia física del mismo servidor de base de datos. Por tanto, no sería correcto afirmar que cada dominio tiene infraestructura completamente independiente.</w:t>
      </w:r>
    </w:p>
    <w:p>
      <w:pPr>
        <w:pStyle w:val="Heading2"/>
      </w:pPr>
      <w:r>
        <w:t>Cómo se registra una venta</w:t>
      </w:r>
    </w:p>
    <w:p>
      <w:r>
        <w:t>La solicitud entra por el gateway y llega a Ventas. Este servicio consulta al cliente, verifica al operador y obtiene cada producto. Después calcula los importes y guarda la venta. Las llamadas tienen tiempos máximos de espera: si una dependencia no responde, se informa el fallo en vez de registrar una operación incompleta.</w:t>
      </w:r>
    </w:p>
    <w:p>
      <w:pPr>
        <w:pStyle w:val="Heading2"/>
      </w:pPr>
      <w:r>
        <w:t>Límites de la solución</w:t>
      </w:r>
    </w:p>
    <w:p>
      <w:r>
        <w:t>La comunicación HTTP síncrona es fácil de seguir y suficiente para el alcance académico, pero genera dependencia de disponibilidad entre servicios. La solución aún no incorpora una saga, un circuito de protección ante fallos, mensajería de eventos ni trazabilidad distribuida completa. Los contenedores y el gateway facilitan organizar el despliegue; por sí solos no garantizan escalabilidad ni tolerancia a fallos.</w:t>
      </w:r>
    </w:p>
    <w:p>
      <w:r>
        <w:t>Los servicios de inventario, carrito, pagos y notificaciones son auxiliares. La venta no ejecuta automáticamente un pago real ni envía correos. Para la sustentación conviene concentrarse primero en los cinco dominios exigidos y presentar lo demás como ampliación.</w:t>
      </w:r>
    </w:p>
    <w:p>
      <w:r>
        <w:br w:type="page"/>
      </w:r>
    </w:p>
    <w:p>
      <w:pPr>
        <w:pStyle w:val="Heading1"/>
      </w:pPr>
      <w:r>
        <w:t>5 Patrones y buenas prácticas</w:t>
      </w:r>
    </w:p>
    <w:p>
      <w:pPr>
        <w:pStyle w:val="Heading2"/>
      </w:pPr>
      <w:r>
        <w:t>Patrones presentes en la implementación</w:t>
      </w:r>
    </w:p>
    <w:p>
      <w:r>
        <w:t>La arquitectura por capas separa Controller, Service y Repository. El controlador recibe y valida la petición; el servicio decide qué reglas aplicar; el repositorio accede a los datos. Por ejemplo, CustomerController delega en CustomerService y este utiliza CustomerRepository. Así se evita colocar toda la lógica en un endpoint.</w:t>
      </w:r>
    </w:p>
    <w:p>
      <w:r>
        <w:t>El patrón Repository aparece mediante interfaces de Spring Data JPA. Permite expresar consultas sin repetir el código de conexión a la base. Los DTO separan los datos del contrato HTTP de las entidades persistentes: el consumidor recibe los campos que necesita, sin exponer detalles internos ni contraseñas.</w:t>
      </w:r>
    </w:p>
    <w:p>
      <w:r>
        <w:t>API Gateway concentra el punto de entrada. La inyección por constructor proporciona las dependencias a cada servicio y facilita reemplazarlas por dobles durante una prueba. La idempotencia protege operaciones como ventas y pagos frente a reintentos. Estos mecanismos aparecen en el código; no se atribuyen patrones como CQRS o Event Sourcing que no fueron implementados.</w:t>
      </w:r>
    </w:p>
    <w:p>
      <w:pPr>
        <w:pStyle w:val="Heading2"/>
      </w:pPr>
      <w:r>
        <w:t>Evaluación de SOLID y KISS</w:t>
      </w:r>
    </w:p>
    <w:p>
      <w:r>
        <w:t>La responsabilidad única se observa en la división de funciones. ProductCsvParser interpreta el archivo, SupplierDirectory consulta proveedores y ProductImportService coordina el reemplazo. Una modificación del formato CSV no debería obligar a cambiar el cálculo de ventas.</w:t>
      </w:r>
    </w:p>
    <w:p>
      <w:r>
        <w:t>La inversión de dependencias se favorece al recibir repositorios y colaboradores por constructor. Sin embargo, algunos servicios dependen de clases concretas de comunicación. Por eso considero que la solución aplica partes de SOLID, pero no que todos sus principios estén demostrados de forma completa. La sustitución de Liskov y la apertura a extensiones requieren revisar cada abstracción; usar Spring no las garantiza.</w:t>
      </w:r>
    </w:p>
    <w:p>
      <w:r>
        <w:t>KISS se refleja en mantener reglas directas y transacciones locales donde son suficientes. Añadir más servicios o patrones sin una necesidad clara aumentaría la complejidad de la exposición y del mantenimiento. La biblioteca compartida contiene infraestructura; las entidades de Clientes, Productos y Ventas siguen perteneciendo a sus dominios.</w:t>
      </w:r>
    </w:p>
    <w:tbl>
      <w:tblPr>
        <w:tblStyle w:val="TableGrid"/>
        <w:tblW w:type="auto" w:w="0"/>
        <w:tblLook w:firstColumn="1" w:firstRow="1" w:lastColumn="0" w:lastRow="0" w:noHBand="0" w:noVBand="1" w:val="04A0"/>
      </w:tblPr>
      <w:tblGrid>
        <w:gridCol w:w="3202"/>
        <w:gridCol w:w="3202"/>
        <w:gridCol w:w="3202"/>
      </w:tblGrid>
      <w:tr>
        <w:trPr>
          <w:cantSplit/>
          <w:tblHeader/>
        </w:trPr>
        <w:tc>
          <w:tcPr>
            <w:tcW w:type="dxa" w:w="1440"/>
            <w:shd w:fill="E7EDF2"/>
          </w:tcPr>
          <w:p>
            <w:pPr>
              <w:spacing w:after="80" w:before="80"/>
            </w:pPr>
            <w:r>
              <w:rPr>
                <w:b/>
                <w:sz w:val="18"/>
              </w:rPr>
              <w:t>Práctica</w:t>
            </w:r>
          </w:p>
        </w:tc>
        <w:tc>
          <w:tcPr>
            <w:tcW w:type="dxa" w:w="3816"/>
            <w:shd w:fill="E7EDF2"/>
          </w:tcPr>
          <w:p>
            <w:pPr>
              <w:spacing w:after="80" w:before="80"/>
            </w:pPr>
            <w:r>
              <w:rPr>
                <w:b/>
                <w:sz w:val="18"/>
              </w:rPr>
              <w:t>Aplicación observada</w:t>
            </w:r>
          </w:p>
        </w:tc>
        <w:tc>
          <w:tcPr>
            <w:tcW w:type="dxa" w:w="4176"/>
            <w:shd w:fill="E7EDF2"/>
          </w:tcPr>
          <w:p>
            <w:pPr>
              <w:spacing w:after="80" w:before="80"/>
            </w:pPr>
            <w:r>
              <w:rPr>
                <w:b/>
                <w:sz w:val="18"/>
              </w:rPr>
              <w:t>Mejora necesaria</w:t>
            </w:r>
          </w:p>
        </w:tc>
      </w:tr>
      <w:tr>
        <w:trPr>
          <w:cantSplit/>
        </w:trPr>
        <w:tc>
          <w:tcPr>
            <w:tcW w:type="dxa" w:w="1440"/>
          </w:tcPr>
          <w:p>
            <w:pPr>
              <w:spacing w:after="80" w:before="80"/>
            </w:pPr>
            <w:r>
              <w:rPr>
                <w:sz w:val="18"/>
              </w:rPr>
              <w:t>Seguridad</w:t>
            </w:r>
          </w:p>
        </w:tc>
        <w:tc>
          <w:tcPr>
            <w:tcW w:type="dxa" w:w="3816"/>
          </w:tcPr>
          <w:p>
            <w:pPr>
              <w:spacing w:after="80" w:before="80"/>
            </w:pPr>
            <w:r>
              <w:rPr>
                <w:sz w:val="18"/>
              </w:rPr>
              <w:t>BCrypt, JWT y roles</w:t>
            </w:r>
          </w:p>
        </w:tc>
        <w:tc>
          <w:tcPr>
            <w:tcW w:type="dxa" w:w="4176"/>
          </w:tcPr>
          <w:p>
            <w:pPr>
              <w:spacing w:after="80" w:before="80"/>
            </w:pPr>
            <w:r>
              <w:rPr>
                <w:sz w:val="18"/>
              </w:rPr>
              <w:t>Revocación inmediata entre todos los servicios</w:t>
            </w:r>
          </w:p>
        </w:tc>
      </w:tr>
      <w:tr>
        <w:trPr>
          <w:cantSplit/>
        </w:trPr>
        <w:tc>
          <w:tcPr>
            <w:tcW w:type="dxa" w:w="1440"/>
          </w:tcPr>
          <w:p>
            <w:pPr>
              <w:spacing w:after="80" w:before="80"/>
            </w:pPr>
            <w:r>
              <w:rPr>
                <w:sz w:val="18"/>
              </w:rPr>
              <w:t>Datos</w:t>
            </w:r>
          </w:p>
        </w:tc>
        <w:tc>
          <w:tcPr>
            <w:tcW w:type="dxa" w:w="3816"/>
          </w:tcPr>
          <w:p>
            <w:pPr>
              <w:spacing w:after="80" w:before="80"/>
            </w:pPr>
            <w:r>
              <w:rPr>
                <w:sz w:val="18"/>
              </w:rPr>
              <w:t>BigDecimal, transacciones y bloqueos</w:t>
            </w:r>
          </w:p>
        </w:tc>
        <w:tc>
          <w:tcPr>
            <w:tcW w:type="dxa" w:w="4176"/>
          </w:tcPr>
          <w:p>
            <w:pPr>
              <w:spacing w:after="80" w:before="80"/>
            </w:pPr>
            <w:r>
              <w:rPr>
                <w:sz w:val="18"/>
              </w:rPr>
              <w:t>Migraciones versionadas para un despliegue real</w:t>
            </w:r>
          </w:p>
        </w:tc>
      </w:tr>
      <w:tr>
        <w:trPr>
          <w:cantSplit/>
        </w:trPr>
        <w:tc>
          <w:tcPr>
            <w:tcW w:type="dxa" w:w="1440"/>
          </w:tcPr>
          <w:p>
            <w:pPr>
              <w:spacing w:after="80" w:before="80"/>
            </w:pPr>
            <w:r>
              <w:rPr>
                <w:sz w:val="18"/>
              </w:rPr>
              <w:t>Configuración</w:t>
            </w:r>
          </w:p>
        </w:tc>
        <w:tc>
          <w:tcPr>
            <w:tcW w:type="dxa" w:w="3816"/>
          </w:tcPr>
          <w:p>
            <w:pPr>
              <w:spacing w:after="80" w:before="80"/>
            </w:pPr>
            <w:r>
              <w:rPr>
                <w:sz w:val="18"/>
              </w:rPr>
              <w:t>Variables de entorno y Config Server</w:t>
            </w:r>
          </w:p>
        </w:tc>
        <w:tc>
          <w:tcPr>
            <w:tcW w:type="dxa" w:w="4176"/>
          </w:tcPr>
          <w:p>
            <w:pPr>
              <w:spacing w:after="80" w:before="80"/>
            </w:pPr>
            <w:r>
              <w:rPr>
                <w:sz w:val="18"/>
              </w:rPr>
              <w:t>Gestión operativa y rotación de secretos</w:t>
            </w:r>
          </w:p>
        </w:tc>
      </w:tr>
      <w:tr>
        <w:trPr>
          <w:cantSplit/>
        </w:trPr>
        <w:tc>
          <w:tcPr>
            <w:tcW w:type="dxa" w:w="1440"/>
          </w:tcPr>
          <w:p>
            <w:pPr>
              <w:spacing w:after="80" w:before="80"/>
            </w:pPr>
            <w:r>
              <w:rPr>
                <w:sz w:val="18"/>
              </w:rPr>
              <w:t>Pruebas</w:t>
            </w:r>
          </w:p>
        </w:tc>
        <w:tc>
          <w:tcPr>
            <w:tcW w:type="dxa" w:w="3816"/>
          </w:tcPr>
          <w:p>
            <w:pPr>
              <w:spacing w:after="80" w:before="80"/>
            </w:pPr>
            <w:r>
              <w:rPr>
                <w:sz w:val="18"/>
              </w:rPr>
              <w:t>JUnit, Mockito y pruebas con H2</w:t>
            </w:r>
          </w:p>
        </w:tc>
        <w:tc>
          <w:tcPr>
            <w:tcW w:type="dxa" w:w="4176"/>
          </w:tcPr>
          <w:p>
            <w:pPr>
              <w:spacing w:after="80" w:before="80"/>
            </w:pPr>
            <w:r>
              <w:rPr>
                <w:sz w:val="18"/>
              </w:rPr>
              <w:t>Integración con PostgreSQL y flujo por red</w:t>
            </w:r>
          </w:p>
        </w:tc>
      </w:tr>
      <w:tr>
        <w:trPr>
          <w:cantSplit/>
        </w:trPr>
        <w:tc>
          <w:tcPr>
            <w:tcW w:type="dxa" w:w="1440"/>
          </w:tcPr>
          <w:p>
            <w:pPr>
              <w:spacing w:after="80" w:before="80"/>
            </w:pPr>
            <w:r>
              <w:rPr>
                <w:sz w:val="18"/>
              </w:rPr>
              <w:t>Operación</w:t>
            </w:r>
          </w:p>
        </w:tc>
        <w:tc>
          <w:tcPr>
            <w:tcW w:type="dxa" w:w="3816"/>
          </w:tcPr>
          <w:p>
            <w:pPr>
              <w:spacing w:after="80" w:before="80"/>
            </w:pPr>
            <w:r>
              <w:rPr>
                <w:sz w:val="18"/>
              </w:rPr>
              <w:t>Gateway, contenedores y salud</w:t>
            </w:r>
          </w:p>
        </w:tc>
        <w:tc>
          <w:tcPr>
            <w:tcW w:type="dxa" w:w="4176"/>
          </w:tcPr>
          <w:p>
            <w:pPr>
              <w:spacing w:after="80" w:before="80"/>
            </w:pPr>
            <w:r>
              <w:rPr>
                <w:sz w:val="18"/>
              </w:rPr>
              <w:t>Métricas, trazas y pruebas de carga</w:t>
            </w:r>
          </w:p>
        </w:tc>
      </w:tr>
    </w:tbl>
    <w:p/>
    <w:p>
      <w:r>
        <w:t>Mi valoración es que la arquitectura sirve como base para el curso, aunque todavía no constituye una solución lista para producción. El uso de ddl-auto update, los tokens compartidos y la ausencia de una validación completa de despliegue son límites concretos que deben reconocerse.</w:t>
      </w:r>
    </w:p>
    <w:p>
      <w:r>
        <w:br w:type="page"/>
      </w:r>
    </w:p>
    <w:p>
      <w:pPr>
        <w:pStyle w:val="Heading1"/>
      </w:pPr>
      <w:r>
        <w:t>6 Desarrollo asistido por inteligencia artificial</w:t>
      </w:r>
    </w:p>
    <w:p>
      <w:r>
        <w:t>El trabajo de revisión e implementación registrado en este proyecto se realizó con asistencia de Codex. Junie todavía no se ha utilizado. Por esta razón, la parte específica de la rúbrica que exige usar Junie debe completarse con una sesión real, sus cambios y sus capturas. Los textos de solicitudes de esta sección son propuestas para esa actividad, no una transcripción de conversaciones realizadas.</w:t>
      </w:r>
    </w:p>
    <w:p>
      <w:pPr>
        <w:pStyle w:val="Heading2"/>
      </w:pPr>
      <w:r>
        <w:t>Dificultades que exigieron precisar la solución</w:t>
      </w:r>
    </w:p>
    <w:p>
      <w:r>
        <w:t>La primera dificultad fue delimitar el negocio. La propuesta previa se había orientado hacia una tienda en línea con carrito, envíos y pagos. Fue necesario volver a los requisitos del PDF y priorizar el registro de clientes, proveedores, productos y ventas. Una lista de servicios más larga no compensaba la ausencia de los módulos obligatorios.</w:t>
      </w:r>
    </w:p>
    <w:p>
      <w:r>
        <w:t>Otra dificultad fue distinguir una interfaz visual de una función terminada. Las pantallas podían mostrar mensajes de éxito y modificar arreglos locales sin guardar nada en el backend. El criterio debía ser verificable: crear un registro, consultarlo mediante una API y comprobar que permanece almacenado.</w:t>
      </w:r>
    </w:p>
    <w:p>
      <w:r>
        <w:t>En productos fue necesario explicar que importar no significa simplemente agregar filas. El archivo válido reemplaza el catálogo, mientras que uno inválido no debe borrar los datos anteriores. También hubo que precisar que el IVA pertenece a cada producto y que los precios utilizados por Ventas deben consultarse al catálogo.</w:t>
      </w:r>
    </w:p>
    <w:p>
      <w:r>
        <w:t>La revisión técnica detectó problemas menos visibles: claves repetidas bajo concurrencia podían sobrescribir registros, y dos cargas simultáneas podían mezclar productos. Se incorporaron versiones de entidades y un bloqueo del catálogo. Las pruebas también detectaron diferencias de precisión entre los decimales de una respuesta nueva y los recuperados de la base.</w:t>
      </w:r>
    </w:p>
    <w:p>
      <w:pPr>
        <w:pStyle w:val="Heading2"/>
      </w:pPr>
      <w:r>
        <w:t>Solicitudes propuestas para trabajar con Junie</w:t>
      </w:r>
    </w:p>
    <w:p>
      <w:r>
        <w:t>1. “Revisa Clientes, Usuarios, Proveedores, Productos y Ventas frente al PDF. Indica para cada requisito el endpoint, la clase y la prueba que lo respaldan. Señala faltantes sin afirmar que una pantalla demuestra persistencia”.</w:t>
      </w:r>
    </w:p>
    <w:p>
      <w:r>
        <w:t>2. “Comprueba el CSV con un proveedor inexistente y con una fila inválida. Debe responder un error y conservar el catálogo anterior. Ejecuta las pruebas y explica el resultado”.</w:t>
      </w:r>
    </w:p>
    <w:p>
      <w:r>
        <w:t>3. “Verifica una venta con productos de IVA 0 %, 5 % y 19 %. El backend debe ignorar precios enviados por el cliente y utilizar los del catálogo. Prueba también el reintento con la misma clave”.</w:t>
      </w:r>
    </w:p>
    <w:p>
      <w:r>
        <w:t>4. “Propón e implementa la integración de la interfaz con estas APIs, con manejo visible de errores. Muestra los archivos modificados y comprueba el recorrido desde login hasta reporte”.</w:t>
      </w:r>
    </w:p>
    <w:p>
      <w:r>
        <w:t>Para documentar esa sesión, se debe guardar la petición exacta, la primera respuesta, una corrección solicitada y el resultado comprobado. La explicación personal debe describir qué se entendió y por qué se aceptó o rechazó cada propuesta de la IA.</w:t>
      </w:r>
    </w:p>
    <w:p>
      <w:r>
        <w:br w:type="page"/>
      </w:r>
    </w:p>
    <w:p>
      <w:pPr>
        <w:pStyle w:val="Heading1"/>
      </w:pPr>
      <w:r>
        <w:t>7 Verificación y demostración en clase</w:t>
      </w:r>
    </w:p>
    <w:p>
      <w:r>
        <w:t>Los reportes finales de Maven registran 138 pruebas sin fallos ni errores. El alcance incluye validaciones, reglas de negocio, persistencia con H2, permisos y casos de concurrencia. La prueba completa se complementó con una nueva ejecución de Ventas después de corregir la precisión decimal. El empaquetado del reactor y la sintaxis de Compose también fueron verificados.</w:t>
      </w:r>
    </w:p>
    <w:tbl>
      <w:tblPr>
        <w:tblStyle w:val="TableGrid"/>
        <w:tblW w:type="auto" w:w="0"/>
        <w:tblLook w:firstColumn="1" w:firstRow="1" w:lastColumn="0" w:lastRow="0" w:noHBand="0" w:noVBand="1" w:val="04A0"/>
      </w:tblPr>
      <w:tblGrid>
        <w:gridCol w:w="3202"/>
        <w:gridCol w:w="3202"/>
        <w:gridCol w:w="3202"/>
      </w:tblGrid>
      <w:tr>
        <w:trPr>
          <w:cantSplit/>
          <w:tblHeader/>
        </w:trPr>
        <w:tc>
          <w:tcPr>
            <w:tcW w:type="dxa" w:w="2592"/>
            <w:shd w:fill="E7EDF2"/>
          </w:tcPr>
          <w:p>
            <w:pPr>
              <w:spacing w:after="80" w:before="80"/>
            </w:pPr>
            <w:r>
              <w:rPr>
                <w:b/>
                <w:sz w:val="18"/>
              </w:rPr>
              <w:t>Dominio principal</w:t>
            </w:r>
          </w:p>
        </w:tc>
        <w:tc>
          <w:tcPr>
            <w:tcW w:type="dxa" w:w="5328"/>
            <w:shd w:fill="E7EDF2"/>
          </w:tcPr>
          <w:p>
            <w:pPr>
              <w:spacing w:after="80" w:before="80"/>
            </w:pPr>
            <w:r>
              <w:rPr>
                <w:b/>
                <w:sz w:val="18"/>
              </w:rPr>
              <w:t>Proyecto</w:t>
            </w:r>
          </w:p>
        </w:tc>
        <w:tc>
          <w:tcPr>
            <w:tcW w:type="dxa" w:w="864"/>
            <w:shd w:fill="E7EDF2"/>
          </w:tcPr>
          <w:p>
            <w:pPr>
              <w:spacing w:after="80" w:before="80"/>
            </w:pPr>
            <w:r>
              <w:rPr>
                <w:b/>
                <w:sz w:val="18"/>
              </w:rPr>
              <w:t>Pruebas</w:t>
            </w:r>
          </w:p>
        </w:tc>
      </w:tr>
      <w:tr>
        <w:trPr>
          <w:cantSplit/>
        </w:trPr>
        <w:tc>
          <w:tcPr>
            <w:tcW w:type="dxa" w:w="2592"/>
          </w:tcPr>
          <w:p>
            <w:pPr>
              <w:spacing w:after="80" w:before="80"/>
            </w:pPr>
            <w:r>
              <w:rPr>
                <w:sz w:val="18"/>
              </w:rPr>
              <w:t>Usuarios</w:t>
            </w:r>
          </w:p>
        </w:tc>
        <w:tc>
          <w:tcPr>
            <w:tcW w:type="dxa" w:w="5328"/>
          </w:tcPr>
          <w:p>
            <w:pPr>
              <w:spacing w:after="80" w:before="80"/>
            </w:pPr>
            <w:r>
              <w:rPr>
                <w:sz w:val="18"/>
              </w:rPr>
              <w:t>user-service</w:t>
            </w:r>
          </w:p>
        </w:tc>
        <w:tc>
          <w:tcPr>
            <w:tcW w:type="dxa" w:w="864"/>
          </w:tcPr>
          <w:p>
            <w:pPr>
              <w:spacing w:after="80" w:before="80"/>
            </w:pPr>
            <w:r>
              <w:rPr>
                <w:sz w:val="18"/>
              </w:rPr>
              <w:t>34</w:t>
            </w:r>
          </w:p>
        </w:tc>
      </w:tr>
      <w:tr>
        <w:trPr>
          <w:cantSplit/>
        </w:trPr>
        <w:tc>
          <w:tcPr>
            <w:tcW w:type="dxa" w:w="2592"/>
          </w:tcPr>
          <w:p>
            <w:pPr>
              <w:spacing w:after="80" w:before="80"/>
            </w:pPr>
            <w:r>
              <w:rPr>
                <w:sz w:val="18"/>
              </w:rPr>
              <w:t>Clientes</w:t>
            </w:r>
          </w:p>
        </w:tc>
        <w:tc>
          <w:tcPr>
            <w:tcW w:type="dxa" w:w="5328"/>
          </w:tcPr>
          <w:p>
            <w:pPr>
              <w:spacing w:after="80" w:before="80"/>
            </w:pPr>
            <w:r>
              <w:rPr>
                <w:sz w:val="18"/>
              </w:rPr>
              <w:t>customer-service</w:t>
            </w:r>
          </w:p>
        </w:tc>
        <w:tc>
          <w:tcPr>
            <w:tcW w:type="dxa" w:w="864"/>
          </w:tcPr>
          <w:p>
            <w:pPr>
              <w:spacing w:after="80" w:before="80"/>
            </w:pPr>
            <w:r>
              <w:rPr>
                <w:sz w:val="18"/>
              </w:rPr>
              <w:t>4</w:t>
            </w:r>
          </w:p>
        </w:tc>
      </w:tr>
      <w:tr>
        <w:trPr>
          <w:cantSplit/>
        </w:trPr>
        <w:tc>
          <w:tcPr>
            <w:tcW w:type="dxa" w:w="2592"/>
          </w:tcPr>
          <w:p>
            <w:pPr>
              <w:spacing w:after="80" w:before="80"/>
            </w:pPr>
            <w:r>
              <w:rPr>
                <w:sz w:val="18"/>
              </w:rPr>
              <w:t>Proveedores</w:t>
            </w:r>
          </w:p>
        </w:tc>
        <w:tc>
          <w:tcPr>
            <w:tcW w:type="dxa" w:w="5328"/>
          </w:tcPr>
          <w:p>
            <w:pPr>
              <w:spacing w:after="80" w:before="80"/>
            </w:pPr>
            <w:r>
              <w:rPr>
                <w:sz w:val="18"/>
              </w:rPr>
              <w:t>supplier-service</w:t>
            </w:r>
          </w:p>
        </w:tc>
        <w:tc>
          <w:tcPr>
            <w:tcW w:type="dxa" w:w="864"/>
          </w:tcPr>
          <w:p>
            <w:pPr>
              <w:spacing w:after="80" w:before="80"/>
            </w:pPr>
            <w:r>
              <w:rPr>
                <w:sz w:val="18"/>
              </w:rPr>
              <w:t>4</w:t>
            </w:r>
          </w:p>
        </w:tc>
      </w:tr>
      <w:tr>
        <w:trPr>
          <w:cantSplit/>
        </w:trPr>
        <w:tc>
          <w:tcPr>
            <w:tcW w:type="dxa" w:w="2592"/>
          </w:tcPr>
          <w:p>
            <w:pPr>
              <w:spacing w:after="80" w:before="80"/>
            </w:pPr>
            <w:r>
              <w:rPr>
                <w:sz w:val="18"/>
              </w:rPr>
              <w:t>Productos</w:t>
            </w:r>
          </w:p>
        </w:tc>
        <w:tc>
          <w:tcPr>
            <w:tcW w:type="dxa" w:w="5328"/>
          </w:tcPr>
          <w:p>
            <w:pPr>
              <w:spacing w:after="80" w:before="80"/>
            </w:pPr>
            <w:r>
              <w:rPr>
                <w:sz w:val="18"/>
              </w:rPr>
              <w:t>catalog-service</w:t>
            </w:r>
          </w:p>
        </w:tc>
        <w:tc>
          <w:tcPr>
            <w:tcW w:type="dxa" w:w="864"/>
          </w:tcPr>
          <w:p>
            <w:pPr>
              <w:spacing w:after="80" w:before="80"/>
            </w:pPr>
            <w:r>
              <w:rPr>
                <w:sz w:val="18"/>
              </w:rPr>
              <w:t>21</w:t>
            </w:r>
          </w:p>
        </w:tc>
      </w:tr>
      <w:tr>
        <w:trPr>
          <w:cantSplit/>
        </w:trPr>
        <w:tc>
          <w:tcPr>
            <w:tcW w:type="dxa" w:w="2592"/>
          </w:tcPr>
          <w:p>
            <w:pPr>
              <w:spacing w:after="80" w:before="80"/>
            </w:pPr>
            <w:r>
              <w:rPr>
                <w:sz w:val="18"/>
              </w:rPr>
              <w:t>Ventas y pedidos</w:t>
            </w:r>
          </w:p>
        </w:tc>
        <w:tc>
          <w:tcPr>
            <w:tcW w:type="dxa" w:w="5328"/>
          </w:tcPr>
          <w:p>
            <w:pPr>
              <w:spacing w:after="80" w:before="80"/>
            </w:pPr>
            <w:r>
              <w:rPr>
                <w:sz w:val="18"/>
              </w:rPr>
              <w:t>order-service</w:t>
            </w:r>
          </w:p>
        </w:tc>
        <w:tc>
          <w:tcPr>
            <w:tcW w:type="dxa" w:w="864"/>
          </w:tcPr>
          <w:p>
            <w:pPr>
              <w:spacing w:after="80" w:before="80"/>
            </w:pPr>
            <w:r>
              <w:rPr>
                <w:sz w:val="18"/>
              </w:rPr>
              <w:t>27</w:t>
            </w:r>
          </w:p>
        </w:tc>
      </w:tr>
      <w:tr>
        <w:trPr>
          <w:cantSplit/>
        </w:trPr>
        <w:tc>
          <w:tcPr>
            <w:tcW w:type="dxa" w:w="2592"/>
          </w:tcPr>
          <w:p>
            <w:pPr>
              <w:spacing w:after="80" w:before="80"/>
            </w:pPr>
            <w:r>
              <w:rPr>
                <w:sz w:val="18"/>
              </w:rPr>
              <w:t>Servicios auxiliares e infraestructura</w:t>
            </w:r>
          </w:p>
        </w:tc>
        <w:tc>
          <w:tcPr>
            <w:tcW w:type="dxa" w:w="5328"/>
          </w:tcPr>
          <w:p>
            <w:pPr>
              <w:spacing w:after="80" w:before="80"/>
            </w:pPr>
            <w:r>
              <w:rPr>
                <w:sz w:val="18"/>
              </w:rPr>
              <w:t>Ocho módulos adicionales</w:t>
            </w:r>
          </w:p>
        </w:tc>
        <w:tc>
          <w:tcPr>
            <w:tcW w:type="dxa" w:w="864"/>
          </w:tcPr>
          <w:p>
            <w:pPr>
              <w:spacing w:after="80" w:before="80"/>
            </w:pPr>
            <w:r>
              <w:rPr>
                <w:sz w:val="18"/>
              </w:rPr>
              <w:t>48</w:t>
            </w:r>
          </w:p>
        </w:tc>
      </w:tr>
      <w:tr>
        <w:trPr>
          <w:cantSplit/>
        </w:trPr>
        <w:tc>
          <w:tcPr>
            <w:tcW w:type="dxa" w:w="2592"/>
          </w:tcPr>
          <w:p>
            <w:pPr>
              <w:spacing w:after="80" w:before="80"/>
            </w:pPr>
            <w:r>
              <w:rPr>
                <w:sz w:val="18"/>
              </w:rPr>
              <w:t>Total</w:t>
            </w:r>
          </w:p>
        </w:tc>
        <w:tc>
          <w:tcPr>
            <w:tcW w:type="dxa" w:w="5328"/>
          </w:tcPr>
          <w:p>
            <w:pPr>
              <w:spacing w:after="80" w:before="80"/>
            </w:pPr>
            <w:r>
              <w:rPr>
                <w:sz w:val="18"/>
              </w:rPr>
              <w:t>Trece módulos con pruebas</w:t>
            </w:r>
          </w:p>
        </w:tc>
        <w:tc>
          <w:tcPr>
            <w:tcW w:type="dxa" w:w="864"/>
          </w:tcPr>
          <w:p>
            <w:pPr>
              <w:spacing w:after="80" w:before="80"/>
            </w:pPr>
            <w:r>
              <w:rPr>
                <w:sz w:val="18"/>
              </w:rPr>
              <w:t>138</w:t>
            </w:r>
          </w:p>
        </w:tc>
      </w:tr>
    </w:tbl>
    <w:p/>
    <w:p>
      <w:r>
        <w:t>Estas pruebas no equivalen a una demostración integral aprobada. No se ejecutó el despliegue completo con PostgreSQL porque el motor Linux de Docker no estuvo disponible. La comprobación de CORS se hizo en el contexto WebFlux sin abrir un puerto. La interfaz aún utiliza datos de demostración, por lo que no debe presentarse como evidencia de integración terminada.</w:t>
      </w:r>
    </w:p>
    <w:p>
      <w:pPr>
        <w:pStyle w:val="Heading2"/>
      </w:pPr>
      <w:r>
        <w:t>Secuencia sugerida para la sustentación</w:t>
      </w:r>
    </w:p>
    <w:p>
      <w:r>
        <w:t>1. Mostrar los cinco proyectos y explicar la responsabilidad de cada uno. Identificar que catalog-service representa Productos y que /api/sales en order-service representa Ventas.</w:t>
      </w:r>
    </w:p>
    <w:p>
      <w:r>
        <w:t>2. Iniciar sesión, crear un operador y comprobar que un usuario sin rol administrador no puede administrar cuentas. Registrar un proveedor y un cliente; consultar sus datos por NIT y cédula.</w:t>
      </w:r>
    </w:p>
    <w:p>
      <w:r>
        <w:t>3. Cargar un CSV válido y consultar un producto. Intentar una carga inválida y comprobar que los productos anteriores continúan disponibles.</w:t>
      </w:r>
    </w:p>
    <w:p>
      <w:r>
        <w:t>4. Registrar una venta con diferentes tasas de IVA. Consultar el consecutivo y sus detalles. Repetir la misma solicitud y verificar que no aparece una segunda venta.</w:t>
      </w:r>
    </w:p>
    <w:p>
      <w:r>
        <w:t>5. Consultar los reportes de usuarios, clientes y ventas por cliente. Contrastar el total consolidado con la venta recién registrada. Mostrar las pruebas y las capturas de la sesión con Junie.</w:t>
      </w:r>
    </w:p>
    <w:p>
      <w:pPr>
        <w:pStyle w:val="Heading2"/>
      </w:pPr>
      <w:r>
        <w:t>Comandos de preparación</w:t>
      </w:r>
    </w:p>
    <w:p>
      <w:pPr>
        <w:spacing w:after="160"/>
      </w:pPr>
      <w:r>
        <w:rPr>
          <w:rFonts w:ascii="Consolas" w:hAnsi="Consolas"/>
          <w:sz w:val="17"/>
        </w:rPr>
        <w:t>./scripts/setup-env.ps1</w:t>
        <w:br/>
        <w:t>docker compose up --build -d</w:t>
        <w:br/>
        <w:t>./services/mvnw.cmd -B -f services/pom.xml clean verify</w:t>
      </w:r>
    </w:p>
    <w:p>
      <w:r>
        <w:t>Se requiere Docker Desktop con motor Linux activo. El gateway se consulta en http://localhost:8080. El documento docs/BACKEND.md contiene los cuerpos JSON, rutas y variables necesarias. Las claves de .env y los tokens deben ocultarse en las capturas.</w:t>
      </w:r>
    </w:p>
    <w:p>
      <w:r>
        <w:br w:type="page"/>
      </w:r>
    </w:p>
    <w:p>
      <w:pPr>
        <w:pStyle w:val="Heading1"/>
      </w:pPr>
      <w:r>
        <w:t>8 Evidencias para anexar</w:t>
      </w:r>
    </w:p>
    <w:p>
      <w:r>
        <w:t>Las siguientes evidencias permiten relacionar la explicación con resultados visibles. Deben insertarse capturas obtenidas de la ejecución y de la sesión real con Junie. Los espacios no representan pantallazos ya realizados.</w:t>
      </w:r>
    </w:p>
    <w:p>
      <w:r>
        <w:rPr>
          <w:b/>
        </w:rPr>
        <w:t>Captura 1 Organización de los cinco microservicios</w:t>
      </w:r>
    </w:p>
    <w:p>
      <w:r>
        <w:t>Mostrar el árbol del proyecto con customer-service, user-service, supplier-service, catalog-service y order-service. Señalar sus aplicaciones Spring Boot y archivos de configuración.</w:t>
      </w:r>
    </w:p>
    <w:p>
      <w:pPr>
        <w:spacing w:before="240" w:after="320"/>
      </w:pPr>
      <w:r>
        <w:rPr>
          <w:i/>
          <w:color w:val="5F5F5F"/>
        </w:rPr>
        <w:t>Espacio para insertar la captura real</w:t>
      </w:r>
    </w:p>
    <w:p>
      <w:r>
        <w:rPr>
          <w:b/>
        </w:rPr>
        <w:t>Captura 2 Consulta y persistencia de datos</w:t>
      </w:r>
    </w:p>
    <w:p>
      <w:r>
        <w:t>Mostrar la creación y posterior consulta de un cliente o proveedor. Deben verse la ruta, el código de respuesta y el dato recuperado; ocultar el encabezado Authorization.</w:t>
      </w:r>
    </w:p>
    <w:p>
      <w:pPr>
        <w:spacing w:before="240" w:after="320"/>
      </w:pPr>
      <w:r>
        <w:rPr>
          <w:i/>
          <w:color w:val="5F5F5F"/>
        </w:rPr>
        <w:t>Espacio para insertar la captura real</w:t>
      </w:r>
    </w:p>
    <w:p>
      <w:r>
        <w:rPr>
          <w:b/>
        </w:rPr>
        <w:t>Captura 3 Carga CSV y venta con IVA individual</w:t>
      </w:r>
    </w:p>
    <w:p>
      <w:r>
        <w:t>Mostrar un archivo de prueba válido, la respuesta de importación y una venta con sus totales. Añadir una captura de error por archivo inválido y la consulta que confirma la conservación de datos.</w:t>
      </w:r>
    </w:p>
    <w:p>
      <w:pPr>
        <w:spacing w:before="240" w:after="320"/>
      </w:pPr>
      <w:r>
        <w:rPr>
          <w:i/>
          <w:color w:val="5F5F5F"/>
        </w:rPr>
        <w:t>Espacio para insertar la captura real</w:t>
      </w:r>
    </w:p>
    <w:p>
      <w:r>
        <w:rPr>
          <w:b/>
        </w:rPr>
        <w:t>Captura 4 Pruebas y refinamiento con Junie</w:t>
      </w:r>
    </w:p>
    <w:p>
      <w:r>
        <w:t>Mostrar los resultados de las pruebas y una petición real a Junie, su propuesta, una corrección solicitada y los cambios verificados. No reemplazar esta evidencia por capturas de otra herramienta.</w:t>
      </w:r>
    </w:p>
    <w:p>
      <w:pPr>
        <w:spacing w:before="240" w:after="320"/>
      </w:pPr>
      <w:r>
        <w:rPr>
          <w:i/>
          <w:color w:val="5F5F5F"/>
        </w:rPr>
        <w:t>Espacio para insertar la captura real</w:t>
      </w:r>
    </w:p>
    <w:p>
      <w:pPr>
        <w:pStyle w:val="Heading2"/>
      </w:pPr>
      <w:r>
        <w:t>Lista de revisión antes de entregar</w:t>
      </w:r>
    </w:p>
    <w:p>
      <w:r>
        <w:t>Confirmar los datos de portada; adaptar las explicaciones a la forma propia de expresarse; ejecutar y documentar Junie; integrar o delimitar claramente el estado de la interfaz; comprobar el despliegue; insertar capturas legibles con pie de figura y resultado observado.</w:t>
      </w:r>
    </w:p>
    <w:p>
      <w:r>
        <w:br w:type="page"/>
      </w:r>
    </w:p>
    <w:p>
      <w:pPr>
        <w:pStyle w:val="Heading1"/>
      </w:pPr>
      <w:r>
        <w:t>9 Conclusiones y referencias</w:t>
      </w:r>
    </w:p>
    <w:p>
      <w:r>
        <w:t>La división en microservicios permite entender la tienda como un conjunto de responsabilidades. En esta implementación cada dominio principal tiene una API y una aplicación separada. La venta reúne información de varios servicios, pero conserva su cabecera y detalle en una transacción propia. Esa separación facilita localizar cambios y probar reglas sin concentrar todo el negocio en un único controlador.</w:t>
      </w:r>
    </w:p>
    <w:p>
      <w:r>
        <w:t>La asistencia de IA resultó útil para traducir requisitos a código y pruebas, pero la revisión fue necesaria para detectar desvíos del alcance y errores que una interfaz visual no revela. Lo decisivo fue convertir solicitudes generales en condiciones observables: datos persistentes, proveedores válidos, IVA por producto, respuestas de error e idempotencia.</w:t>
      </w:r>
    </w:p>
    <w:p>
      <w:r>
        <w:t>La solución presenta prácticas apropiadas para una base académica, con límites pendientes de resolver. Para completar la entrega se requiere demostrar el funcionamiento integrado, realizar el trabajo solicitado con Junie y anexar evidencias auténticas. La existencia de pruebas automatizadas respalda el backend, pero no permite afirmar que esos pasos ya se realizaron.</w:t>
      </w:r>
    </w:p>
    <w:p>
      <w:pPr>
        <w:pStyle w:val="Heading2"/>
      </w:pPr>
      <w:r>
        <w:t>Referencias del proyecto</w:t>
      </w:r>
    </w:p>
    <w:p>
      <w:r>
        <w:t>Camargo L., Ricardo D. Proyecto de software para gestionar transacciones comerciales de una tienda genérica. Documento del curso, versión 4, 20 de julio de 2021. Secciones funcionales, historias de usuario, casos de prueba, modelo de datos y especificación de APIs. Archivo compartido: Proyecto Desarrollo Software - Tienda Genérica Virtual.pdf.</w:t>
      </w:r>
    </w:p>
    <w:p>
      <w:r>
        <w:t>Consigna de evaluación suministrada para Sistemas Distribuidos 2026 2. Distribución: demostración funcional 50 %, documentación de microservicios y trabajo con Junie 25 %, evaluación de arquitectura y buenas prácticas 25 %.</w:t>
      </w:r>
    </w:p>
    <w:p>
      <w:r>
        <w:t>Proyecto local Tienda Genérica. Archivos AGENTS.md y REQUERIMIENTOS_MICROSERVICIOS.md; documentación docs/BACKEND.md, docs/REQUISITOS_BACKEND.md y docs/VALIDACION_BACKEND.md; reportes Maven en services/*/target/surefire-reports.</w:t>
      </w:r>
    </w:p>
    <w:p>
      <w:pPr>
        <w:pStyle w:val="Heading2"/>
      </w:pPr>
      <w:r>
        <w:t>Archivos que respaldan los ejemplos</w:t>
      </w:r>
    </w:p>
    <w:tbl>
      <w:tblPr>
        <w:tblStyle w:val="TableGrid"/>
        <w:tblW w:type="auto" w:w="0"/>
        <w:tblLook w:firstColumn="1" w:firstRow="1" w:lastColumn="0" w:lastRow="0" w:noHBand="0" w:noVBand="1" w:val="04A0"/>
      </w:tblPr>
      <w:tblGrid>
        <w:gridCol w:w="4802"/>
        <w:gridCol w:w="4802"/>
      </w:tblGrid>
      <w:tr>
        <w:trPr>
          <w:cantSplit/>
          <w:tblHeader/>
        </w:trPr>
        <w:tc>
          <w:tcPr>
            <w:tcW w:type="dxa" w:w="3024"/>
            <w:shd w:fill="E7EDF2"/>
          </w:tcPr>
          <w:p>
            <w:pPr>
              <w:spacing w:after="80" w:before="80"/>
            </w:pPr>
            <w:r>
              <w:rPr>
                <w:b/>
                <w:sz w:val="18"/>
              </w:rPr>
              <w:t>Tema</w:t>
            </w:r>
          </w:p>
        </w:tc>
        <w:tc>
          <w:tcPr>
            <w:tcW w:type="dxa" w:w="6048"/>
            <w:shd w:fill="E7EDF2"/>
          </w:tcPr>
          <w:p>
            <w:pPr>
              <w:spacing w:after="80" w:before="80"/>
            </w:pPr>
            <w:r>
              <w:rPr>
                <w:b/>
                <w:sz w:val="18"/>
              </w:rPr>
              <w:t>Archivo o clase</w:t>
            </w:r>
          </w:p>
        </w:tc>
      </w:tr>
      <w:tr>
        <w:trPr>
          <w:cantSplit/>
        </w:trPr>
        <w:tc>
          <w:tcPr>
            <w:tcW w:type="dxa" w:w="3024"/>
          </w:tcPr>
          <w:p>
            <w:pPr>
              <w:spacing w:after="80" w:before="80"/>
            </w:pPr>
            <w:r>
              <w:rPr>
                <w:sz w:val="18"/>
              </w:rPr>
              <w:t>Usuarios</w:t>
            </w:r>
          </w:p>
        </w:tc>
        <w:tc>
          <w:tcPr>
            <w:tcW w:type="dxa" w:w="6048"/>
          </w:tcPr>
          <w:p>
            <w:pPr>
              <w:spacing w:after="80" w:before="80"/>
            </w:pPr>
            <w:r>
              <w:rPr>
                <w:sz w:val="18"/>
              </w:rPr>
              <w:t>UserService y SecurityConfig en user-service</w:t>
            </w:r>
          </w:p>
        </w:tc>
      </w:tr>
      <w:tr>
        <w:trPr>
          <w:cantSplit/>
        </w:trPr>
        <w:tc>
          <w:tcPr>
            <w:tcW w:type="dxa" w:w="3024"/>
          </w:tcPr>
          <w:p>
            <w:pPr>
              <w:spacing w:after="80" w:before="80"/>
            </w:pPr>
            <w:r>
              <w:rPr>
                <w:sz w:val="18"/>
              </w:rPr>
              <w:t>Clientes y proveedores</w:t>
            </w:r>
          </w:p>
        </w:tc>
        <w:tc>
          <w:tcPr>
            <w:tcW w:type="dxa" w:w="6048"/>
          </w:tcPr>
          <w:p>
            <w:pPr>
              <w:spacing w:after="80" w:before="80"/>
            </w:pPr>
            <w:r>
              <w:rPr>
                <w:sz w:val="18"/>
              </w:rPr>
              <w:t>CustomerService y SupplierService</w:t>
            </w:r>
          </w:p>
        </w:tc>
      </w:tr>
      <w:tr>
        <w:trPr>
          <w:cantSplit/>
        </w:trPr>
        <w:tc>
          <w:tcPr>
            <w:tcW w:type="dxa" w:w="3024"/>
          </w:tcPr>
          <w:p>
            <w:pPr>
              <w:spacing w:after="80" w:before="80"/>
            </w:pPr>
            <w:r>
              <w:rPr>
                <w:sz w:val="18"/>
              </w:rPr>
              <w:t>Validación y carga CSV</w:t>
            </w:r>
          </w:p>
        </w:tc>
        <w:tc>
          <w:tcPr>
            <w:tcW w:type="dxa" w:w="6048"/>
          </w:tcPr>
          <w:p>
            <w:pPr>
              <w:spacing w:after="80" w:before="80"/>
            </w:pPr>
            <w:r>
              <w:rPr>
                <w:sz w:val="18"/>
              </w:rPr>
              <w:t>ProductCsvParser y ProductImportService</w:t>
            </w:r>
          </w:p>
        </w:tc>
      </w:tr>
      <w:tr>
        <w:trPr>
          <w:cantSplit/>
        </w:trPr>
        <w:tc>
          <w:tcPr>
            <w:tcW w:type="dxa" w:w="3024"/>
          </w:tcPr>
          <w:p>
            <w:pPr>
              <w:spacing w:after="80" w:before="80"/>
            </w:pPr>
            <w:r>
              <w:rPr>
                <w:sz w:val="18"/>
              </w:rPr>
              <w:t>Concurrencia del catálogo</w:t>
            </w:r>
          </w:p>
        </w:tc>
        <w:tc>
          <w:tcPr>
            <w:tcW w:type="dxa" w:w="6048"/>
          </w:tcPr>
          <w:p>
            <w:pPr>
              <w:spacing w:after="80" w:before="80"/>
            </w:pPr>
            <w:r>
              <w:rPr>
                <w:sz w:val="18"/>
              </w:rPr>
              <w:t>CatalogMutex y CsvConcurrencyTest</w:t>
            </w:r>
          </w:p>
        </w:tc>
      </w:tr>
      <w:tr>
        <w:trPr>
          <w:cantSplit/>
        </w:trPr>
        <w:tc>
          <w:tcPr>
            <w:tcW w:type="dxa" w:w="3024"/>
          </w:tcPr>
          <w:p>
            <w:pPr>
              <w:spacing w:after="80" w:before="80"/>
            </w:pPr>
            <w:r>
              <w:rPr>
                <w:sz w:val="18"/>
              </w:rPr>
              <w:t>Venta y cálculo de impuestos</w:t>
            </w:r>
          </w:p>
        </w:tc>
        <w:tc>
          <w:tcPr>
            <w:tcW w:type="dxa" w:w="6048"/>
          </w:tcPr>
          <w:p>
            <w:pPr>
              <w:spacing w:after="80" w:before="80"/>
            </w:pPr>
            <w:r>
              <w:rPr>
                <w:sz w:val="18"/>
              </w:rPr>
              <w:t>SaleService y SaleLine</w:t>
            </w:r>
          </w:p>
        </w:tc>
      </w:tr>
      <w:tr>
        <w:trPr>
          <w:cantSplit/>
        </w:trPr>
        <w:tc>
          <w:tcPr>
            <w:tcW w:type="dxa" w:w="3024"/>
          </w:tcPr>
          <w:p>
            <w:pPr>
              <w:spacing w:after="80" w:before="80"/>
            </w:pPr>
            <w:r>
              <w:rPr>
                <w:sz w:val="18"/>
              </w:rPr>
              <w:t>Persistencia y reintentos</w:t>
            </w:r>
          </w:p>
        </w:tc>
        <w:tc>
          <w:tcPr>
            <w:tcW w:type="dxa" w:w="6048"/>
          </w:tcPr>
          <w:p>
            <w:pPr>
              <w:spacing w:after="80" w:before="80"/>
            </w:pPr>
            <w:r>
              <w:rPr>
                <w:sz w:val="18"/>
              </w:rPr>
              <w:t>SalesPersistenceTest y PaymentInsertTest</w:t>
            </w:r>
          </w:p>
        </w:tc>
      </w:tr>
      <w:tr>
        <w:trPr>
          <w:cantSplit/>
        </w:trPr>
        <w:tc>
          <w:tcPr>
            <w:tcW w:type="dxa" w:w="3024"/>
          </w:tcPr>
          <w:p>
            <w:pPr>
              <w:spacing w:after="80" w:before="80"/>
            </w:pPr>
            <w:r>
              <w:rPr>
                <w:sz w:val="18"/>
              </w:rPr>
              <w:t>Reporte consolidado</w:t>
            </w:r>
          </w:p>
        </w:tc>
        <w:tc>
          <w:tcPr>
            <w:tcW w:type="dxa" w:w="6048"/>
          </w:tcPr>
          <w:p>
            <w:pPr>
              <w:spacing w:after="80" w:before="80"/>
            </w:pPr>
            <w:r>
              <w:rPr>
                <w:sz w:val="18"/>
              </w:rPr>
              <w:t>ReportService en admin-service</w:t>
            </w:r>
          </w:p>
        </w:tc>
      </w:tr>
    </w:tbl>
    <w:p/>
    <w:p>
      <w:r>
        <w:t>El informe describe el estado del proyecto y diferencia las funciones implementadas de las actividades aún pendientes para la presentación. Las capturas y la explicación de la experiencia con Junie se deben completar después de realizar esa actividad.</w:t>
      </w:r>
    </w:p>
    <w:sectPr w:rsidR="00FC693F" w:rsidRPr="0006063C" w:rsidSect="00034616">
      <w:footerReference w:type="default" r:id="rId9"/>
      <w:pgSz w:w="11909" w:h="16834"/>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Tienda Genérica Virtual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Tienda Genérica Virtual mediante microservicios</dc:title>
  <dc:subject>Informe académico de funcionalidad arquitectura y desarrollo asistido por IA</dc:subject>
  <dc:creator>Luisa Rincón</dc:creator>
  <cp:keywords/>
  <dc:description>generated by python-docx</dc:description>
  <cp:lastModifiedBy/>
  <cp:revision>1</cp:revision>
  <dcterms:created xsi:type="dcterms:W3CDTF">2013-12-23T23:15:00Z</dcterms:created>
  <dcterms:modified xsi:type="dcterms:W3CDTF">2013-12-23T23:15:00Z</dcterms:modified>
  <cp:category/>
</cp:coreProperties>
</file>