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</w:pPr>
    </w:p>
    <w:tbl>
      <w:tblPr>
        <w:tblW w:type="dxa" w:w="9072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072"/>
      </w:tblGrid>
      <w:tr>
        <w:tc>
          <w:tcPr>
            <w:tcW w:type="dxa" w:w="9072"/>
            <w:shd w:fill="1B3A6B" w:color="auto" w:val="clear"/>
            <w:tcMar>
              <w:top w:type="dxa" w:w="400"/>
              <w:left w:type="dxa" w:w="380"/>
              <w:bottom w:type="dxa" w:w="400"/>
              <w:right w:type="dxa" w:w="380"/>
            </w:tcMar>
          </w:tcPr>
          <w:p>
            <w:pPr>
              <w:spacing w:after="50" w:line="29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52"/>
                <w:szCs w:val="52"/>
              </w:rPr>
              <w:t xml:space="preserve">IES</w:t>
            </w:r>
          </w:p>
          <w:p>
            <w:pPr>
              <w:spacing w:after="280" w:line="2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C9D8EE"/>
                <w:spacing w:val="20"/>
                <w:sz w:val="19"/>
                <w:szCs w:val="19"/>
              </w:rPr>
              <w:t xml:space="preserve">Intelligent Electronic Solutions</w:t>
            </w:r>
          </w:p>
          <w:p>
            <w:pPr>
              <w:spacing w:after="110" w:line="3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38"/>
                <w:szCs w:val="38"/>
              </w:rPr>
              <w:t xml:space="preserve">Formalización del Proceso Contable</w:t>
            </w:r>
          </w:p>
          <w:p>
            <w:pPr>
              <w:spacing w:after="80" w:line="29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C9D8EE"/>
                <w:sz w:val="24"/>
                <w:szCs w:val="24"/>
              </w:rPr>
              <w:t xml:space="preserve">Descripción de cargos, cargas de trabajo y controles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9FB8DA"/>
                <w:sz w:val="19"/>
                <w:szCs w:val="19"/>
              </w:rPr>
              <w:t xml:space="preserve">Documento presentado para aval de Recursos Humanos</w:t>
            </w:r>
          </w:p>
        </w:tc>
      </w:tr>
    </w:tbl>
    <w:p>
      <w:pPr>
        <w:spacing w:after="260"/>
      </w:pPr>
    </w:p>
    <w:tbl>
      <w:tblPr>
        <w:tblW w:type="dxa" w:w="9072"/>
        <w:tblBorders>
          <w:top w:val="single" w:color="CBD5E1" w:sz="2"/>
          <w:left w:val="single" w:color="CBD5E1" w:sz="2"/>
          <w:bottom w:val="single" w:color="CBD5E1" w:sz="2"/>
          <w:right w:val="single" w:color="CBD5E1" w:sz="2"/>
          <w:insideH w:val="single" w:color="CBD5E1" w:sz="2"/>
          <w:insideV w:val="single" w:color="CBD5E1" w:sz="2"/>
        </w:tblBorders>
      </w:tblPr>
      <w:tblGrid>
        <w:gridCol w:w="2500"/>
        <w:gridCol w:w="6572"/>
      </w:tblGrid>
      <w:tr>
        <w:trPr>
          <w:tblHeader/>
        </w:trPr>
        <w:tc>
          <w:tcPr>
            <w:tcW w:type="dxa" w:w="2500"/>
            <w:shd w:fill="1B3A6B" w:color="auto" w:val="clear"/>
            <w:tcMar>
              <w:top w:type="dxa" w:w="78"/>
              <w:left w:type="dxa" w:w="120"/>
              <w:bottom w:type="dxa" w:w="78"/>
              <w:right w:type="dxa" w:w="12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2"/>
                <w:sz w:val="18"/>
                <w:szCs w:val="18"/>
              </w:rPr>
              <w:t xml:space="preserve">Campo</w:t>
            </w:r>
          </w:p>
        </w:tc>
        <w:tc>
          <w:tcPr>
            <w:tcW w:type="dxa" w:w="6572"/>
            <w:shd w:fill="1B3A6B" w:color="auto" w:val="clear"/>
            <w:tcMar>
              <w:top w:type="dxa" w:w="78"/>
              <w:left w:type="dxa" w:w="120"/>
              <w:bottom w:type="dxa" w:w="78"/>
              <w:right w:type="dxa" w:w="12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2"/>
                <w:sz w:val="18"/>
                <w:szCs w:val="18"/>
              </w:rPr>
              <w:t xml:space="preserve">Detalle</w:t>
            </w:r>
          </w:p>
        </w:tc>
      </w:tr>
      <w:tr>
        <w:tc>
          <w:tcPr>
            <w:tcW w:type="dxa" w:w="25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2540"/>
                <w:sz w:val="18"/>
                <w:szCs w:val="18"/>
              </w:rPr>
              <w:t xml:space="preserve">Código</w:t>
            </w:r>
          </w:p>
        </w:tc>
        <w:tc>
          <w:tcPr>
            <w:tcW w:type="dxa" w:w="6572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IES-CT-PRO-002</w:t>
            </w:r>
          </w:p>
        </w:tc>
      </w:tr>
      <w:tr>
        <w:tc>
          <w:tcPr>
            <w:tcW w:type="dxa" w:w="2500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2540"/>
                <w:sz w:val="18"/>
                <w:szCs w:val="18"/>
              </w:rPr>
              <w:t xml:space="preserve">Versión</w:t>
            </w:r>
          </w:p>
        </w:tc>
        <w:tc>
          <w:tcPr>
            <w:tcW w:type="dxa" w:w="6572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type="dxa" w:w="25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2540"/>
                <w:sz w:val="18"/>
                <w:szCs w:val="18"/>
              </w:rPr>
              <w:t xml:space="preserve">Fecha de emisión</w:t>
            </w:r>
          </w:p>
        </w:tc>
        <w:tc>
          <w:tcPr>
            <w:tcW w:type="dxa" w:w="6572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10 de agosto de 2026</w:t>
            </w:r>
          </w:p>
        </w:tc>
      </w:tr>
      <w:tr>
        <w:tc>
          <w:tcPr>
            <w:tcW w:type="dxa" w:w="2500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2540"/>
                <w:sz w:val="18"/>
                <w:szCs w:val="18"/>
              </w:rPr>
              <w:t xml:space="preserve">Elaborado por</w:t>
            </w:r>
          </w:p>
        </w:tc>
        <w:tc>
          <w:tcPr>
            <w:tcW w:type="dxa" w:w="6572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Cristian Bernal — Contador</w:t>
            </w:r>
          </w:p>
        </w:tc>
      </w:tr>
      <w:tr>
        <w:tc>
          <w:tcPr>
            <w:tcW w:type="dxa" w:w="25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2540"/>
                <w:sz w:val="18"/>
                <w:szCs w:val="18"/>
              </w:rPr>
              <w:t xml:space="preserve">Presentado a</w:t>
            </w:r>
          </w:p>
        </w:tc>
        <w:tc>
          <w:tcPr>
            <w:tcW w:type="dxa" w:w="6572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Recursos Humanos · Gerencia</w:t>
            </w:r>
          </w:p>
        </w:tc>
      </w:tr>
      <w:tr>
        <w:tc>
          <w:tcPr>
            <w:tcW w:type="dxa" w:w="2500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2540"/>
                <w:sz w:val="18"/>
                <w:szCs w:val="18"/>
              </w:rPr>
              <w:t xml:space="preserve">Objeto del aval</w:t>
            </w:r>
          </w:p>
        </w:tc>
        <w:tc>
          <w:tcPr>
            <w:tcW w:type="dxa" w:w="6572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Validación de la descripción de cargos, la distribución de cargas y los controles del proceso contable mensual</w:t>
            </w:r>
          </w:p>
        </w:tc>
      </w:tr>
      <w:tr>
        <w:tc>
          <w:tcPr>
            <w:tcW w:type="dxa" w:w="25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2540"/>
                <w:sz w:val="18"/>
                <w:szCs w:val="18"/>
              </w:rPr>
              <w:t xml:space="preserve">Vigencia</w:t>
            </w:r>
          </w:p>
        </w:tc>
        <w:tc>
          <w:tcPr>
            <w:tcW w:type="dxa" w:w="6572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Hasta nueva versión. Revisión sugerida: anual o ante cambio en la estructura del equipo</w:t>
            </w:r>
          </w:p>
        </w:tc>
      </w:tr>
    </w:tbl>
    <w:p>
      <w:r>
        <w:br w:type="page"/>
      </w:r>
    </w:p>
    <w:tbl>
      <w:tblPr>
        <w:tblW w:type="dxa" w:w="9072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072"/>
      </w:tblGrid>
      <w:tr>
        <w:tc>
          <w:tcPr>
            <w:tcW w:type="dxa" w:w="9072"/>
            <w:shd w:fill="1B3A6B" w:color="auto" w:val="clear"/>
            <w:tcMar>
              <w:top w:type="dxa" w:w="95"/>
              <w:left w:type="dxa" w:w="190"/>
              <w:bottom w:type="dxa" w:w="95"/>
              <w:right w:type="dxa" w:w="1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1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4"/>
                <w:sz w:val="22"/>
                <w:szCs w:val="22"/>
              </w:rPr>
              <w:t xml:space="preserve">Objeto y alcance</w:t>
            </w:r>
          </w:p>
        </w:tc>
      </w:tr>
    </w:tbl>
    <w:p>
      <w:pPr>
        <w:spacing w:after="110"/>
      </w:pPr>
    </w:p>
    <w:p>
      <w:pPr>
        <w:pBdr>
          <w:bottom w:val="single" w:color="CBD5E1" w:sz="6" w:space="6"/>
        </w:pBdr>
        <w:spacing w:after="80" w:before="200" w:line="25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3A6B"/>
          <w:sz w:val="23"/>
          <w:szCs w:val="23"/>
        </w:rPr>
        <w:t xml:space="preserve">Objeto</w:t>
      </w:r>
    </w:p>
    <w:p>
      <w:pPr>
        <w:spacing w:after="95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1"/>
          <w:szCs w:val="21"/>
        </w:rPr>
        <w:t xml:space="preserve">Documentar formalmente el proceso contable mensual de IES: qué hace cada posición, en qué fechas, con qué carga medida y bajo qué controles. El documento se presenta a Recursos Humanos para que avale la descripción de cargos y la distribución de cargas antes de su adopción como estándar de trabajo.</w:t>
      </w:r>
    </w:p>
    <w:p>
      <w:pPr>
        <w:pBdr>
          <w:bottom w:val="single" w:color="CBD5E1" w:sz="6" w:space="6"/>
        </w:pBdr>
        <w:spacing w:after="80" w:before="200" w:line="25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3A6B"/>
          <w:sz w:val="23"/>
          <w:szCs w:val="23"/>
        </w:rPr>
        <w:t xml:space="preserve">Alcance</w:t>
      </w:r>
    </w:p>
    <w:p>
      <w:pPr>
        <w:spacing w:after="95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1"/>
          <w:szCs w:val="21"/>
        </w:rPr>
        <w:t xml:space="preserve">Cubre las cinco posiciones que intervienen en el ciclo contable mensual: área comercial, automatización y facturación electrónica, tesorería, auxiliar contable y contaduría. Comprende el ciclo completo, desde la entrega de insumos de facturación hasta la entrega del informe a socios.</w:t>
      </w:r>
    </w:p>
    <w:p>
      <w:pPr>
        <w:pBdr>
          <w:bottom w:val="single" w:color="CBD5E1" w:sz="6" w:space="6"/>
        </w:pBdr>
        <w:spacing w:after="80" w:before="200" w:line="25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3A6B"/>
          <w:sz w:val="23"/>
          <w:szCs w:val="23"/>
        </w:rPr>
        <w:t xml:space="preserve">Lo que este documento no cubre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0"/>
          <w:szCs w:val="20"/>
        </w:rPr>
        <w:t xml:space="preserve">Asignación salarial, escalas ni beneficios. Solo describe funciones y cargas.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0"/>
          <w:szCs w:val="20"/>
        </w:rPr>
        <w:t xml:space="preserve">Evaluación de desempeño individual. Los datos son de carga planificada, no de rendimiento.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0"/>
          <w:szCs w:val="20"/>
        </w:rPr>
        <w:t xml:space="preserve">Procesos de otras áreas que no intervienen en el ciclo contable mensual.</w:t>
      </w:r>
    </w:p>
    <w:p>
      <w:pPr>
        <w:pBdr>
          <w:bottom w:val="single" w:color="CBD5E1" w:sz="6" w:space="6"/>
        </w:pBdr>
        <w:spacing w:after="80" w:before="200" w:line="25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3A6B"/>
          <w:sz w:val="23"/>
          <w:szCs w:val="23"/>
        </w:rPr>
        <w:t xml:space="preserve">Definiciones</w:t>
      </w:r>
    </w:p>
    <w:tbl>
      <w:tblPr>
        <w:tblW w:type="dxa" w:w="9072"/>
        <w:tblBorders>
          <w:top w:val="single" w:color="CBD5E1" w:sz="2"/>
          <w:left w:val="single" w:color="CBD5E1" w:sz="2"/>
          <w:bottom w:val="single" w:color="CBD5E1" w:sz="2"/>
          <w:right w:val="single" w:color="CBD5E1" w:sz="2"/>
          <w:insideH w:val="single" w:color="CBD5E1" w:sz="2"/>
          <w:insideV w:val="single" w:color="CBD5E1" w:sz="2"/>
        </w:tblBorders>
      </w:tblPr>
      <w:tblGrid>
        <w:gridCol w:w="2200"/>
        <w:gridCol w:w="6872"/>
      </w:tblGrid>
      <w:tr>
        <w:trPr>
          <w:tblHeader/>
        </w:trPr>
        <w:tc>
          <w:tcPr>
            <w:tcW w:type="dxa" w:w="2200"/>
            <w:shd w:fill="1B3A6B" w:color="auto" w:val="clear"/>
            <w:tcMar>
              <w:top w:type="dxa" w:w="78"/>
              <w:left w:type="dxa" w:w="120"/>
              <w:bottom w:type="dxa" w:w="78"/>
              <w:right w:type="dxa" w:w="12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2"/>
                <w:sz w:val="18"/>
                <w:szCs w:val="18"/>
              </w:rPr>
              <w:t xml:space="preserve">Término</w:t>
            </w:r>
          </w:p>
        </w:tc>
        <w:tc>
          <w:tcPr>
            <w:tcW w:type="dxa" w:w="6872"/>
            <w:shd w:fill="1B3A6B" w:color="auto" w:val="clear"/>
            <w:tcMar>
              <w:top w:type="dxa" w:w="78"/>
              <w:left w:type="dxa" w:w="120"/>
              <w:bottom w:type="dxa" w:w="78"/>
              <w:right w:type="dxa" w:w="12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2"/>
                <w:sz w:val="18"/>
                <w:szCs w:val="18"/>
              </w:rPr>
              <w:t xml:space="preserve">Definición</w:t>
            </w:r>
          </w:p>
        </w:tc>
      </w:tr>
      <w:tr>
        <w:tc>
          <w:tcPr>
            <w:tcW w:type="dxa" w:w="22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2540"/>
                <w:sz w:val="18"/>
                <w:szCs w:val="18"/>
              </w:rPr>
              <w:t xml:space="preserve">Días-tarea</w:t>
            </w:r>
          </w:p>
        </w:tc>
        <w:tc>
          <w:tcPr>
            <w:tcW w:type="dxa" w:w="6872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Suma de los días que cada tarea permanece abierta en el mes. Mide exposición y simultaneidad; no equivale a horas trabajadas.</w:t>
            </w:r>
          </w:p>
        </w:tc>
      </w:tr>
      <w:tr>
        <w:tc>
          <w:tcPr>
            <w:tcW w:type="dxa" w:w="2200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2540"/>
                <w:sz w:val="18"/>
                <w:szCs w:val="18"/>
              </w:rPr>
              <w:t xml:space="preserve">Ocupación</w:t>
            </w:r>
          </w:p>
        </w:tc>
        <w:tc>
          <w:tcPr>
            <w:tcW w:type="dxa" w:w="6872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Porcentaje de días del período en los que la persona tiene al menos una tarea abierta.</w:t>
            </w:r>
          </w:p>
        </w:tc>
      </w:tr>
      <w:tr>
        <w:tc>
          <w:tcPr>
            <w:tcW w:type="dxa" w:w="22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2540"/>
                <w:sz w:val="18"/>
                <w:szCs w:val="18"/>
              </w:rPr>
              <w:t xml:space="preserve">Pico</w:t>
            </w:r>
          </w:p>
        </w:tc>
        <w:tc>
          <w:tcPr>
            <w:tcW w:type="dxa" w:w="6872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Número máximo de tareas de una misma persona abiertas en un mismo día.</w:t>
            </w:r>
          </w:p>
        </w:tc>
      </w:tr>
      <w:tr>
        <w:tc>
          <w:tcPr>
            <w:tcW w:type="dxa" w:w="2200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2540"/>
                <w:sz w:val="18"/>
                <w:szCs w:val="18"/>
              </w:rPr>
              <w:t xml:space="preserve">Punto de cruce</w:t>
            </w:r>
          </w:p>
        </w:tc>
        <w:tc>
          <w:tcPr>
            <w:tcW w:type="dxa" w:w="6872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Momento en que el resultado de una posición es condición para que otra pueda avanzar.</w:t>
            </w:r>
          </w:p>
        </w:tc>
      </w:tr>
      <w:tr>
        <w:tc>
          <w:tcPr>
            <w:tcW w:type="dxa" w:w="22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2540"/>
                <w:sz w:val="18"/>
                <w:szCs w:val="18"/>
              </w:rPr>
              <w:t xml:space="preserve">Hito de fecha legal</w:t>
            </w:r>
          </w:p>
        </w:tc>
        <w:tc>
          <w:tcPr>
            <w:tcW w:type="dxa" w:w="6872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Obligación con vencimiento normativo que no admite aplazamiento.</w:t>
            </w:r>
          </w:p>
        </w:tc>
      </w:tr>
    </w:tbl>
    <w:p>
      <w:r>
        <w:br w:type="page"/>
      </w:r>
    </w:p>
    <w:tbl>
      <w:tblPr>
        <w:tblW w:type="dxa" w:w="9072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072"/>
      </w:tblGrid>
      <w:tr>
        <w:tc>
          <w:tcPr>
            <w:tcW w:type="dxa" w:w="9072"/>
            <w:shd w:fill="1B3A6B" w:color="auto" w:val="clear"/>
            <w:tcMar>
              <w:top w:type="dxa" w:w="95"/>
              <w:left w:type="dxa" w:w="190"/>
              <w:bottom w:type="dxa" w:w="95"/>
              <w:right w:type="dxa" w:w="1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2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4"/>
                <w:sz w:val="22"/>
                <w:szCs w:val="22"/>
              </w:rPr>
              <w:t xml:space="preserve">Marco normativo y obligaciones de fecha</w:t>
            </w:r>
          </w:p>
        </w:tc>
      </w:tr>
    </w:tbl>
    <w:p>
      <w:pPr>
        <w:spacing w:after="110"/>
      </w:pPr>
    </w:p>
    <w:p>
      <w:pPr>
        <w:spacing w:after="95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1"/>
          <w:szCs w:val="21"/>
        </w:rPr>
        <w:t xml:space="preserve">Parte de la carga del equipo no es discrecional: responde a obligaciones con vencimiento externo. Este es el elemento que Recursos Humanos debe considerar al valorar la distribución de la carga, porque son las fechas que no se pueden reprogramar.</w:t>
      </w:r>
    </w:p>
    <w:p>
      <w:pPr>
        <w:spacing w:after="100"/>
      </w:pPr>
    </w:p>
    <w:tbl>
      <w:tblPr>
        <w:tblW w:type="dxa" w:w="9072"/>
        <w:tblBorders>
          <w:top w:val="single" w:color="CBD5E1" w:sz="2"/>
          <w:left w:val="single" w:color="CBD5E1" w:sz="2"/>
          <w:bottom w:val="single" w:color="CBD5E1" w:sz="2"/>
          <w:right w:val="single" w:color="CBD5E1" w:sz="2"/>
          <w:insideH w:val="single" w:color="CBD5E1" w:sz="2"/>
          <w:insideV w:val="single" w:color="CBD5E1" w:sz="2"/>
        </w:tblBorders>
      </w:tblPr>
      <w:tblGrid>
        <w:gridCol w:w="2600"/>
        <w:gridCol w:w="2400"/>
        <w:gridCol w:w="4072"/>
      </w:tblGrid>
      <w:tr>
        <w:trPr>
          <w:tblHeader/>
        </w:trPr>
        <w:tc>
          <w:tcPr>
            <w:tcW w:type="dxa" w:w="2600"/>
            <w:shd w:fill="1B3A6B" w:color="auto" w:val="clear"/>
            <w:tcMar>
              <w:top w:type="dxa" w:w="78"/>
              <w:left w:type="dxa" w:w="120"/>
              <w:bottom w:type="dxa" w:w="78"/>
              <w:right w:type="dxa" w:w="12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2"/>
                <w:sz w:val="18"/>
                <w:szCs w:val="18"/>
              </w:rPr>
              <w:t xml:space="preserve">Obligación</w:t>
            </w:r>
          </w:p>
        </w:tc>
        <w:tc>
          <w:tcPr>
            <w:tcW w:type="dxa" w:w="2400"/>
            <w:shd w:fill="1B3A6B" w:color="auto" w:val="clear"/>
            <w:tcMar>
              <w:top w:type="dxa" w:w="78"/>
              <w:left w:type="dxa" w:w="120"/>
              <w:bottom w:type="dxa" w:w="78"/>
              <w:right w:type="dxa" w:w="12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2"/>
                <w:sz w:val="18"/>
                <w:szCs w:val="18"/>
              </w:rPr>
              <w:t xml:space="preserve">Responsable</w:t>
            </w:r>
          </w:p>
        </w:tc>
        <w:tc>
          <w:tcPr>
            <w:tcW w:type="dxa" w:w="4072"/>
            <w:shd w:fill="1B3A6B" w:color="auto" w:val="clear"/>
            <w:tcMar>
              <w:top w:type="dxa" w:w="78"/>
              <w:left w:type="dxa" w:w="120"/>
              <w:bottom w:type="dxa" w:w="78"/>
              <w:right w:type="dxa" w:w="12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2"/>
                <w:sz w:val="18"/>
                <w:szCs w:val="18"/>
              </w:rPr>
              <w:t xml:space="preserve">Ventana en el mes</w:t>
            </w:r>
          </w:p>
        </w:tc>
      </w:tr>
      <w:tr>
        <w:tc>
          <w:tcPr>
            <w:tcW w:type="dxa" w:w="26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2540"/>
                <w:sz w:val="18"/>
                <w:szCs w:val="18"/>
              </w:rPr>
              <w:t xml:space="preserve">Facturación electrónica ante la DIAN</w:t>
            </w:r>
          </w:p>
        </w:tc>
        <w:tc>
          <w:tcPr>
            <w:tcW w:type="dxa" w:w="24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Edgar Metaute</w:t>
            </w:r>
          </w:p>
        </w:tc>
        <w:tc>
          <w:tcPr>
            <w:tcW w:type="dxa" w:w="4072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Días 1 a 5</w:t>
            </w:r>
          </w:p>
        </w:tc>
      </w:tr>
      <w:tr>
        <w:tc>
          <w:tcPr>
            <w:tcW w:type="dxa" w:w="2600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2540"/>
                <w:sz w:val="18"/>
                <w:szCs w:val="18"/>
              </w:rPr>
              <w:t xml:space="preserve">Causación de seguridad social</w:t>
            </w:r>
          </w:p>
        </w:tc>
        <w:tc>
          <w:tcPr>
            <w:tcW w:type="dxa" w:w="2400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Luis S. Amador</w:t>
            </w:r>
          </w:p>
        </w:tc>
        <w:tc>
          <w:tcPr>
            <w:tcW w:type="dxa" w:w="4072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Días 10 a 13</w:t>
            </w:r>
          </w:p>
        </w:tc>
      </w:tr>
      <w:tr>
        <w:tc>
          <w:tcPr>
            <w:tcW w:type="dxa" w:w="26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2540"/>
                <w:sz w:val="18"/>
                <w:szCs w:val="18"/>
              </w:rPr>
              <w:t xml:space="preserve">Pago de seguridad social a las entidades</w:t>
            </w:r>
          </w:p>
        </w:tc>
        <w:tc>
          <w:tcPr>
            <w:tcW w:type="dxa" w:w="24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Isnardi Sanches</w:t>
            </w:r>
          </w:p>
        </w:tc>
        <w:tc>
          <w:tcPr>
            <w:tcW w:type="dxa" w:w="4072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Días 13 a 15</w:t>
            </w:r>
          </w:p>
        </w:tc>
      </w:tr>
      <w:tr>
        <w:tc>
          <w:tcPr>
            <w:tcW w:type="dxa" w:w="2600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2540"/>
                <w:sz w:val="18"/>
                <w:szCs w:val="18"/>
              </w:rPr>
              <w:t xml:space="preserve">Nómina primera quincena — causación</w:t>
            </w:r>
          </w:p>
        </w:tc>
        <w:tc>
          <w:tcPr>
            <w:tcW w:type="dxa" w:w="2400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Luis S. Amador</w:t>
            </w:r>
          </w:p>
        </w:tc>
        <w:tc>
          <w:tcPr>
            <w:tcW w:type="dxa" w:w="4072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Días 10 a 14</w:t>
            </w:r>
          </w:p>
        </w:tc>
      </w:tr>
      <w:tr>
        <w:tc>
          <w:tcPr>
            <w:tcW w:type="dxa" w:w="26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2540"/>
                <w:sz w:val="18"/>
                <w:szCs w:val="18"/>
              </w:rPr>
              <w:t xml:space="preserve">Nómina primera quincena — desembolso</w:t>
            </w:r>
          </w:p>
        </w:tc>
        <w:tc>
          <w:tcPr>
            <w:tcW w:type="dxa" w:w="24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Isnardi Sanches</w:t>
            </w:r>
          </w:p>
        </w:tc>
        <w:tc>
          <w:tcPr>
            <w:tcW w:type="dxa" w:w="4072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Días 14 a 16</w:t>
            </w:r>
          </w:p>
        </w:tc>
      </w:tr>
      <w:tr>
        <w:tc>
          <w:tcPr>
            <w:tcW w:type="dxa" w:w="2600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2540"/>
                <w:sz w:val="18"/>
                <w:szCs w:val="18"/>
              </w:rPr>
              <w:t xml:space="preserve">Retención en la fuente</w:t>
            </w:r>
          </w:p>
        </w:tc>
        <w:tc>
          <w:tcPr>
            <w:tcW w:type="dxa" w:w="2400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Cristian Bernal</w:t>
            </w:r>
          </w:p>
        </w:tc>
        <w:tc>
          <w:tcPr>
            <w:tcW w:type="dxa" w:w="4072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Días 10 a 14, vence 15 a 21</w:t>
            </w:r>
          </w:p>
        </w:tc>
      </w:tr>
      <w:tr>
        <w:tc>
          <w:tcPr>
            <w:tcW w:type="dxa" w:w="26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2540"/>
                <w:sz w:val="18"/>
                <w:szCs w:val="18"/>
              </w:rPr>
              <w:t xml:space="preserve">Declaración de IVA bimestral</w:t>
            </w:r>
          </w:p>
        </w:tc>
        <w:tc>
          <w:tcPr>
            <w:tcW w:type="dxa" w:w="24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Cristian Bernal</w:t>
            </w:r>
          </w:p>
        </w:tc>
        <w:tc>
          <w:tcPr>
            <w:tcW w:type="dxa" w:w="4072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Días 15 a 21, seis veces al año</w:t>
            </w:r>
          </w:p>
        </w:tc>
      </w:tr>
      <w:tr>
        <w:tc>
          <w:tcPr>
            <w:tcW w:type="dxa" w:w="2600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2540"/>
                <w:sz w:val="18"/>
                <w:szCs w:val="18"/>
              </w:rPr>
              <w:t xml:space="preserve">Nómina segunda quincena — causación</w:t>
            </w:r>
          </w:p>
        </w:tc>
        <w:tc>
          <w:tcPr>
            <w:tcW w:type="dxa" w:w="2400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Luis S. Amador</w:t>
            </w:r>
          </w:p>
        </w:tc>
        <w:tc>
          <w:tcPr>
            <w:tcW w:type="dxa" w:w="4072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Días 25 a 29</w:t>
            </w:r>
          </w:p>
        </w:tc>
      </w:tr>
      <w:tr>
        <w:tc>
          <w:tcPr>
            <w:tcW w:type="dxa" w:w="26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2540"/>
                <w:sz w:val="18"/>
                <w:szCs w:val="18"/>
              </w:rPr>
              <w:t xml:space="preserve">Nómina segunda quincena — desembolso</w:t>
            </w:r>
          </w:p>
        </w:tc>
        <w:tc>
          <w:tcPr>
            <w:tcW w:type="dxa" w:w="24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Isnardi Sanches</w:t>
            </w:r>
          </w:p>
        </w:tc>
        <w:tc>
          <w:tcPr>
            <w:tcW w:type="dxa" w:w="4072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Día 29 al cierre</w:t>
            </w:r>
          </w:p>
        </w:tc>
      </w:tr>
    </w:tbl>
    <w:p>
      <w:pPr>
        <w:spacing w:after="120"/>
      </w:pPr>
    </w:p>
    <w:tbl>
      <w:tblPr>
        <w:tblW w:type="dxa" w:w="9072"/>
        <w:tblBorders>
          <w:top w:val="single" w:color="B45309" w:sz="2"/>
          <w:left w:val="single" w:color="B45309" w:sz="18"/>
          <w:bottom w:val="single" w:color="B45309" w:sz="2"/>
          <w:right w:val="single" w:color="B45309" w:sz="2"/>
          <w:insideH w:val="none" w:color="auto" w:sz="0"/>
          <w:insideV w:val="none" w:color="auto" w:sz="0"/>
        </w:tblBorders>
      </w:tblPr>
      <w:tblGrid>
        <w:gridCol w:w="9072"/>
      </w:tblGrid>
      <w:tr>
        <w:tc>
          <w:tcPr>
            <w:tcW w:type="dxa" w:w="9072"/>
            <w:shd w:fill="FFFBEB" w:color="auto" w:val="clear"/>
            <w:tcMar>
              <w:top w:type="dxa" w:w="110"/>
              <w:left w:type="dxa" w:w="210"/>
              <w:bottom w:type="dxa" w:w="110"/>
              <w:right w:type="dxa" w:w="210"/>
            </w:tcMar>
          </w:tcPr>
          <w:p>
            <w:pPr>
              <w:spacing w:after="62" w:line="2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B45309"/>
                <w:spacing w:val="16"/>
                <w:sz w:val="19"/>
                <w:szCs w:val="19"/>
              </w:rPr>
              <w:t xml:space="preserve">Consecuencia para la planeación</w:t>
            </w:r>
          </w:p>
          <w:p>
            <w:pPr>
              <w:spacing w:after="0" w:line="26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20"/>
                <w:szCs w:val="20"/>
              </w:rPr>
              <w:t xml:space="preserve">Ocho de las nueve obligaciones de fecha legal se concentran entre los días 10 y 21. Esa concentración no es una decisión interna: la imponen los calendarios de la DIAN y de la seguridad social. Cualquier ajuste de cargas debe respetarla.</w:t>
            </w:r>
          </w:p>
        </w:tc>
      </w:tr>
    </w:tbl>
    <w:p>
      <w:r>
        <w:br w:type="page"/>
      </w:r>
    </w:p>
    <w:tbl>
      <w:tblPr>
        <w:tblW w:type="dxa" w:w="9072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072"/>
      </w:tblGrid>
      <w:tr>
        <w:tc>
          <w:tcPr>
            <w:tcW w:type="dxa" w:w="9072"/>
            <w:shd w:fill="1B3A6B" w:color="auto" w:val="clear"/>
            <w:tcMar>
              <w:top w:type="dxa" w:w="95"/>
              <w:left w:type="dxa" w:w="190"/>
              <w:bottom w:type="dxa" w:w="95"/>
              <w:right w:type="dxa" w:w="1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3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4"/>
                <w:sz w:val="22"/>
                <w:szCs w:val="22"/>
              </w:rPr>
              <w:t xml:space="preserve">Estructura del proceso y descripción de cargos</w:t>
            </w:r>
          </w:p>
        </w:tc>
      </w:tr>
    </w:tbl>
    <w:p>
      <w:pPr>
        <w:spacing w:after="110"/>
      </w:pPr>
    </w:p>
    <w:p>
      <w:pPr>
        <w:spacing w:after="95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1"/>
          <w:szCs w:val="21"/>
        </w:rPr>
        <w:t xml:space="preserve">El proceso es una cadena de cinco posiciones. El resultado de cada una es el insumo de la siguiente.</w:t>
      </w:r>
    </w:p>
    <w:p>
      <w:pPr>
        <w:spacing w:after="100"/>
      </w:pPr>
    </w:p>
    <w:tbl>
      <w:tblPr>
        <w:tblW w:type="dxa" w:w="9072"/>
        <w:tblBorders>
          <w:top w:val="single" w:color="CBD5E1" w:sz="2"/>
          <w:left w:val="single" w:color="CBD5E1" w:sz="2"/>
          <w:bottom w:val="single" w:color="CBD5E1" w:sz="2"/>
          <w:right w:val="single" w:color="CBD5E1" w:sz="2"/>
          <w:insideH w:val="single" w:color="CBD5E1" w:sz="2"/>
          <w:insideV w:val="single" w:color="CBD5E1" w:sz="2"/>
        </w:tblBorders>
      </w:tblPr>
      <w:tblGrid>
        <w:gridCol w:w="900"/>
        <w:gridCol w:w="2500"/>
        <w:gridCol w:w="5672"/>
      </w:tblGrid>
      <w:tr>
        <w:trPr>
          <w:tblHeader/>
        </w:trPr>
        <w:tc>
          <w:tcPr>
            <w:tcW w:type="dxa" w:w="900"/>
            <w:shd w:fill="1B3A6B" w:color="auto" w:val="clear"/>
            <w:tcMar>
              <w:top w:type="dxa" w:w="78"/>
              <w:left w:type="dxa" w:w="120"/>
              <w:bottom w:type="dxa" w:w="78"/>
              <w:right w:type="dxa" w:w="12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2"/>
                <w:sz w:val="18"/>
                <w:szCs w:val="18"/>
              </w:rPr>
              <w:t xml:space="preserve">Orden</w:t>
            </w:r>
          </w:p>
        </w:tc>
        <w:tc>
          <w:tcPr>
            <w:tcW w:type="dxa" w:w="2500"/>
            <w:shd w:fill="1B3A6B" w:color="auto" w:val="clear"/>
            <w:tcMar>
              <w:top w:type="dxa" w:w="78"/>
              <w:left w:type="dxa" w:w="120"/>
              <w:bottom w:type="dxa" w:w="78"/>
              <w:right w:type="dxa" w:w="12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2"/>
                <w:sz w:val="18"/>
                <w:szCs w:val="18"/>
              </w:rPr>
              <w:t xml:space="preserve">Posición</w:t>
            </w:r>
          </w:p>
        </w:tc>
        <w:tc>
          <w:tcPr>
            <w:tcW w:type="dxa" w:w="5672"/>
            <w:shd w:fill="1B3A6B" w:color="auto" w:val="clear"/>
            <w:tcMar>
              <w:top w:type="dxa" w:w="78"/>
              <w:left w:type="dxa" w:w="120"/>
              <w:bottom w:type="dxa" w:w="78"/>
              <w:right w:type="dxa" w:w="12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2"/>
                <w:sz w:val="18"/>
                <w:szCs w:val="18"/>
              </w:rPr>
              <w:t xml:space="preserve">Aporte a la cadena</w:t>
            </w:r>
          </w:p>
        </w:tc>
      </w:tr>
      <w:tr>
        <w:tc>
          <w:tcPr>
            <w:tcW w:type="dxa" w:w="9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2540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Beatriz — Insumos de facturación</w:t>
            </w:r>
          </w:p>
        </w:tc>
        <w:tc>
          <w:tcPr>
            <w:tcW w:type="dxa" w:w="5672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Entrega cantidades, valores y tipos del período. Es el punto de arranque del ciclo.</w:t>
            </w:r>
          </w:p>
        </w:tc>
      </w:tr>
      <w:tr>
        <w:tc>
          <w:tcPr>
            <w:tcW w:type="dxa" w:w="900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2540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Edgar Metaute — Automatización</w:t>
            </w:r>
          </w:p>
        </w:tc>
        <w:tc>
          <w:tcPr>
            <w:tcW w:type="dxa" w:w="5672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Convierte los insumos en facturas electrónicas emitidas a la DIAN.</w:t>
            </w:r>
          </w:p>
        </w:tc>
      </w:tr>
      <w:tr>
        <w:tc>
          <w:tcPr>
            <w:tcW w:type="dxa" w:w="9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2540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Isnardi Sanches — Tesorería</w:t>
            </w:r>
          </w:p>
        </w:tc>
        <w:tc>
          <w:tcPr>
            <w:tcW w:type="dxa" w:w="5672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Registra el dinero que entra y ejecuta el que sale.</w:t>
            </w:r>
          </w:p>
        </w:tc>
      </w:tr>
      <w:tr>
        <w:tc>
          <w:tcPr>
            <w:tcW w:type="dxa" w:w="900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2540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Luis S. Amador — Auxiliar Contable</w:t>
            </w:r>
          </w:p>
        </w:tc>
        <w:tc>
          <w:tcPr>
            <w:tcW w:type="dxa" w:w="5672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Causa, concilia y deja todo soportado contablemente.</w:t>
            </w:r>
          </w:p>
        </w:tc>
      </w:tr>
      <w:tr>
        <w:tc>
          <w:tcPr>
            <w:tcW w:type="dxa" w:w="9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2540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Cristian Bernal — Contaduría</w:t>
            </w:r>
          </w:p>
        </w:tc>
        <w:tc>
          <w:tcPr>
            <w:tcW w:type="dxa" w:w="5672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Valida, construye los estados financieros y entrega el informe.</w:t>
            </w:r>
          </w:p>
        </w:tc>
      </w:tr>
    </w:tbl>
    <w:p>
      <w:r>
        <w:br w:type="page"/>
      </w:r>
    </w:p>
    <w:tbl>
      <w:tblPr>
        <w:tblW w:type="dxa" w:w="9072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072"/>
      </w:tblGrid>
      <w:tr>
        <w:tc>
          <w:tcPr>
            <w:tcW w:type="dxa" w:w="9072"/>
            <w:shd w:fill="2D5AA0" w:color="auto" w:val="clear"/>
            <w:tcMar>
              <w:top w:type="dxa" w:w="95"/>
              <w:left w:type="dxa" w:w="190"/>
              <w:bottom w:type="dxa" w:w="95"/>
              <w:right w:type="dxa" w:w="1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3.1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4"/>
                <w:sz w:val="22"/>
                <w:szCs w:val="22"/>
              </w:rPr>
              <w:t xml:space="preserve">Beatriz · Insumos de facturación</w:t>
            </w:r>
          </w:p>
        </w:tc>
      </w:tr>
    </w:tbl>
    <w:p>
      <w:pPr>
        <w:spacing w:after="110"/>
      </w:pPr>
    </w:p>
    <w:p>
      <w:pPr>
        <w:spacing w:after="58" w:before="150" w:line="215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64748B"/>
          <w:spacing w:val="24"/>
          <w:sz w:val="17"/>
          <w:szCs w:val="17"/>
        </w:rPr>
        <w:t xml:space="preserve">Propósito del cargo</w:t>
      </w:r>
    </w:p>
    <w:p>
      <w:pPr>
        <w:spacing w:after="95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1"/>
          <w:szCs w:val="21"/>
        </w:rPr>
        <w:t xml:space="preserve">Garantizar que el insumo comercial requerido para facturar esté disponible y sea correcto, y aportar la lectura de negocio que explica las cifras del período.</w:t>
      </w:r>
    </w:p>
    <w:p>
      <w:pPr>
        <w:spacing w:after="58" w:before="150" w:line="215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64748B"/>
          <w:spacing w:val="24"/>
          <w:sz w:val="17"/>
          <w:szCs w:val="17"/>
        </w:rPr>
        <w:t xml:space="preserve">Funciones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0"/>
          <w:szCs w:val="20"/>
        </w:rPr>
        <w:t xml:space="preserve">Preparar y entregar los insumos de facturación del período: cantidades, valores y tipos.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0"/>
          <w:szCs w:val="20"/>
        </w:rPr>
        <w:t xml:space="preserve">Entregar el insumo a medida que se cierran las operaciones, sin acumular hasta fin de mes.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0"/>
          <w:szCs w:val="20"/>
        </w:rPr>
        <w:t xml:space="preserve">Participar en la sesión mensual con Contaduría entre los días 10 y 12.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0"/>
          <w:szCs w:val="20"/>
        </w:rPr>
        <w:t xml:space="preserve">Aportar el contexto comercial del informe: comportamiento de ventas, situación de clientes y recaudo.</w:t>
      </w:r>
    </w:p>
    <w:p>
      <w:pPr>
        <w:spacing w:after="58" w:before="150" w:line="215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64748B"/>
          <w:spacing w:val="24"/>
          <w:sz w:val="17"/>
          <w:szCs w:val="17"/>
        </w:rPr>
        <w:t xml:space="preserve">Competencias requeridas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0"/>
          <w:szCs w:val="20"/>
        </w:rPr>
        <w:t xml:space="preserve">Conocimiento del portafolio y de las condiciones comerciales pactadas.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0"/>
          <w:szCs w:val="20"/>
        </w:rPr>
        <w:t xml:space="preserve">Orden en el registro y la entrega de información.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0"/>
          <w:szCs w:val="20"/>
        </w:rPr>
        <w:t xml:space="preserve">Capacidad de explicar variaciones de venta en términos de negocio.</w:t>
      </w:r>
    </w:p>
    <w:p>
      <w:pPr>
        <w:spacing w:after="58" w:before="150" w:line="215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64748B"/>
          <w:spacing w:val="24"/>
          <w:sz w:val="17"/>
          <w:szCs w:val="17"/>
        </w:rPr>
        <w:t xml:space="preserve">Entregables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0"/>
          <w:szCs w:val="20"/>
        </w:rPr>
        <w:t xml:space="preserve">Insumo de facturación del período.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0"/>
          <w:szCs w:val="20"/>
        </w:rPr>
        <w:t xml:space="preserve">Comentarios comerciales incorporados al informe mensual.</w:t>
      </w:r>
    </w:p>
    <w:p>
      <w:pPr>
        <w:spacing w:after="58" w:before="150" w:line="215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64748B"/>
          <w:spacing w:val="24"/>
          <w:sz w:val="17"/>
          <w:szCs w:val="17"/>
        </w:rPr>
        <w:t xml:space="preserve">Carga medida</w:t>
      </w:r>
    </w:p>
    <w:tbl>
      <w:tblPr>
        <w:tblW w:type="dxa" w:w="9072"/>
        <w:tblBorders>
          <w:top w:val="single" w:color="CBD5E1" w:sz="2"/>
          <w:left w:val="single" w:color="CBD5E1" w:sz="2"/>
          <w:bottom w:val="single" w:color="CBD5E1" w:sz="2"/>
          <w:right w:val="single" w:color="CBD5E1" w:sz="2"/>
          <w:insideH w:val="single" w:color="CBD5E1" w:sz="2"/>
          <w:insideV w:val="single" w:color="CBD5E1" w:sz="2"/>
        </w:tblBorders>
      </w:tblPr>
      <w:tblGrid>
        <w:gridCol w:w="2270"/>
        <w:gridCol w:w="2270"/>
        <w:gridCol w:w="2266"/>
        <w:gridCol w:w="2266"/>
      </w:tblGrid>
      <w:tr>
        <w:trPr>
          <w:tblHeader/>
        </w:trPr>
        <w:tc>
          <w:tcPr>
            <w:tcW w:type="dxa" w:w="2270"/>
            <w:shd w:fill="1B3A6B" w:color="auto" w:val="clear"/>
            <w:tcMar>
              <w:top w:type="dxa" w:w="78"/>
              <w:left w:type="dxa" w:w="120"/>
              <w:bottom w:type="dxa" w:w="78"/>
              <w:right w:type="dxa" w:w="12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2"/>
                <w:sz w:val="18"/>
                <w:szCs w:val="18"/>
              </w:rPr>
              <w:t xml:space="preserve">Tareas al año</w:t>
            </w:r>
          </w:p>
        </w:tc>
        <w:tc>
          <w:tcPr>
            <w:tcW w:type="dxa" w:w="2270"/>
            <w:shd w:fill="1B3A6B" w:color="auto" w:val="clear"/>
            <w:tcMar>
              <w:top w:type="dxa" w:w="78"/>
              <w:left w:type="dxa" w:w="120"/>
              <w:bottom w:type="dxa" w:w="78"/>
              <w:right w:type="dxa" w:w="12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2"/>
                <w:sz w:val="18"/>
                <w:szCs w:val="18"/>
              </w:rPr>
              <w:t xml:space="preserve">Días-tarea</w:t>
            </w:r>
          </w:p>
        </w:tc>
        <w:tc>
          <w:tcPr>
            <w:tcW w:type="dxa" w:w="2266"/>
            <w:shd w:fill="1B3A6B" w:color="auto" w:val="clear"/>
            <w:tcMar>
              <w:top w:type="dxa" w:w="78"/>
              <w:left w:type="dxa" w:w="120"/>
              <w:bottom w:type="dxa" w:w="78"/>
              <w:right w:type="dxa" w:w="12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2"/>
                <w:sz w:val="18"/>
                <w:szCs w:val="18"/>
              </w:rPr>
              <w:t xml:space="preserve">Ocupación</w:t>
            </w:r>
          </w:p>
        </w:tc>
        <w:tc>
          <w:tcPr>
            <w:tcW w:type="dxa" w:w="2266"/>
            <w:shd w:fill="1B3A6B" w:color="auto" w:val="clear"/>
            <w:tcMar>
              <w:top w:type="dxa" w:w="78"/>
              <w:left w:type="dxa" w:w="120"/>
              <w:bottom w:type="dxa" w:w="78"/>
              <w:right w:type="dxa" w:w="12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2"/>
                <w:sz w:val="18"/>
                <w:szCs w:val="18"/>
              </w:rPr>
              <w:t xml:space="preserve">Pico simultáneo</w:t>
            </w:r>
          </w:p>
        </w:tc>
      </w:tr>
      <w:tr>
        <w:tc>
          <w:tcPr>
            <w:tcW w:type="dxa" w:w="227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2540"/>
                <w:sz w:val="18"/>
                <w:szCs w:val="18"/>
              </w:rPr>
              <w:t xml:space="preserve">24</w:t>
            </w:r>
          </w:p>
        </w:tc>
        <w:tc>
          <w:tcPr>
            <w:tcW w:type="dxa" w:w="227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401</w:t>
            </w:r>
          </w:p>
        </w:tc>
        <w:tc>
          <w:tcPr>
            <w:tcW w:type="dxa" w:w="2266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100%</w:t>
            </w:r>
          </w:p>
        </w:tc>
        <w:tc>
          <w:tcPr>
            <w:tcW w:type="dxa" w:w="2266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2 tareas</w:t>
            </w:r>
          </w:p>
        </w:tc>
      </w:tr>
    </w:tbl>
    <w:p>
      <w:r>
        <w:br w:type="page"/>
      </w:r>
    </w:p>
    <w:tbl>
      <w:tblPr>
        <w:tblW w:type="dxa" w:w="9072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072"/>
      </w:tblGrid>
      <w:tr>
        <w:tc>
          <w:tcPr>
            <w:tcW w:type="dxa" w:w="9072"/>
            <w:shd w:fill="2D5AA0" w:color="auto" w:val="clear"/>
            <w:tcMar>
              <w:top w:type="dxa" w:w="95"/>
              <w:left w:type="dxa" w:w="190"/>
              <w:bottom w:type="dxa" w:w="95"/>
              <w:right w:type="dxa" w:w="1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3.2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4"/>
                <w:sz w:val="22"/>
                <w:szCs w:val="22"/>
              </w:rPr>
              <w:t xml:space="preserve">Edgar Metaute · Automatización y Gerencia</w:t>
            </w:r>
          </w:p>
        </w:tc>
      </w:tr>
    </w:tbl>
    <w:p>
      <w:pPr>
        <w:spacing w:after="110"/>
      </w:pPr>
    </w:p>
    <w:p>
      <w:pPr>
        <w:spacing w:after="58" w:before="150" w:line="215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64748B"/>
          <w:spacing w:val="24"/>
          <w:sz w:val="17"/>
          <w:szCs w:val="17"/>
        </w:rPr>
        <w:t xml:space="preserve">Propósito del cargo</w:t>
      </w:r>
    </w:p>
    <w:p>
      <w:pPr>
        <w:spacing w:after="95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1"/>
          <w:szCs w:val="21"/>
        </w:rPr>
        <w:t xml:space="preserve">Operar la facturación electrónica en Siigo y ejercer las decisiones de Gerencia que el equipo contable no puede tomar por su cuenta.</w:t>
      </w:r>
    </w:p>
    <w:p>
      <w:pPr>
        <w:spacing w:after="58" w:before="150" w:line="215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64748B"/>
          <w:spacing w:val="24"/>
          <w:sz w:val="17"/>
          <w:szCs w:val="17"/>
        </w:rPr>
        <w:t xml:space="preserve">Funciones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0"/>
          <w:szCs w:val="20"/>
        </w:rPr>
        <w:t xml:space="preserve">Organizar el archivo plano en Siigo a partir del insumo comercial.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0"/>
          <w:szCs w:val="20"/>
        </w:rPr>
        <w:t xml:space="preserve">Emitir las facturas electrónicas hacia DIAN y RADIAN entre los días 1 y 5.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0"/>
          <w:szCs w:val="20"/>
        </w:rPr>
        <w:t xml:space="preserve">Definir qué gastos de tarjeta de crédito corresponden a viáticos, entre los días 6 y 10.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0"/>
          <w:szCs w:val="20"/>
        </w:rPr>
        <w:t xml:space="preserve">Revisar el informe mensual y dar feedback antes de que pase a socios, entre los días 13 y 14.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0"/>
          <w:szCs w:val="20"/>
        </w:rPr>
        <w:t xml:space="preserve">Procesar el archivo plano del cierre para que la facturación del día 1 salga a tiempo.</w:t>
      </w:r>
    </w:p>
    <w:p>
      <w:pPr>
        <w:spacing w:after="58" w:before="150" w:line="215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64748B"/>
          <w:spacing w:val="24"/>
          <w:sz w:val="17"/>
          <w:szCs w:val="17"/>
        </w:rPr>
        <w:t xml:space="preserve">Competencias requeridas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0"/>
          <w:szCs w:val="20"/>
        </w:rPr>
        <w:t xml:space="preserve">Manejo de Siigo ERP y del proceso de facturación electrónica.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0"/>
          <w:szCs w:val="20"/>
        </w:rPr>
        <w:t xml:space="preserve">Criterio gerencial para clasificar gastos de representación y viáticos.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0"/>
          <w:szCs w:val="20"/>
        </w:rPr>
        <w:t xml:space="preserve">Lectura de estados financieros a nivel directivo.</w:t>
      </w:r>
    </w:p>
    <w:p>
      <w:pPr>
        <w:spacing w:after="58" w:before="150" w:line="215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64748B"/>
          <w:spacing w:val="24"/>
          <w:sz w:val="17"/>
          <w:szCs w:val="17"/>
        </w:rPr>
        <w:t xml:space="preserve">Entregables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0"/>
          <w:szCs w:val="20"/>
        </w:rPr>
        <w:t xml:space="preserve">Facturas electrónicas emitidas y aceptadas.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0"/>
          <w:szCs w:val="20"/>
        </w:rPr>
        <w:t xml:space="preserve">Definición de viáticos del período.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0"/>
          <w:szCs w:val="20"/>
        </w:rPr>
        <w:t xml:space="preserve">Feedback documentado sobre el informe.</w:t>
      </w:r>
    </w:p>
    <w:p>
      <w:pPr>
        <w:spacing w:after="58" w:before="150" w:line="215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64748B"/>
          <w:spacing w:val="24"/>
          <w:sz w:val="17"/>
          <w:szCs w:val="17"/>
        </w:rPr>
        <w:t xml:space="preserve">Carga medida</w:t>
      </w:r>
    </w:p>
    <w:tbl>
      <w:tblPr>
        <w:tblW w:type="dxa" w:w="9072"/>
        <w:tblBorders>
          <w:top w:val="single" w:color="CBD5E1" w:sz="2"/>
          <w:left w:val="single" w:color="CBD5E1" w:sz="2"/>
          <w:bottom w:val="single" w:color="CBD5E1" w:sz="2"/>
          <w:right w:val="single" w:color="CBD5E1" w:sz="2"/>
          <w:insideH w:val="single" w:color="CBD5E1" w:sz="2"/>
          <w:insideV w:val="single" w:color="CBD5E1" w:sz="2"/>
        </w:tblBorders>
      </w:tblPr>
      <w:tblGrid>
        <w:gridCol w:w="2270"/>
        <w:gridCol w:w="2270"/>
        <w:gridCol w:w="2266"/>
        <w:gridCol w:w="2266"/>
      </w:tblGrid>
      <w:tr>
        <w:trPr>
          <w:tblHeader/>
        </w:trPr>
        <w:tc>
          <w:tcPr>
            <w:tcW w:type="dxa" w:w="2270"/>
            <w:shd w:fill="1B3A6B" w:color="auto" w:val="clear"/>
            <w:tcMar>
              <w:top w:type="dxa" w:w="78"/>
              <w:left w:type="dxa" w:w="120"/>
              <w:bottom w:type="dxa" w:w="78"/>
              <w:right w:type="dxa" w:w="12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2"/>
                <w:sz w:val="18"/>
                <w:szCs w:val="18"/>
              </w:rPr>
              <w:t xml:space="preserve">Tareas al año</w:t>
            </w:r>
          </w:p>
        </w:tc>
        <w:tc>
          <w:tcPr>
            <w:tcW w:type="dxa" w:w="2270"/>
            <w:shd w:fill="1B3A6B" w:color="auto" w:val="clear"/>
            <w:tcMar>
              <w:top w:type="dxa" w:w="78"/>
              <w:left w:type="dxa" w:w="120"/>
              <w:bottom w:type="dxa" w:w="78"/>
              <w:right w:type="dxa" w:w="12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2"/>
                <w:sz w:val="18"/>
                <w:szCs w:val="18"/>
              </w:rPr>
              <w:t xml:space="preserve">Días-tarea</w:t>
            </w:r>
          </w:p>
        </w:tc>
        <w:tc>
          <w:tcPr>
            <w:tcW w:type="dxa" w:w="2266"/>
            <w:shd w:fill="1B3A6B" w:color="auto" w:val="clear"/>
            <w:tcMar>
              <w:top w:type="dxa" w:w="78"/>
              <w:left w:type="dxa" w:w="120"/>
              <w:bottom w:type="dxa" w:w="78"/>
              <w:right w:type="dxa" w:w="12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2"/>
                <w:sz w:val="18"/>
                <w:szCs w:val="18"/>
              </w:rPr>
              <w:t xml:space="preserve">Ocupación</w:t>
            </w:r>
          </w:p>
        </w:tc>
        <w:tc>
          <w:tcPr>
            <w:tcW w:type="dxa" w:w="2266"/>
            <w:shd w:fill="1B3A6B" w:color="auto" w:val="clear"/>
            <w:tcMar>
              <w:top w:type="dxa" w:w="78"/>
              <w:left w:type="dxa" w:w="120"/>
              <w:bottom w:type="dxa" w:w="78"/>
              <w:right w:type="dxa" w:w="12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2"/>
                <w:sz w:val="18"/>
                <w:szCs w:val="18"/>
              </w:rPr>
              <w:t xml:space="preserve">Pico simultáneo</w:t>
            </w:r>
          </w:p>
        </w:tc>
      </w:tr>
      <w:tr>
        <w:tc>
          <w:tcPr>
            <w:tcW w:type="dxa" w:w="227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2540"/>
                <w:sz w:val="18"/>
                <w:szCs w:val="18"/>
              </w:rPr>
              <w:t xml:space="preserve">60</w:t>
            </w:r>
          </w:p>
        </w:tc>
        <w:tc>
          <w:tcPr>
            <w:tcW w:type="dxa" w:w="227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269</w:t>
            </w:r>
          </w:p>
        </w:tc>
        <w:tc>
          <w:tcPr>
            <w:tcW w:type="dxa" w:w="2266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57%</w:t>
            </w:r>
          </w:p>
        </w:tc>
        <w:tc>
          <w:tcPr>
            <w:tcW w:type="dxa" w:w="2266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2 tareas</w:t>
            </w:r>
          </w:p>
        </w:tc>
      </w:tr>
    </w:tbl>
    <w:p>
      <w:r>
        <w:br w:type="page"/>
      </w:r>
    </w:p>
    <w:tbl>
      <w:tblPr>
        <w:tblW w:type="dxa" w:w="9072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072"/>
      </w:tblGrid>
      <w:tr>
        <w:tc>
          <w:tcPr>
            <w:tcW w:type="dxa" w:w="9072"/>
            <w:shd w:fill="2D5AA0" w:color="auto" w:val="clear"/>
            <w:tcMar>
              <w:top w:type="dxa" w:w="95"/>
              <w:left w:type="dxa" w:w="190"/>
              <w:bottom w:type="dxa" w:w="95"/>
              <w:right w:type="dxa" w:w="1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3.3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4"/>
                <w:sz w:val="22"/>
                <w:szCs w:val="22"/>
              </w:rPr>
              <w:t xml:space="preserve">Isnardi Sanches · Tesorería</w:t>
            </w:r>
          </w:p>
        </w:tc>
      </w:tr>
    </w:tbl>
    <w:p>
      <w:pPr>
        <w:spacing w:after="110"/>
      </w:pPr>
    </w:p>
    <w:p>
      <w:pPr>
        <w:spacing w:after="58" w:before="150" w:line="215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64748B"/>
          <w:spacing w:val="24"/>
          <w:sz w:val="17"/>
          <w:szCs w:val="17"/>
        </w:rPr>
        <w:t xml:space="preserve">Propósito del cargo</w:t>
      </w:r>
    </w:p>
    <w:p>
      <w:pPr>
        <w:spacing w:after="95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1"/>
          <w:szCs w:val="21"/>
        </w:rPr>
        <w:t xml:space="preserve">Responder por el movimiento real del dinero: registrar lo que entra, ejecutar lo que sale y garantizar que cada salida tenga soporte y clasificación correcta.</w:t>
      </w:r>
    </w:p>
    <w:p>
      <w:pPr>
        <w:spacing w:after="58" w:before="150" w:line="215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64748B"/>
          <w:spacing w:val="24"/>
          <w:sz w:val="17"/>
          <w:szCs w:val="17"/>
        </w:rPr>
        <w:t xml:space="preserve">Funciones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0"/>
          <w:szCs w:val="20"/>
        </w:rPr>
        <w:t xml:space="preserve">Registrar cada cobro de cliente como Recibo de Caja el mismo día en que ingresa, aplicándolo a las facturas que cubre.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0"/>
          <w:szCs w:val="20"/>
        </w:rPr>
        <w:t xml:space="preserve">Ejecutar los pagos a proveedores contra la cuenta por pagar previamente causada.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0"/>
          <w:szCs w:val="20"/>
        </w:rPr>
        <w:t xml:space="preserve">Registrar como anticipo en Cuenta 13 toda orden de pago que carezca de soporte documental.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0"/>
          <w:szCs w:val="20"/>
        </w:rPr>
        <w:t xml:space="preserve">Descomponer los pagos de créditos en capital, intereses y gastos bancarios, llevando cada porción a su cuenta.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0"/>
          <w:szCs w:val="20"/>
        </w:rPr>
        <w:t xml:space="preserve">Pagar la seguridad social a las entidades entre los días 13 y 15.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0"/>
          <w:szCs w:val="20"/>
        </w:rPr>
        <w:t xml:space="preserve">Desembolsar la nómina de ambas quincenas en las ventanas establecidas.</w:t>
      </w:r>
    </w:p>
    <w:p>
      <w:pPr>
        <w:spacing w:after="58" w:before="150" w:line="215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64748B"/>
          <w:spacing w:val="24"/>
          <w:sz w:val="17"/>
          <w:szCs w:val="17"/>
        </w:rPr>
        <w:t xml:space="preserve">Competencias requeridas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0"/>
          <w:szCs w:val="20"/>
        </w:rPr>
        <w:t xml:space="preserve">Manejo de tesorería y de portales bancarios.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0"/>
          <w:szCs w:val="20"/>
        </w:rPr>
        <w:t xml:space="preserve">Criterio contable para la descomposición de obligaciones financieras.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0"/>
          <w:szCs w:val="20"/>
        </w:rPr>
        <w:t xml:space="preserve">Rigor en la conservación de soportes.</w:t>
      </w:r>
    </w:p>
    <w:p>
      <w:pPr>
        <w:spacing w:after="58" w:before="150" w:line="215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64748B"/>
          <w:spacing w:val="24"/>
          <w:sz w:val="17"/>
          <w:szCs w:val="17"/>
        </w:rPr>
        <w:t xml:space="preserve">Entregables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0"/>
          <w:szCs w:val="20"/>
        </w:rPr>
        <w:t xml:space="preserve">Recibos de caja y de pago registrados en Siigo.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0"/>
          <w:szCs w:val="20"/>
        </w:rPr>
        <w:t xml:space="preserve">Comprobantes de pago de seguridad social y nómina.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0"/>
          <w:szCs w:val="20"/>
        </w:rPr>
        <w:t xml:space="preserve">Cartera actualizada por cliente.</w:t>
      </w:r>
    </w:p>
    <w:p>
      <w:pPr>
        <w:spacing w:after="58" w:before="150" w:line="215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64748B"/>
          <w:spacing w:val="24"/>
          <w:sz w:val="17"/>
          <w:szCs w:val="17"/>
        </w:rPr>
        <w:t xml:space="preserve">Carga medida</w:t>
      </w:r>
    </w:p>
    <w:tbl>
      <w:tblPr>
        <w:tblW w:type="dxa" w:w="9072"/>
        <w:tblBorders>
          <w:top w:val="single" w:color="CBD5E1" w:sz="2"/>
          <w:left w:val="single" w:color="CBD5E1" w:sz="2"/>
          <w:bottom w:val="single" w:color="CBD5E1" w:sz="2"/>
          <w:right w:val="single" w:color="CBD5E1" w:sz="2"/>
          <w:insideH w:val="single" w:color="CBD5E1" w:sz="2"/>
          <w:insideV w:val="single" w:color="CBD5E1" w:sz="2"/>
        </w:tblBorders>
      </w:tblPr>
      <w:tblGrid>
        <w:gridCol w:w="2270"/>
        <w:gridCol w:w="2270"/>
        <w:gridCol w:w="2266"/>
        <w:gridCol w:w="2266"/>
      </w:tblGrid>
      <w:tr>
        <w:trPr>
          <w:tblHeader/>
        </w:trPr>
        <w:tc>
          <w:tcPr>
            <w:tcW w:type="dxa" w:w="2270"/>
            <w:shd w:fill="1B3A6B" w:color="auto" w:val="clear"/>
            <w:tcMar>
              <w:top w:type="dxa" w:w="78"/>
              <w:left w:type="dxa" w:w="120"/>
              <w:bottom w:type="dxa" w:w="78"/>
              <w:right w:type="dxa" w:w="12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2"/>
                <w:sz w:val="18"/>
                <w:szCs w:val="18"/>
              </w:rPr>
              <w:t xml:space="preserve">Tareas al año</w:t>
            </w:r>
          </w:p>
        </w:tc>
        <w:tc>
          <w:tcPr>
            <w:tcW w:type="dxa" w:w="2270"/>
            <w:shd w:fill="1B3A6B" w:color="auto" w:val="clear"/>
            <w:tcMar>
              <w:top w:type="dxa" w:w="78"/>
              <w:left w:type="dxa" w:w="120"/>
              <w:bottom w:type="dxa" w:w="78"/>
              <w:right w:type="dxa" w:w="12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2"/>
                <w:sz w:val="18"/>
                <w:szCs w:val="18"/>
              </w:rPr>
              <w:t xml:space="preserve">Días-tarea</w:t>
            </w:r>
          </w:p>
        </w:tc>
        <w:tc>
          <w:tcPr>
            <w:tcW w:type="dxa" w:w="2266"/>
            <w:shd w:fill="1B3A6B" w:color="auto" w:val="clear"/>
            <w:tcMar>
              <w:top w:type="dxa" w:w="78"/>
              <w:left w:type="dxa" w:w="120"/>
              <w:bottom w:type="dxa" w:w="78"/>
              <w:right w:type="dxa" w:w="12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2"/>
                <w:sz w:val="18"/>
                <w:szCs w:val="18"/>
              </w:rPr>
              <w:t xml:space="preserve">Ocupación</w:t>
            </w:r>
          </w:p>
        </w:tc>
        <w:tc>
          <w:tcPr>
            <w:tcW w:type="dxa" w:w="2266"/>
            <w:shd w:fill="1B3A6B" w:color="auto" w:val="clear"/>
            <w:tcMar>
              <w:top w:type="dxa" w:w="78"/>
              <w:left w:type="dxa" w:w="120"/>
              <w:bottom w:type="dxa" w:w="78"/>
              <w:right w:type="dxa" w:w="12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2"/>
                <w:sz w:val="18"/>
                <w:szCs w:val="18"/>
              </w:rPr>
              <w:t xml:space="preserve">Pico simultáneo</w:t>
            </w:r>
          </w:p>
        </w:tc>
      </w:tr>
      <w:tr>
        <w:tc>
          <w:tcPr>
            <w:tcW w:type="dxa" w:w="227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2540"/>
                <w:sz w:val="18"/>
                <w:szCs w:val="18"/>
              </w:rPr>
              <w:t xml:space="preserve">72</w:t>
            </w:r>
          </w:p>
        </w:tc>
        <w:tc>
          <w:tcPr>
            <w:tcW w:type="dxa" w:w="227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1196</w:t>
            </w:r>
          </w:p>
        </w:tc>
        <w:tc>
          <w:tcPr>
            <w:tcW w:type="dxa" w:w="2266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100%</w:t>
            </w:r>
          </w:p>
        </w:tc>
        <w:tc>
          <w:tcPr>
            <w:tcW w:type="dxa" w:w="2266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5 tareas</w:t>
            </w:r>
          </w:p>
        </w:tc>
      </w:tr>
    </w:tbl>
    <w:p>
      <w:r>
        <w:br w:type="page"/>
      </w:r>
    </w:p>
    <w:tbl>
      <w:tblPr>
        <w:tblW w:type="dxa" w:w="9072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072"/>
      </w:tblGrid>
      <w:tr>
        <w:tc>
          <w:tcPr>
            <w:tcW w:type="dxa" w:w="9072"/>
            <w:shd w:fill="2D5AA0" w:color="auto" w:val="clear"/>
            <w:tcMar>
              <w:top w:type="dxa" w:w="95"/>
              <w:left w:type="dxa" w:w="190"/>
              <w:bottom w:type="dxa" w:w="95"/>
              <w:right w:type="dxa" w:w="1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3.4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4"/>
                <w:sz w:val="22"/>
                <w:szCs w:val="22"/>
              </w:rPr>
              <w:t xml:space="preserve">Luis Santiago Amador · Auxiliar Contable</w:t>
            </w:r>
          </w:p>
        </w:tc>
      </w:tr>
    </w:tbl>
    <w:p>
      <w:pPr>
        <w:spacing w:after="110"/>
      </w:pPr>
    </w:p>
    <w:p>
      <w:pPr>
        <w:spacing w:after="58" w:before="150" w:line="215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64748B"/>
          <w:spacing w:val="24"/>
          <w:sz w:val="17"/>
          <w:szCs w:val="17"/>
        </w:rPr>
        <w:t xml:space="preserve">Propósito del cargo</w:t>
      </w:r>
    </w:p>
    <w:p>
      <w:pPr>
        <w:spacing w:after="95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1"/>
          <w:szCs w:val="21"/>
        </w:rPr>
        <w:t xml:space="preserve">Convertir los hechos económicos en registros contables soportados y garantizar que banco, tarjeta y libro coincidan.</w:t>
      </w:r>
    </w:p>
    <w:p>
      <w:pPr>
        <w:spacing w:after="58" w:before="150" w:line="215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64748B"/>
          <w:spacing w:val="24"/>
          <w:sz w:val="17"/>
          <w:szCs w:val="17"/>
        </w:rPr>
        <w:t xml:space="preserve">Funciones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0"/>
          <w:szCs w:val="20"/>
        </w:rPr>
        <w:t xml:space="preserve">Cerrar los pendientes del mes anterior en los días 1 y 2.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0"/>
          <w:szCs w:val="20"/>
        </w:rPr>
        <w:t xml:space="preserve">Ejecutar la conciliación bancaria entre los días 3 y 9 y generar el documento formal.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0"/>
          <w:szCs w:val="20"/>
        </w:rPr>
        <w:t xml:space="preserve">Conciliar la tarjeta de crédito desde el día 6, clasificando gastos y escalando a Gerencia los no regulares.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0"/>
          <w:szCs w:val="20"/>
        </w:rPr>
        <w:t xml:space="preserve">Causar la seguridad social y la nómina de ambas quincenas, validando préstamos, embargos y novedades.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0"/>
          <w:szCs w:val="20"/>
        </w:rPr>
        <w:t xml:space="preserve">Validar el RADIAN contra las facturas emitidas entre los días 15 y 25.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0"/>
          <w:szCs w:val="20"/>
        </w:rPr>
        <w:t xml:space="preserve">Generar el Documento Soporte de cada invoice del exterior y crear la cuenta por pagar correspondiente.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0"/>
          <w:szCs w:val="20"/>
        </w:rPr>
        <w:t xml:space="preserve">Generar el archivo plano del cierre para la facturación del día 1 del mes siguiente.</w:t>
      </w:r>
    </w:p>
    <w:p>
      <w:pPr>
        <w:spacing w:after="58" w:before="150" w:line="215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64748B"/>
          <w:spacing w:val="24"/>
          <w:sz w:val="17"/>
          <w:szCs w:val="17"/>
        </w:rPr>
        <w:t xml:space="preserve">Competencias requeridas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0"/>
          <w:szCs w:val="20"/>
        </w:rPr>
        <w:t xml:space="preserve">Dominio de causación en Siigo ERP.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0"/>
          <w:szCs w:val="20"/>
        </w:rPr>
        <w:t xml:space="preserve">Conocimiento de nómina, seguridad social y sus deducciones.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0"/>
          <w:szCs w:val="20"/>
        </w:rPr>
        <w:t xml:space="preserve">Manejo de RADIAN y de la normativa de documento soporte para operaciones del exterior.</w:t>
      </w:r>
    </w:p>
    <w:p>
      <w:pPr>
        <w:spacing w:after="58" w:before="150" w:line="215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64748B"/>
          <w:spacing w:val="24"/>
          <w:sz w:val="17"/>
          <w:szCs w:val="17"/>
        </w:rPr>
        <w:t xml:space="preserve">Entregables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0"/>
          <w:szCs w:val="20"/>
        </w:rPr>
        <w:t xml:space="preserve">Documento formal de conciliación bancaria.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0"/>
          <w:szCs w:val="20"/>
        </w:rPr>
        <w:t xml:space="preserve">Conciliación de tarjeta cerrada.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0"/>
          <w:szCs w:val="20"/>
        </w:rPr>
        <w:t xml:space="preserve">Causaciones del período.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0"/>
          <w:szCs w:val="20"/>
        </w:rPr>
        <w:t xml:space="preserve">Archivo plano de facturación.</w:t>
      </w:r>
    </w:p>
    <w:p>
      <w:pPr>
        <w:spacing w:after="58" w:before="150" w:line="215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64748B"/>
          <w:spacing w:val="24"/>
          <w:sz w:val="17"/>
          <w:szCs w:val="17"/>
        </w:rPr>
        <w:t xml:space="preserve">Carga medida</w:t>
      </w:r>
    </w:p>
    <w:tbl>
      <w:tblPr>
        <w:tblW w:type="dxa" w:w="9072"/>
        <w:tblBorders>
          <w:top w:val="single" w:color="CBD5E1" w:sz="2"/>
          <w:left w:val="single" w:color="CBD5E1" w:sz="2"/>
          <w:bottom w:val="single" w:color="CBD5E1" w:sz="2"/>
          <w:right w:val="single" w:color="CBD5E1" w:sz="2"/>
          <w:insideH w:val="single" w:color="CBD5E1" w:sz="2"/>
          <w:insideV w:val="single" w:color="CBD5E1" w:sz="2"/>
        </w:tblBorders>
      </w:tblPr>
      <w:tblGrid>
        <w:gridCol w:w="2270"/>
        <w:gridCol w:w="2270"/>
        <w:gridCol w:w="2266"/>
        <w:gridCol w:w="2266"/>
      </w:tblGrid>
      <w:tr>
        <w:trPr>
          <w:tblHeader/>
        </w:trPr>
        <w:tc>
          <w:tcPr>
            <w:tcW w:type="dxa" w:w="2270"/>
            <w:shd w:fill="1B3A6B" w:color="auto" w:val="clear"/>
            <w:tcMar>
              <w:top w:type="dxa" w:w="78"/>
              <w:left w:type="dxa" w:w="120"/>
              <w:bottom w:type="dxa" w:w="78"/>
              <w:right w:type="dxa" w:w="12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2"/>
                <w:sz w:val="18"/>
                <w:szCs w:val="18"/>
              </w:rPr>
              <w:t xml:space="preserve">Tareas al año</w:t>
            </w:r>
          </w:p>
        </w:tc>
        <w:tc>
          <w:tcPr>
            <w:tcW w:type="dxa" w:w="2270"/>
            <w:shd w:fill="1B3A6B" w:color="auto" w:val="clear"/>
            <w:tcMar>
              <w:top w:type="dxa" w:w="78"/>
              <w:left w:type="dxa" w:w="120"/>
              <w:bottom w:type="dxa" w:w="78"/>
              <w:right w:type="dxa" w:w="12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2"/>
                <w:sz w:val="18"/>
                <w:szCs w:val="18"/>
              </w:rPr>
              <w:t xml:space="preserve">Días-tarea</w:t>
            </w:r>
          </w:p>
        </w:tc>
        <w:tc>
          <w:tcPr>
            <w:tcW w:type="dxa" w:w="2266"/>
            <w:shd w:fill="1B3A6B" w:color="auto" w:val="clear"/>
            <w:tcMar>
              <w:top w:type="dxa" w:w="78"/>
              <w:left w:type="dxa" w:w="120"/>
              <w:bottom w:type="dxa" w:w="78"/>
              <w:right w:type="dxa" w:w="12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2"/>
                <w:sz w:val="18"/>
                <w:szCs w:val="18"/>
              </w:rPr>
              <w:t xml:space="preserve">Ocupación</w:t>
            </w:r>
          </w:p>
        </w:tc>
        <w:tc>
          <w:tcPr>
            <w:tcW w:type="dxa" w:w="2266"/>
            <w:shd w:fill="1B3A6B" w:color="auto" w:val="clear"/>
            <w:tcMar>
              <w:top w:type="dxa" w:w="78"/>
              <w:left w:type="dxa" w:w="120"/>
              <w:bottom w:type="dxa" w:w="78"/>
              <w:right w:type="dxa" w:w="12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2"/>
                <w:sz w:val="18"/>
                <w:szCs w:val="18"/>
              </w:rPr>
              <w:t xml:space="preserve">Pico simultáneo</w:t>
            </w:r>
          </w:p>
        </w:tc>
      </w:tr>
      <w:tr>
        <w:tc>
          <w:tcPr>
            <w:tcW w:type="dxa" w:w="227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2540"/>
                <w:sz w:val="18"/>
                <w:szCs w:val="18"/>
              </w:rPr>
              <w:t xml:space="preserve">120</w:t>
            </w:r>
          </w:p>
        </w:tc>
        <w:tc>
          <w:tcPr>
            <w:tcW w:type="dxa" w:w="227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1003</w:t>
            </w:r>
          </w:p>
        </w:tc>
        <w:tc>
          <w:tcPr>
            <w:tcW w:type="dxa" w:w="2266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100%</w:t>
            </w:r>
          </w:p>
        </w:tc>
        <w:tc>
          <w:tcPr>
            <w:tcW w:type="dxa" w:w="2266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4 tareas</w:t>
            </w:r>
          </w:p>
        </w:tc>
      </w:tr>
    </w:tbl>
    <w:p>
      <w:r>
        <w:br w:type="page"/>
      </w:r>
    </w:p>
    <w:tbl>
      <w:tblPr>
        <w:tblW w:type="dxa" w:w="9072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072"/>
      </w:tblGrid>
      <w:tr>
        <w:tc>
          <w:tcPr>
            <w:tcW w:type="dxa" w:w="9072"/>
            <w:shd w:fill="2D5AA0" w:color="auto" w:val="clear"/>
            <w:tcMar>
              <w:top w:type="dxa" w:w="95"/>
              <w:left w:type="dxa" w:w="190"/>
              <w:bottom w:type="dxa" w:w="95"/>
              <w:right w:type="dxa" w:w="1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3.5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4"/>
                <w:sz w:val="22"/>
                <w:szCs w:val="22"/>
              </w:rPr>
              <w:t xml:space="preserve">Cristian Bernal · Contaduría</w:t>
            </w:r>
          </w:p>
        </w:tc>
      </w:tr>
    </w:tbl>
    <w:p>
      <w:pPr>
        <w:spacing w:after="110"/>
      </w:pPr>
    </w:p>
    <w:p>
      <w:pPr>
        <w:spacing w:after="58" w:before="150" w:line="215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64748B"/>
          <w:spacing w:val="24"/>
          <w:sz w:val="17"/>
          <w:szCs w:val="17"/>
        </w:rPr>
        <w:t xml:space="preserve">Propósito del cargo</w:t>
      </w:r>
    </w:p>
    <w:p>
      <w:pPr>
        <w:spacing w:after="95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1"/>
          <w:szCs w:val="21"/>
        </w:rPr>
        <w:t xml:space="preserve">Validar el trabajo del equipo, ejecutar el cierre contable y transformar la información en estados financieros e informe para la toma de decisiones.</w:t>
      </w:r>
    </w:p>
    <w:p>
      <w:pPr>
        <w:spacing w:after="58" w:before="150" w:line="215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64748B"/>
          <w:spacing w:val="24"/>
          <w:sz w:val="17"/>
          <w:szCs w:val="17"/>
        </w:rPr>
        <w:t xml:space="preserve">Funciones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0"/>
          <w:szCs w:val="20"/>
        </w:rPr>
        <w:t xml:space="preserve">Acompañar la conciliación bancaria y validar los saldos entre los días 7 y 9.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0"/>
          <w:szCs w:val="20"/>
        </w:rPr>
        <w:t xml:space="preserve">Ejecutar el cierre contable y liquidar la retención en la fuente entre los días 10 y 14.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0"/>
          <w:szCs w:val="20"/>
        </w:rPr>
        <w:t xml:space="preserve">Preparar los cinco insumos del informe: flujo de efectivo, cartera, recaudo, EESF y Estado de Resultados.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0"/>
          <w:szCs w:val="20"/>
        </w:rPr>
        <w:t xml:space="preserve">Sostener la sesión de comentarios comerciales con el área comercial entre los días 10 y 12.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0"/>
          <w:szCs w:val="20"/>
        </w:rPr>
        <w:t xml:space="preserve">Sostener la sesión de feedback con Gerencia entre los días 13 y 14.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0"/>
          <w:szCs w:val="20"/>
        </w:rPr>
        <w:t xml:space="preserve">Construir y entregar el dashboard ejecutivo el día 15.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0"/>
          <w:szCs w:val="20"/>
        </w:rPr>
        <w:t xml:space="preserve">Acompañar el proceso con socios hasta el día 20.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0"/>
          <w:szCs w:val="20"/>
        </w:rPr>
        <w:t xml:space="preserve">Presentar la declaración de IVA en los meses del bimestre.</w:t>
      </w:r>
    </w:p>
    <w:p>
      <w:pPr>
        <w:spacing w:after="58" w:before="150" w:line="215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64748B"/>
          <w:spacing w:val="24"/>
          <w:sz w:val="17"/>
          <w:szCs w:val="17"/>
        </w:rPr>
        <w:t xml:space="preserve">Competencias requeridas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0"/>
          <w:szCs w:val="20"/>
        </w:rPr>
        <w:t xml:space="preserve">Título profesional en Contaduría Pública con tarjeta vigente.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0"/>
          <w:szCs w:val="20"/>
        </w:rPr>
        <w:t xml:space="preserve">Elaboración de estados financieros bajo el marco normativo colombiano.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0"/>
          <w:szCs w:val="20"/>
        </w:rPr>
        <w:t xml:space="preserve">Manejo tributario: retención en la fuente, IVA y obligaciones DIAN.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0"/>
          <w:szCs w:val="20"/>
        </w:rPr>
        <w:t xml:space="preserve">Capacidad de comunicar resultados a nivel directivo.</w:t>
      </w:r>
    </w:p>
    <w:p>
      <w:pPr>
        <w:spacing w:after="58" w:before="150" w:line="215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64748B"/>
          <w:spacing w:val="24"/>
          <w:sz w:val="17"/>
          <w:szCs w:val="17"/>
        </w:rPr>
        <w:t xml:space="preserve">Entregables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0"/>
          <w:szCs w:val="20"/>
        </w:rPr>
        <w:t xml:space="preserve">Cierre contable del período.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0"/>
          <w:szCs w:val="20"/>
        </w:rPr>
        <w:t xml:space="preserve">Estados financieros validados.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0"/>
          <w:szCs w:val="20"/>
        </w:rPr>
        <w:t xml:space="preserve">Dashboard ejecutivo entregado el día 15.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0"/>
          <w:szCs w:val="20"/>
        </w:rPr>
        <w:t xml:space="preserve">Declaraciones tributarias presentadas.</w:t>
      </w:r>
    </w:p>
    <w:p>
      <w:pPr>
        <w:spacing w:after="58" w:before="150" w:line="215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64748B"/>
          <w:spacing w:val="24"/>
          <w:sz w:val="17"/>
          <w:szCs w:val="17"/>
        </w:rPr>
        <w:t xml:space="preserve">Carga medida</w:t>
      </w:r>
    </w:p>
    <w:tbl>
      <w:tblPr>
        <w:tblW w:type="dxa" w:w="9072"/>
        <w:tblBorders>
          <w:top w:val="single" w:color="CBD5E1" w:sz="2"/>
          <w:left w:val="single" w:color="CBD5E1" w:sz="2"/>
          <w:bottom w:val="single" w:color="CBD5E1" w:sz="2"/>
          <w:right w:val="single" w:color="CBD5E1" w:sz="2"/>
          <w:insideH w:val="single" w:color="CBD5E1" w:sz="2"/>
          <w:insideV w:val="single" w:color="CBD5E1" w:sz="2"/>
        </w:tblBorders>
      </w:tblPr>
      <w:tblGrid>
        <w:gridCol w:w="2270"/>
        <w:gridCol w:w="2270"/>
        <w:gridCol w:w="2266"/>
        <w:gridCol w:w="2266"/>
      </w:tblGrid>
      <w:tr>
        <w:trPr>
          <w:tblHeader/>
        </w:trPr>
        <w:tc>
          <w:tcPr>
            <w:tcW w:type="dxa" w:w="2270"/>
            <w:shd w:fill="1B3A6B" w:color="auto" w:val="clear"/>
            <w:tcMar>
              <w:top w:type="dxa" w:w="78"/>
              <w:left w:type="dxa" w:w="120"/>
              <w:bottom w:type="dxa" w:w="78"/>
              <w:right w:type="dxa" w:w="12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2"/>
                <w:sz w:val="18"/>
                <w:szCs w:val="18"/>
              </w:rPr>
              <w:t xml:space="preserve">Tareas al año</w:t>
            </w:r>
          </w:p>
        </w:tc>
        <w:tc>
          <w:tcPr>
            <w:tcW w:type="dxa" w:w="2270"/>
            <w:shd w:fill="1B3A6B" w:color="auto" w:val="clear"/>
            <w:tcMar>
              <w:top w:type="dxa" w:w="78"/>
              <w:left w:type="dxa" w:w="120"/>
              <w:bottom w:type="dxa" w:w="78"/>
              <w:right w:type="dxa" w:w="12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2"/>
                <w:sz w:val="18"/>
                <w:szCs w:val="18"/>
              </w:rPr>
              <w:t xml:space="preserve">Días-tarea</w:t>
            </w:r>
          </w:p>
        </w:tc>
        <w:tc>
          <w:tcPr>
            <w:tcW w:type="dxa" w:w="2266"/>
            <w:shd w:fill="1B3A6B" w:color="auto" w:val="clear"/>
            <w:tcMar>
              <w:top w:type="dxa" w:w="78"/>
              <w:left w:type="dxa" w:w="120"/>
              <w:bottom w:type="dxa" w:w="78"/>
              <w:right w:type="dxa" w:w="12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2"/>
                <w:sz w:val="18"/>
                <w:szCs w:val="18"/>
              </w:rPr>
              <w:t xml:space="preserve">Ocupación</w:t>
            </w:r>
          </w:p>
        </w:tc>
        <w:tc>
          <w:tcPr>
            <w:tcW w:type="dxa" w:w="2266"/>
            <w:shd w:fill="1B3A6B" w:color="auto" w:val="clear"/>
            <w:tcMar>
              <w:top w:type="dxa" w:w="78"/>
              <w:left w:type="dxa" w:w="120"/>
              <w:bottom w:type="dxa" w:w="78"/>
              <w:right w:type="dxa" w:w="12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2"/>
                <w:sz w:val="18"/>
                <w:szCs w:val="18"/>
              </w:rPr>
              <w:t xml:space="preserve">Pico simultáneo</w:t>
            </w:r>
          </w:p>
        </w:tc>
      </w:tr>
      <w:tr>
        <w:tc>
          <w:tcPr>
            <w:tcW w:type="dxa" w:w="227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2540"/>
                <w:sz w:val="18"/>
                <w:szCs w:val="18"/>
              </w:rPr>
              <w:t xml:space="preserve">174</w:t>
            </w:r>
          </w:p>
        </w:tc>
        <w:tc>
          <w:tcPr>
            <w:tcW w:type="dxa" w:w="227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719</w:t>
            </w:r>
          </w:p>
        </w:tc>
        <w:tc>
          <w:tcPr>
            <w:tcW w:type="dxa" w:w="2266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100%</w:t>
            </w:r>
          </w:p>
        </w:tc>
        <w:tc>
          <w:tcPr>
            <w:tcW w:type="dxa" w:w="2266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7 tareas</w:t>
            </w:r>
          </w:p>
        </w:tc>
      </w:tr>
    </w:tbl>
    <w:p>
      <w:r>
        <w:br w:type="page"/>
      </w:r>
    </w:p>
    <w:tbl>
      <w:tblPr>
        <w:tblW w:type="dxa" w:w="9072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072"/>
      </w:tblGrid>
      <w:tr>
        <w:tc>
          <w:tcPr>
            <w:tcW w:type="dxa" w:w="9072"/>
            <w:shd w:fill="1B3A6B" w:color="auto" w:val="clear"/>
            <w:tcMar>
              <w:top w:type="dxa" w:w="95"/>
              <w:left w:type="dxa" w:w="190"/>
              <w:bottom w:type="dxa" w:w="95"/>
              <w:right w:type="dxa" w:w="1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4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4"/>
                <w:sz w:val="22"/>
                <w:szCs w:val="22"/>
              </w:rPr>
              <w:t xml:space="preserve">Análisis de carga de trabajo</w:t>
            </w:r>
          </w:p>
        </w:tc>
      </w:tr>
    </w:tbl>
    <w:p>
      <w:pPr>
        <w:spacing w:after="110"/>
      </w:pPr>
    </w:p>
    <w:p>
      <w:pPr>
        <w:spacing w:after="95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1"/>
          <w:szCs w:val="21"/>
        </w:rPr>
        <w:t xml:space="preserve">La carga se midió sobre el catálogo completo de procesos del año. La unidad es el día-tarea: la suma de los días que cada tarea permanece abierta. Es una medida de exposición y simultaneidad, no de horas trabajadas, y por eso no debe leerse como una estimación de tiempo dedicado.</w:t>
      </w:r>
    </w:p>
    <w:p>
      <w:pPr>
        <w:spacing w:after="100"/>
      </w:pPr>
    </w:p>
    <w:tbl>
      <w:tblPr>
        <w:tblW w:type="dxa" w:w="9072"/>
        <w:tblBorders>
          <w:top w:val="single" w:color="CBD5E1" w:sz="2"/>
          <w:left w:val="single" w:color="CBD5E1" w:sz="2"/>
          <w:bottom w:val="single" w:color="CBD5E1" w:sz="2"/>
          <w:right w:val="single" w:color="CBD5E1" w:sz="2"/>
          <w:insideH w:val="single" w:color="CBD5E1" w:sz="2"/>
          <w:insideV w:val="single" w:color="CBD5E1" w:sz="2"/>
        </w:tblBorders>
      </w:tblPr>
      <w:tblGrid>
        <w:gridCol w:w="2100"/>
        <w:gridCol w:w="1500"/>
        <w:gridCol w:w="1500"/>
        <w:gridCol w:w="1400"/>
        <w:gridCol w:w="1300"/>
        <w:gridCol w:w="1272"/>
      </w:tblGrid>
      <w:tr>
        <w:trPr>
          <w:tblHeader/>
        </w:trPr>
        <w:tc>
          <w:tcPr>
            <w:tcW w:type="dxa" w:w="2100"/>
            <w:shd w:fill="1B3A6B" w:color="auto" w:val="clear"/>
            <w:tcMar>
              <w:top w:type="dxa" w:w="78"/>
              <w:left w:type="dxa" w:w="120"/>
              <w:bottom w:type="dxa" w:w="78"/>
              <w:right w:type="dxa" w:w="12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2"/>
                <w:sz w:val="18"/>
                <w:szCs w:val="18"/>
              </w:rPr>
              <w:t xml:space="preserve">Posición</w:t>
            </w:r>
          </w:p>
        </w:tc>
        <w:tc>
          <w:tcPr>
            <w:tcW w:type="dxa" w:w="1500"/>
            <w:shd w:fill="1B3A6B" w:color="auto" w:val="clear"/>
            <w:tcMar>
              <w:top w:type="dxa" w:w="78"/>
              <w:left w:type="dxa" w:w="120"/>
              <w:bottom w:type="dxa" w:w="78"/>
              <w:right w:type="dxa" w:w="12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2"/>
                <w:sz w:val="18"/>
                <w:szCs w:val="18"/>
              </w:rPr>
              <w:t xml:space="preserve">Tareas
al año</w:t>
            </w:r>
          </w:p>
        </w:tc>
        <w:tc>
          <w:tcPr>
            <w:tcW w:type="dxa" w:w="1500"/>
            <w:shd w:fill="1B3A6B" w:color="auto" w:val="clear"/>
            <w:tcMar>
              <w:top w:type="dxa" w:w="78"/>
              <w:left w:type="dxa" w:w="120"/>
              <w:bottom w:type="dxa" w:w="78"/>
              <w:right w:type="dxa" w:w="12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2"/>
                <w:sz w:val="18"/>
                <w:szCs w:val="18"/>
              </w:rPr>
              <w:t xml:space="preserve">Días-tarea
al año</w:t>
            </w:r>
          </w:p>
        </w:tc>
        <w:tc>
          <w:tcPr>
            <w:tcW w:type="dxa" w:w="1400"/>
            <w:shd w:fill="1B3A6B" w:color="auto" w:val="clear"/>
            <w:tcMar>
              <w:top w:type="dxa" w:w="78"/>
              <w:left w:type="dxa" w:w="120"/>
              <w:bottom w:type="dxa" w:w="78"/>
              <w:right w:type="dxa" w:w="12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2"/>
                <w:sz w:val="18"/>
                <w:szCs w:val="18"/>
              </w:rPr>
              <w:t xml:space="preserve">Ocupación</w:t>
            </w:r>
          </w:p>
        </w:tc>
        <w:tc>
          <w:tcPr>
            <w:tcW w:type="dxa" w:w="1300"/>
            <w:shd w:fill="1B3A6B" w:color="auto" w:val="clear"/>
            <w:tcMar>
              <w:top w:type="dxa" w:w="78"/>
              <w:left w:type="dxa" w:w="120"/>
              <w:bottom w:type="dxa" w:w="78"/>
              <w:right w:type="dxa" w:w="12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2"/>
                <w:sz w:val="18"/>
                <w:szCs w:val="18"/>
              </w:rPr>
              <w:t xml:space="preserve">Tareas/día</w:t>
            </w:r>
          </w:p>
        </w:tc>
        <w:tc>
          <w:tcPr>
            <w:tcW w:type="dxa" w:w="1272"/>
            <w:shd w:fill="1B3A6B" w:color="auto" w:val="clear"/>
            <w:tcMar>
              <w:top w:type="dxa" w:w="78"/>
              <w:left w:type="dxa" w:w="120"/>
              <w:bottom w:type="dxa" w:w="78"/>
              <w:right w:type="dxa" w:w="12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2"/>
                <w:sz w:val="18"/>
                <w:szCs w:val="18"/>
              </w:rPr>
              <w:t xml:space="preserve">Pico</w:t>
            </w:r>
          </w:p>
        </w:tc>
      </w:tr>
      <w:tr>
        <w:tc>
          <w:tcPr>
            <w:tcW w:type="dxa" w:w="21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2540"/>
                <w:sz w:val="18"/>
                <w:szCs w:val="18"/>
              </w:rPr>
              <w:t xml:space="preserve">Beatriz</w:t>
            </w:r>
          </w:p>
        </w:tc>
        <w:tc>
          <w:tcPr>
            <w:tcW w:type="dxa" w:w="15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24</w:t>
            </w:r>
          </w:p>
        </w:tc>
        <w:tc>
          <w:tcPr>
            <w:tcW w:type="dxa" w:w="15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401</w:t>
            </w:r>
          </w:p>
        </w:tc>
        <w:tc>
          <w:tcPr>
            <w:tcW w:type="dxa" w:w="14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100%</w:t>
            </w:r>
          </w:p>
        </w:tc>
        <w:tc>
          <w:tcPr>
            <w:tcW w:type="dxa" w:w="13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1.10</w:t>
            </w:r>
          </w:p>
        </w:tc>
        <w:tc>
          <w:tcPr>
            <w:tcW w:type="dxa" w:w="1272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100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2540"/>
                <w:sz w:val="18"/>
                <w:szCs w:val="18"/>
              </w:rPr>
              <w:t xml:space="preserve">Edgar</w:t>
            </w:r>
          </w:p>
        </w:tc>
        <w:tc>
          <w:tcPr>
            <w:tcW w:type="dxa" w:w="1500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60</w:t>
            </w:r>
          </w:p>
        </w:tc>
        <w:tc>
          <w:tcPr>
            <w:tcW w:type="dxa" w:w="1500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269</w:t>
            </w:r>
          </w:p>
        </w:tc>
        <w:tc>
          <w:tcPr>
            <w:tcW w:type="dxa" w:w="1400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57%</w:t>
            </w:r>
          </w:p>
        </w:tc>
        <w:tc>
          <w:tcPr>
            <w:tcW w:type="dxa" w:w="1300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0.74</w:t>
            </w:r>
          </w:p>
        </w:tc>
        <w:tc>
          <w:tcPr>
            <w:tcW w:type="dxa" w:w="1272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1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2540"/>
                <w:sz w:val="18"/>
                <w:szCs w:val="18"/>
              </w:rPr>
              <w:t xml:space="preserve">Isnardi</w:t>
            </w:r>
          </w:p>
        </w:tc>
        <w:tc>
          <w:tcPr>
            <w:tcW w:type="dxa" w:w="15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72</w:t>
            </w:r>
          </w:p>
        </w:tc>
        <w:tc>
          <w:tcPr>
            <w:tcW w:type="dxa" w:w="15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1196</w:t>
            </w:r>
          </w:p>
        </w:tc>
        <w:tc>
          <w:tcPr>
            <w:tcW w:type="dxa" w:w="14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100%</w:t>
            </w:r>
          </w:p>
        </w:tc>
        <w:tc>
          <w:tcPr>
            <w:tcW w:type="dxa" w:w="13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3.28</w:t>
            </w:r>
          </w:p>
        </w:tc>
        <w:tc>
          <w:tcPr>
            <w:tcW w:type="dxa" w:w="1272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dxa" w:w="2100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2540"/>
                <w:sz w:val="18"/>
                <w:szCs w:val="18"/>
              </w:rPr>
              <w:t xml:space="preserve">Luis</w:t>
            </w:r>
          </w:p>
        </w:tc>
        <w:tc>
          <w:tcPr>
            <w:tcW w:type="dxa" w:w="1500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120</w:t>
            </w:r>
          </w:p>
        </w:tc>
        <w:tc>
          <w:tcPr>
            <w:tcW w:type="dxa" w:w="1500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1003</w:t>
            </w:r>
          </w:p>
        </w:tc>
        <w:tc>
          <w:tcPr>
            <w:tcW w:type="dxa" w:w="1400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100%</w:t>
            </w:r>
          </w:p>
        </w:tc>
        <w:tc>
          <w:tcPr>
            <w:tcW w:type="dxa" w:w="1300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2.75</w:t>
            </w:r>
          </w:p>
        </w:tc>
        <w:tc>
          <w:tcPr>
            <w:tcW w:type="dxa" w:w="1272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21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2540"/>
                <w:sz w:val="18"/>
                <w:szCs w:val="18"/>
              </w:rPr>
              <w:t xml:space="preserve">Cristian</w:t>
            </w:r>
          </w:p>
        </w:tc>
        <w:tc>
          <w:tcPr>
            <w:tcW w:type="dxa" w:w="15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174</w:t>
            </w:r>
          </w:p>
        </w:tc>
        <w:tc>
          <w:tcPr>
            <w:tcW w:type="dxa" w:w="15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719</w:t>
            </w:r>
          </w:p>
        </w:tc>
        <w:tc>
          <w:tcPr>
            <w:tcW w:type="dxa" w:w="14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100%</w:t>
            </w:r>
          </w:p>
        </w:tc>
        <w:tc>
          <w:tcPr>
            <w:tcW w:type="dxa" w:w="13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1.97</w:t>
            </w:r>
          </w:p>
        </w:tc>
        <w:tc>
          <w:tcPr>
            <w:tcW w:type="dxa" w:w="1272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7</w:t>
            </w:r>
          </w:p>
        </w:tc>
      </w:tr>
    </w:tbl>
    <w:p>
      <w:pPr>
        <w:pBdr>
          <w:bottom w:val="single" w:color="CBD5E1" w:sz="6" w:space="6"/>
        </w:pBdr>
        <w:spacing w:after="80" w:before="200" w:line="25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3A6B"/>
          <w:sz w:val="23"/>
          <w:szCs w:val="23"/>
        </w:rPr>
        <w:t xml:space="preserve">Lectura de los resultados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0"/>
          <w:szCs w:val="20"/>
        </w:rPr>
        <w:t xml:space="preserve">Tesorería y Auxiliar Contable sostienen la mayor carga continua: tienen tareas abiertas todos los días del año por el registro diario de cobros, pagos y documentos soporte.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0"/>
          <w:szCs w:val="20"/>
        </w:rPr>
        <w:t xml:space="preserve">Contaduría tiene menos días-tarea pero el pico más alto del equipo: siete tareas propias coincidiendo en un mismo día.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0"/>
          <w:szCs w:val="20"/>
        </w:rPr>
        <w:t xml:space="preserve">Gerencia registra la ocupación más baja porque sus tareas son puntuales, no continuas. Aun así, dos de ellas bloquean el avance de otras personas.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0"/>
          <w:szCs w:val="20"/>
        </w:rPr>
        <w:t xml:space="preserve">El área comercial acumula 401 días-tarea con solo dos tareas: son procesos permanentes que corren todo el mes.</w:t>
      </w:r>
    </w:p>
    <w:p>
      <w:pPr>
        <w:pBdr>
          <w:bottom w:val="single" w:color="CBD5E1" w:sz="6" w:space="6"/>
        </w:pBdr>
        <w:spacing w:after="80" w:before="200" w:line="25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3A6B"/>
          <w:sz w:val="23"/>
          <w:szCs w:val="23"/>
        </w:rPr>
        <w:t xml:space="preserve">Concentración dentro del mes</w:t>
      </w:r>
    </w:p>
    <w:p>
      <w:pPr>
        <w:spacing w:after="95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1"/>
          <w:szCs w:val="21"/>
        </w:rPr>
        <w:t xml:space="preserve">El 30% de la carga del equipo se concentra entre los días 8 y 14. En esa franja coinciden el cierre contable, la retención en la fuente, los cinco insumos del informe, las dos sesiones de revisión y las obligaciones de seguridad social y nómina.</w:t>
      </w:r>
    </w:p>
    <w:p>
      <w:pPr>
        <w:spacing w:after="100"/>
      </w:pPr>
    </w:p>
    <w:tbl>
      <w:tblPr>
        <w:tblW w:type="dxa" w:w="9072"/>
        <w:tblBorders>
          <w:top w:val="single" w:color="CBD5E1" w:sz="2"/>
          <w:left w:val="single" w:color="CBD5E1" w:sz="2"/>
          <w:bottom w:val="single" w:color="CBD5E1" w:sz="2"/>
          <w:right w:val="single" w:color="CBD5E1" w:sz="2"/>
          <w:insideH w:val="single" w:color="CBD5E1" w:sz="2"/>
          <w:insideV w:val="single" w:color="CBD5E1" w:sz="2"/>
        </w:tblBorders>
      </w:tblPr>
      <w:tblGrid>
        <w:gridCol w:w="2400"/>
        <w:gridCol w:w="1800"/>
        <w:gridCol w:w="1500"/>
        <w:gridCol w:w="3372"/>
      </w:tblGrid>
      <w:tr>
        <w:trPr>
          <w:tblHeader/>
        </w:trPr>
        <w:tc>
          <w:tcPr>
            <w:tcW w:type="dxa" w:w="2400"/>
            <w:shd w:fill="1B3A6B" w:color="auto" w:val="clear"/>
            <w:tcMar>
              <w:top w:type="dxa" w:w="78"/>
              <w:left w:type="dxa" w:w="120"/>
              <w:bottom w:type="dxa" w:w="78"/>
              <w:right w:type="dxa" w:w="12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2"/>
                <w:sz w:val="18"/>
                <w:szCs w:val="18"/>
              </w:rPr>
              <w:t xml:space="preserve">Tramo</w:t>
            </w:r>
          </w:p>
        </w:tc>
        <w:tc>
          <w:tcPr>
            <w:tcW w:type="dxa" w:w="1800"/>
            <w:shd w:fill="1B3A6B" w:color="auto" w:val="clear"/>
            <w:tcMar>
              <w:top w:type="dxa" w:w="78"/>
              <w:left w:type="dxa" w:w="120"/>
              <w:bottom w:type="dxa" w:w="78"/>
              <w:right w:type="dxa" w:w="12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2"/>
                <w:sz w:val="18"/>
                <w:szCs w:val="18"/>
              </w:rPr>
              <w:t xml:space="preserve">Días-tarea</w:t>
            </w:r>
          </w:p>
        </w:tc>
        <w:tc>
          <w:tcPr>
            <w:tcW w:type="dxa" w:w="1500"/>
            <w:shd w:fill="1B3A6B" w:color="auto" w:val="clear"/>
            <w:tcMar>
              <w:top w:type="dxa" w:w="78"/>
              <w:left w:type="dxa" w:w="120"/>
              <w:bottom w:type="dxa" w:w="78"/>
              <w:right w:type="dxa" w:w="12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2"/>
                <w:sz w:val="18"/>
                <w:szCs w:val="18"/>
              </w:rPr>
              <w:t xml:space="preserve">Peso</w:t>
            </w:r>
          </w:p>
        </w:tc>
        <w:tc>
          <w:tcPr>
            <w:tcW w:type="dxa" w:w="3372"/>
            <w:shd w:fill="1B3A6B" w:color="auto" w:val="clear"/>
            <w:tcMar>
              <w:top w:type="dxa" w:w="78"/>
              <w:left w:type="dxa" w:w="120"/>
              <w:bottom w:type="dxa" w:w="78"/>
              <w:right w:type="dxa" w:w="12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2"/>
                <w:sz w:val="18"/>
                <w:szCs w:val="18"/>
              </w:rPr>
              <w:t xml:space="preserve">Contenido</w:t>
            </w:r>
          </w:p>
        </w:tc>
      </w:tr>
      <w:tr>
        <w:tc>
          <w:tcPr>
            <w:tcW w:type="dxa" w:w="24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2540"/>
                <w:sz w:val="18"/>
                <w:szCs w:val="18"/>
              </w:rPr>
              <w:t xml:space="preserve">Días 1 a 7</w:t>
            </w:r>
          </w:p>
        </w:tc>
        <w:tc>
          <w:tcPr>
            <w:tcW w:type="dxa" w:w="18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63</w:t>
            </w:r>
          </w:p>
        </w:tc>
        <w:tc>
          <w:tcPr>
            <w:tcW w:type="dxa" w:w="15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21%</w:t>
            </w:r>
          </w:p>
        </w:tc>
        <w:tc>
          <w:tcPr>
            <w:tcW w:type="dxa" w:w="3372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Apertura del mes y facturación electrónica</w:t>
            </w:r>
          </w:p>
        </w:tc>
      </w:tr>
      <w:tr>
        <w:tc>
          <w:tcPr>
            <w:tcW w:type="dxa" w:w="2400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2540"/>
                <w:sz w:val="18"/>
                <w:szCs w:val="18"/>
              </w:rPr>
              <w:t xml:space="preserve">Días 8 a 14</w:t>
            </w:r>
          </w:p>
        </w:tc>
        <w:tc>
          <w:tcPr>
            <w:tcW w:type="dxa" w:w="1800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90</w:t>
            </w:r>
          </w:p>
        </w:tc>
        <w:tc>
          <w:tcPr>
            <w:tcW w:type="dxa" w:w="1500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30%</w:t>
            </w:r>
          </w:p>
        </w:tc>
        <w:tc>
          <w:tcPr>
            <w:tcW w:type="dxa" w:w="3372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Cierre contable, insumos del informe y nómina</w:t>
            </w:r>
          </w:p>
        </w:tc>
      </w:tr>
      <w:tr>
        <w:tc>
          <w:tcPr>
            <w:tcW w:type="dxa" w:w="24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2540"/>
                <w:sz w:val="18"/>
                <w:szCs w:val="18"/>
              </w:rPr>
              <w:t xml:space="preserve">Días 15 a 21</w:t>
            </w:r>
          </w:p>
        </w:tc>
        <w:tc>
          <w:tcPr>
            <w:tcW w:type="dxa" w:w="18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54</w:t>
            </w:r>
          </w:p>
        </w:tc>
        <w:tc>
          <w:tcPr>
            <w:tcW w:type="dxa" w:w="15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18%</w:t>
            </w:r>
          </w:p>
        </w:tc>
        <w:tc>
          <w:tcPr>
            <w:tcW w:type="dxa" w:w="3372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Entrega a Gerencia, socios, RADIAN e IVA</w:t>
            </w:r>
          </w:p>
        </w:tc>
      </w:tr>
      <w:tr>
        <w:tc>
          <w:tcPr>
            <w:tcW w:type="dxa" w:w="2400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2540"/>
                <w:sz w:val="18"/>
                <w:szCs w:val="18"/>
              </w:rPr>
              <w:t xml:space="preserve">Días 22 a 28</w:t>
            </w:r>
          </w:p>
        </w:tc>
        <w:tc>
          <w:tcPr>
            <w:tcW w:type="dxa" w:w="1800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64</w:t>
            </w:r>
          </w:p>
        </w:tc>
        <w:tc>
          <w:tcPr>
            <w:tcW w:type="dxa" w:w="1500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21%</w:t>
            </w:r>
          </w:p>
        </w:tc>
        <w:tc>
          <w:tcPr>
            <w:tcW w:type="dxa" w:w="3372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Causaciones y segunda quincena</w:t>
            </w:r>
          </w:p>
        </w:tc>
      </w:tr>
      <w:tr>
        <w:tc>
          <w:tcPr>
            <w:tcW w:type="dxa" w:w="24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2540"/>
                <w:sz w:val="18"/>
                <w:szCs w:val="18"/>
              </w:rPr>
              <w:t xml:space="preserve">Día 29 al cierre</w:t>
            </w:r>
          </w:p>
        </w:tc>
        <w:tc>
          <w:tcPr>
            <w:tcW w:type="dxa" w:w="18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30</w:t>
            </w:r>
          </w:p>
        </w:tc>
        <w:tc>
          <w:tcPr>
            <w:tcW w:type="dxa" w:w="15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10%</w:t>
            </w:r>
          </w:p>
        </w:tc>
        <w:tc>
          <w:tcPr>
            <w:tcW w:type="dxa" w:w="3372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Desembolsos y archivo plano</w:t>
            </w:r>
          </w:p>
        </w:tc>
      </w:tr>
    </w:tbl>
    <w:p>
      <w:pPr>
        <w:spacing w:after="120"/>
      </w:pPr>
    </w:p>
    <w:tbl>
      <w:tblPr>
        <w:tblW w:type="dxa" w:w="9072"/>
        <w:tblBorders>
          <w:top w:val="single" w:color="2D5AA0" w:sz="2"/>
          <w:left w:val="single" w:color="2D5AA0" w:sz="18"/>
          <w:bottom w:val="single" w:color="2D5AA0" w:sz="2"/>
          <w:right w:val="single" w:color="2D5AA0" w:sz="2"/>
          <w:insideH w:val="none" w:color="auto" w:sz="0"/>
          <w:insideV w:val="none" w:color="auto" w:sz="0"/>
        </w:tblBorders>
      </w:tblPr>
      <w:tblGrid>
        <w:gridCol w:w="9072"/>
      </w:tblGrid>
      <w:tr>
        <w:tc>
          <w:tcPr>
            <w:tcW w:type="dxa" w:w="9072"/>
            <w:shd w:fill="ECF2FA" w:color="auto" w:val="clear"/>
            <w:tcMar>
              <w:top w:type="dxa" w:w="110"/>
              <w:left w:type="dxa" w:w="210"/>
              <w:bottom w:type="dxa" w:w="110"/>
              <w:right w:type="dxa" w:w="210"/>
            </w:tcMar>
          </w:tcPr>
          <w:p>
            <w:pPr>
              <w:spacing w:after="62" w:line="2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1B3A6B"/>
                <w:spacing w:val="16"/>
                <w:sz w:val="19"/>
                <w:szCs w:val="19"/>
              </w:rPr>
              <w:t xml:space="preserve">Naturaleza de la concentración</w:t>
            </w:r>
          </w:p>
          <w:p>
            <w:pPr>
              <w:spacing w:after="0" w:line="26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20"/>
                <w:szCs w:val="20"/>
              </w:rPr>
              <w:t xml:space="preserve">La concentración entre los días 8 y 14 responde a dependencias reales y a vencimientos de ley. No se corrige reprogramando tareas: los insumos del informe deben estar cerrados antes del dashboard, y la nómina y la seguridad social tienen fecha externa. Las alternativas viables son delegar la preparación de insumos o ampliar la capacidad de la posición más expuesta.</w:t>
            </w:r>
          </w:p>
        </w:tc>
      </w:tr>
    </w:tbl>
    <w:p>
      <w:r>
        <w:br w:type="page"/>
      </w:r>
    </w:p>
    <w:tbl>
      <w:tblPr>
        <w:tblW w:type="dxa" w:w="9072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072"/>
      </w:tblGrid>
      <w:tr>
        <w:tc>
          <w:tcPr>
            <w:tcW w:type="dxa" w:w="9072"/>
            <w:shd w:fill="1B3A6B" w:color="auto" w:val="clear"/>
            <w:tcMar>
              <w:top w:type="dxa" w:w="95"/>
              <w:left w:type="dxa" w:w="190"/>
              <w:bottom w:type="dxa" w:w="95"/>
              <w:right w:type="dxa" w:w="1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5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4"/>
                <w:sz w:val="22"/>
                <w:szCs w:val="22"/>
              </w:rPr>
              <w:t xml:space="preserve">Riesgos identificados y controles</w:t>
            </w:r>
          </w:p>
        </w:tc>
      </w:tr>
    </w:tbl>
    <w:p>
      <w:pPr>
        <w:spacing w:after="110"/>
      </w:pPr>
    </w:p>
    <w:p>
      <w:pPr>
        <w:pBdr>
          <w:bottom w:val="single" w:color="CBD5E1" w:sz="6" w:space="6"/>
        </w:pBdr>
        <w:spacing w:after="80" w:before="200" w:line="25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3A6B"/>
          <w:sz w:val="23"/>
          <w:szCs w:val="23"/>
        </w:rPr>
        <w:t xml:space="preserve">Riesgos de proceso</w:t>
      </w:r>
    </w:p>
    <w:tbl>
      <w:tblPr>
        <w:tblW w:type="dxa" w:w="9072"/>
        <w:tblBorders>
          <w:top w:val="single" w:color="CBD5E1" w:sz="2"/>
          <w:left w:val="single" w:color="CBD5E1" w:sz="2"/>
          <w:bottom w:val="single" w:color="CBD5E1" w:sz="2"/>
          <w:right w:val="single" w:color="CBD5E1" w:sz="2"/>
          <w:insideH w:val="single" w:color="CBD5E1" w:sz="2"/>
          <w:insideV w:val="single" w:color="CBD5E1" w:sz="2"/>
        </w:tblBorders>
      </w:tblPr>
      <w:tblGrid>
        <w:gridCol w:w="2600"/>
        <w:gridCol w:w="3200"/>
        <w:gridCol w:w="3272"/>
      </w:tblGrid>
      <w:tr>
        <w:trPr>
          <w:tblHeader/>
        </w:trPr>
        <w:tc>
          <w:tcPr>
            <w:tcW w:type="dxa" w:w="2600"/>
            <w:shd w:fill="1B3A6B" w:color="auto" w:val="clear"/>
            <w:tcMar>
              <w:top w:type="dxa" w:w="78"/>
              <w:left w:type="dxa" w:w="120"/>
              <w:bottom w:type="dxa" w:w="78"/>
              <w:right w:type="dxa" w:w="12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2"/>
                <w:sz w:val="18"/>
                <w:szCs w:val="18"/>
              </w:rPr>
              <w:t xml:space="preserve">Riesgo</w:t>
            </w:r>
          </w:p>
        </w:tc>
        <w:tc>
          <w:tcPr>
            <w:tcW w:type="dxa" w:w="3200"/>
            <w:shd w:fill="1B3A6B" w:color="auto" w:val="clear"/>
            <w:tcMar>
              <w:top w:type="dxa" w:w="78"/>
              <w:left w:type="dxa" w:w="120"/>
              <w:bottom w:type="dxa" w:w="78"/>
              <w:right w:type="dxa" w:w="12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2"/>
                <w:sz w:val="18"/>
                <w:szCs w:val="18"/>
              </w:rPr>
              <w:t xml:space="preserve">Efecto</w:t>
            </w:r>
          </w:p>
        </w:tc>
        <w:tc>
          <w:tcPr>
            <w:tcW w:type="dxa" w:w="3272"/>
            <w:shd w:fill="1B3A6B" w:color="auto" w:val="clear"/>
            <w:tcMar>
              <w:top w:type="dxa" w:w="78"/>
              <w:left w:type="dxa" w:w="120"/>
              <w:bottom w:type="dxa" w:w="78"/>
              <w:right w:type="dxa" w:w="12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2"/>
                <w:sz w:val="18"/>
                <w:szCs w:val="18"/>
              </w:rPr>
              <w:t xml:space="preserve">Control establecido</w:t>
            </w:r>
          </w:p>
        </w:tc>
      </w:tr>
      <w:tr>
        <w:tc>
          <w:tcPr>
            <w:tcW w:type="dxa" w:w="26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2540"/>
                <w:sz w:val="18"/>
                <w:szCs w:val="18"/>
              </w:rPr>
              <w:t xml:space="preserve">Pago sin causación previa</w:t>
            </w:r>
          </w:p>
        </w:tc>
        <w:tc>
          <w:tcPr>
            <w:tcW w:type="dxa" w:w="32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Gasto sin soporte contable ni trazabilidad</w:t>
            </w:r>
          </w:p>
        </w:tc>
        <w:tc>
          <w:tcPr>
            <w:tcW w:type="dxa" w:w="3272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Tesorería paga únicamente contra cuenta por pagar ya causada. Sin soporte, el registro va a anticipos Cuenta 13 y queda pendiente de legalización.</w:t>
            </w:r>
          </w:p>
        </w:tc>
      </w:tr>
      <w:tr>
        <w:tc>
          <w:tcPr>
            <w:tcW w:type="dxa" w:w="2600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2540"/>
                <w:sz w:val="18"/>
                <w:szCs w:val="18"/>
              </w:rPr>
              <w:t xml:space="preserve">Invoice del exterior sin documento soporte</w:t>
            </w:r>
          </w:p>
        </w:tc>
        <w:tc>
          <w:tcPr>
            <w:tcW w:type="dxa" w:w="3200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Gasto no deducible y hallazgo ante la DIAN</w:t>
            </w:r>
          </w:p>
        </w:tc>
        <w:tc>
          <w:tcPr>
            <w:tcW w:type="dxa" w:w="3272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El documento soporte se genera únicamente contra el invoice. Revisión conjunta entre Auxiliar Contable y Contaduría al cierre de cada mes.</w:t>
            </w:r>
          </w:p>
        </w:tc>
      </w:tr>
      <w:tr>
        <w:tc>
          <w:tcPr>
            <w:tcW w:type="dxa" w:w="26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2540"/>
                <w:sz w:val="18"/>
                <w:szCs w:val="18"/>
              </w:rPr>
              <w:t xml:space="preserve">Gastos de tarjeta sin clasificar</w:t>
            </w:r>
          </w:p>
        </w:tc>
        <w:tc>
          <w:tcPr>
            <w:tcW w:type="dxa" w:w="32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Conciliación de tarjeta abierta y cierre contable retrasado</w:t>
            </w:r>
          </w:p>
        </w:tc>
        <w:tc>
          <w:tcPr>
            <w:tcW w:type="dxa" w:w="3272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Escalamiento a Gerencia de los gastos no regulares, con ventana definida entre los días 6 y 10.</w:t>
            </w:r>
          </w:p>
        </w:tc>
      </w:tr>
      <w:tr>
        <w:tc>
          <w:tcPr>
            <w:tcW w:type="dxa" w:w="2600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2540"/>
                <w:sz w:val="18"/>
                <w:szCs w:val="18"/>
              </w:rPr>
              <w:t xml:space="preserve">Cobro sin aplicar a factura</w:t>
            </w:r>
          </w:p>
        </w:tc>
        <w:tc>
          <w:tcPr>
            <w:tcW w:type="dxa" w:w="3200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Cartera inflada y conciliación bancaria que no cierra</w:t>
            </w:r>
          </w:p>
        </w:tc>
        <w:tc>
          <w:tcPr>
            <w:tcW w:type="dxa" w:w="3272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Cada recibo de caja se aplica a las facturas que cubre y se descarga la cartera del cliente.</w:t>
            </w:r>
          </w:p>
        </w:tc>
      </w:tr>
      <w:tr>
        <w:tc>
          <w:tcPr>
            <w:tcW w:type="dxa" w:w="26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2540"/>
                <w:sz w:val="18"/>
                <w:szCs w:val="18"/>
              </w:rPr>
              <w:t xml:space="preserve">Cuota de crédito mal clasificada</w:t>
            </w:r>
          </w:p>
        </w:tc>
        <w:tc>
          <w:tcPr>
            <w:tcW w:type="dxa" w:w="32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Distorsión del saldo de la deuda y del gasto financiero</w:t>
            </w:r>
          </w:p>
        </w:tc>
        <w:tc>
          <w:tcPr>
            <w:tcW w:type="dxa" w:w="3272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Descomposición obligatoria en capital, intereses y gastos bancarios, cuadrando contra la salida de dinero.</w:t>
            </w:r>
          </w:p>
        </w:tc>
      </w:tr>
      <w:tr>
        <w:tc>
          <w:tcPr>
            <w:tcW w:type="dxa" w:w="2600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2540"/>
                <w:sz w:val="18"/>
                <w:szCs w:val="18"/>
              </w:rPr>
              <w:t xml:space="preserve">Informe a socios sin revisión previa</w:t>
            </w:r>
          </w:p>
        </w:tc>
        <w:tc>
          <w:tcPr>
            <w:tcW w:type="dxa" w:w="3200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Cifras presentadas sin contexto comercial ni aval de Gerencia</w:t>
            </w:r>
          </w:p>
        </w:tc>
        <w:tc>
          <w:tcPr>
            <w:tcW w:type="dxa" w:w="3272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Dos sesiones obligatorias antes de la entrega: comercial en los días 10 a 12 y Gerencia en los días 13 a 14.</w:t>
            </w:r>
          </w:p>
        </w:tc>
      </w:tr>
    </w:tbl>
    <w:p>
      <w:pPr>
        <w:pBdr>
          <w:bottom w:val="single" w:color="CBD5E1" w:sz="6" w:space="6"/>
        </w:pBdr>
        <w:spacing w:after="80" w:before="200" w:line="25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3A6B"/>
          <w:sz w:val="23"/>
          <w:szCs w:val="23"/>
        </w:rPr>
        <w:t xml:space="preserve">Riesgos de carga y continuidad</w:t>
      </w:r>
    </w:p>
    <w:p>
      <w:pPr>
        <w:spacing w:after="95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1"/>
          <w:szCs w:val="21"/>
        </w:rPr>
        <w:t xml:space="preserve">Estos son los puntos que se someten específicamente a consideración de Recursos Humanos.</w:t>
      </w:r>
    </w:p>
    <w:p>
      <w:pPr>
        <w:spacing w:after="90"/>
      </w:pPr>
    </w:p>
    <w:tbl>
      <w:tblPr>
        <w:tblW w:type="dxa" w:w="9072"/>
        <w:tblBorders>
          <w:top w:val="single" w:color="CBD5E1" w:sz="2"/>
          <w:left w:val="single" w:color="CBD5E1" w:sz="2"/>
          <w:bottom w:val="single" w:color="CBD5E1" w:sz="2"/>
          <w:right w:val="single" w:color="CBD5E1" w:sz="2"/>
          <w:insideH w:val="single" w:color="CBD5E1" w:sz="2"/>
          <w:insideV w:val="single" w:color="CBD5E1" w:sz="2"/>
        </w:tblBorders>
      </w:tblPr>
      <w:tblGrid>
        <w:gridCol w:w="2600"/>
        <w:gridCol w:w="3200"/>
        <w:gridCol w:w="3272"/>
      </w:tblGrid>
      <w:tr>
        <w:trPr>
          <w:tblHeader/>
        </w:trPr>
        <w:tc>
          <w:tcPr>
            <w:tcW w:type="dxa" w:w="2600"/>
            <w:shd w:fill="1B3A6B" w:color="auto" w:val="clear"/>
            <w:tcMar>
              <w:top w:type="dxa" w:w="78"/>
              <w:left w:type="dxa" w:w="120"/>
              <w:bottom w:type="dxa" w:w="78"/>
              <w:right w:type="dxa" w:w="12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2"/>
                <w:sz w:val="18"/>
                <w:szCs w:val="18"/>
              </w:rPr>
              <w:t xml:space="preserve">Situación</w:t>
            </w:r>
          </w:p>
        </w:tc>
        <w:tc>
          <w:tcPr>
            <w:tcW w:type="dxa" w:w="3200"/>
            <w:shd w:fill="1B3A6B" w:color="auto" w:val="clear"/>
            <w:tcMar>
              <w:top w:type="dxa" w:w="78"/>
              <w:left w:type="dxa" w:w="120"/>
              <w:bottom w:type="dxa" w:w="78"/>
              <w:right w:type="dxa" w:w="12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2"/>
                <w:sz w:val="18"/>
                <w:szCs w:val="18"/>
              </w:rPr>
              <w:t xml:space="preserve">Riesgo</w:t>
            </w:r>
          </w:p>
        </w:tc>
        <w:tc>
          <w:tcPr>
            <w:tcW w:type="dxa" w:w="3272"/>
            <w:shd w:fill="1B3A6B" w:color="auto" w:val="clear"/>
            <w:tcMar>
              <w:top w:type="dxa" w:w="78"/>
              <w:left w:type="dxa" w:w="120"/>
              <w:bottom w:type="dxa" w:w="78"/>
              <w:right w:type="dxa" w:w="12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2"/>
                <w:sz w:val="18"/>
                <w:szCs w:val="18"/>
              </w:rPr>
              <w:t xml:space="preserve">Alternativa propuesta</w:t>
            </w:r>
          </w:p>
        </w:tc>
      </w:tr>
      <w:tr>
        <w:tc>
          <w:tcPr>
            <w:tcW w:type="dxa" w:w="26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2540"/>
                <w:sz w:val="18"/>
                <w:szCs w:val="18"/>
              </w:rPr>
              <w:t xml:space="preserve">Contaduría concentra 7 tareas simultáneas entre los días 12 y 13</w:t>
            </w:r>
          </w:p>
        </w:tc>
        <w:tc>
          <w:tcPr>
            <w:tcW w:type="dxa" w:w="32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Cuello de botella en el cierre; retraso en la entrega del día 15</w:t>
            </w:r>
          </w:p>
        </w:tc>
        <w:tc>
          <w:tcPr>
            <w:tcW w:type="dxa" w:w="3272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Delegar la preparación de flujo de efectivo y cartera al Auxiliar Contable, dejando la validación en Contaduría</w:t>
            </w:r>
          </w:p>
        </w:tc>
      </w:tr>
      <w:tr>
        <w:tc>
          <w:tcPr>
            <w:tcW w:type="dxa" w:w="2600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2540"/>
                <w:sz w:val="18"/>
                <w:szCs w:val="18"/>
              </w:rPr>
              <w:t xml:space="preserve">Tesorería opera con ocupación del 100% todo el año</w:t>
            </w:r>
          </w:p>
        </w:tc>
        <w:tc>
          <w:tcPr>
            <w:tcW w:type="dxa" w:w="3200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Sin holgura para ausencias imprevistas en la ventana de desembolsos</w:t>
            </w:r>
          </w:p>
        </w:tc>
        <w:tc>
          <w:tcPr>
            <w:tcW w:type="dxa" w:w="3272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Definir un respaldo formal para los días 13 a 16 y 29 al cierre</w:t>
            </w:r>
          </w:p>
        </w:tc>
      </w:tr>
      <w:tr>
        <w:tc>
          <w:tcPr>
            <w:tcW w:type="dxa" w:w="26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2540"/>
                <w:sz w:val="18"/>
                <w:szCs w:val="18"/>
              </w:rPr>
              <w:t xml:space="preserve">Cada posición es punto único de falla en su tramo</w:t>
            </w:r>
          </w:p>
        </w:tc>
        <w:tc>
          <w:tcPr>
            <w:tcW w:type="dxa" w:w="32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Una ausencia detiene la cadena completa</w:t>
            </w:r>
          </w:p>
        </w:tc>
        <w:tc>
          <w:tcPr>
            <w:tcW w:type="dxa" w:w="3272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Establecer y documentar reemplazos por posición</w:t>
            </w:r>
          </w:p>
        </w:tc>
      </w:tr>
      <w:tr>
        <w:tc>
          <w:tcPr>
            <w:tcW w:type="dxa" w:w="2600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2540"/>
                <w:sz w:val="18"/>
                <w:szCs w:val="18"/>
              </w:rPr>
              <w:t xml:space="preserve">Ocho obligaciones legales entre los días 10 y 21</w:t>
            </w:r>
          </w:p>
        </w:tc>
        <w:tc>
          <w:tcPr>
            <w:tcW w:type="dxa" w:w="3200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Sanción o intereses ante incumplimiento</w:t>
            </w:r>
          </w:p>
        </w:tc>
        <w:tc>
          <w:tcPr>
            <w:tcW w:type="dxa" w:w="3272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Seguimiento diario en la aplicación durante esa franja</w:t>
            </w:r>
          </w:p>
        </w:tc>
      </w:tr>
    </w:tbl>
    <w:p>
      <w:pPr>
        <w:spacing w:after="120"/>
      </w:pPr>
    </w:p>
    <w:tbl>
      <w:tblPr>
        <w:tblW w:type="dxa" w:w="9072"/>
        <w:tblBorders>
          <w:top w:val="single" w:color="B45309" w:sz="2"/>
          <w:left w:val="single" w:color="B45309" w:sz="18"/>
          <w:bottom w:val="single" w:color="B45309" w:sz="2"/>
          <w:right w:val="single" w:color="B45309" w:sz="2"/>
          <w:insideH w:val="none" w:color="auto" w:sz="0"/>
          <w:insideV w:val="none" w:color="auto" w:sz="0"/>
        </w:tblBorders>
      </w:tblPr>
      <w:tblGrid>
        <w:gridCol w:w="9072"/>
      </w:tblGrid>
      <w:tr>
        <w:tc>
          <w:tcPr>
            <w:tcW w:type="dxa" w:w="9072"/>
            <w:shd w:fill="FFFBEB" w:color="auto" w:val="clear"/>
            <w:tcMar>
              <w:top w:type="dxa" w:w="110"/>
              <w:left w:type="dxa" w:w="210"/>
              <w:bottom w:type="dxa" w:w="110"/>
              <w:right w:type="dxa" w:w="210"/>
            </w:tcMar>
          </w:tcPr>
          <w:p>
            <w:pPr>
              <w:spacing w:after="62" w:line="2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B45309"/>
                <w:spacing w:val="16"/>
                <w:sz w:val="19"/>
                <w:szCs w:val="19"/>
              </w:rPr>
              <w:t xml:space="preserve">Punto pendiente de definición</w:t>
            </w:r>
          </w:p>
          <w:p>
            <w:pPr>
              <w:spacing w:after="0" w:line="26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20"/>
                <w:szCs w:val="20"/>
              </w:rPr>
              <w:t xml:space="preserve">El esquema de reemplazos ante ausencias no está definido a la fecha. Se presenta como propuesta y requiere validación de Recursos Humanos junto con las personas involucradas, dado que implica formación cruzada y ajuste de perfiles.</w:t>
            </w:r>
          </w:p>
        </w:tc>
      </w:tr>
    </w:tbl>
    <w:p>
      <w:r>
        <w:br w:type="page"/>
      </w:r>
    </w:p>
    <w:tbl>
      <w:tblPr>
        <w:tblW w:type="dxa" w:w="9072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072"/>
      </w:tblGrid>
      <w:tr>
        <w:tc>
          <w:tcPr>
            <w:tcW w:type="dxa" w:w="9072"/>
            <w:shd w:fill="1B3A6B" w:color="auto" w:val="clear"/>
            <w:tcMar>
              <w:top w:type="dxa" w:w="95"/>
              <w:left w:type="dxa" w:w="190"/>
              <w:bottom w:type="dxa" w:w="95"/>
              <w:right w:type="dxa" w:w="1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6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4"/>
                <w:sz w:val="22"/>
                <w:szCs w:val="22"/>
              </w:rPr>
              <w:t xml:space="preserve">Sistema de seguimiento y trazabilidad</w:t>
            </w:r>
          </w:p>
        </w:tc>
      </w:tr>
    </w:tbl>
    <w:p>
      <w:pPr>
        <w:spacing w:after="110"/>
      </w:pPr>
    </w:p>
    <w:p>
      <w:pPr>
        <w:spacing w:after="95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1"/>
          <w:szCs w:val="21"/>
        </w:rPr>
        <w:t xml:space="preserve">El proceso cuenta con una aplicación de seguimiento donde cada persona marca sus tareas y todo el equipo ve el avance en tiempo real. Esto da evidencia objetiva del cumplimiento, sin depender de reportes verbales.</w:t>
      </w:r>
    </w:p>
    <w:p>
      <w:pPr>
        <w:spacing w:after="100"/>
      </w:pPr>
    </w:p>
    <w:tbl>
      <w:tblPr>
        <w:tblW w:type="dxa" w:w="9072"/>
        <w:tblBorders>
          <w:top w:val="single" w:color="CBD5E1" w:sz="2"/>
          <w:left w:val="single" w:color="CBD5E1" w:sz="2"/>
          <w:bottom w:val="single" w:color="CBD5E1" w:sz="2"/>
          <w:right w:val="single" w:color="CBD5E1" w:sz="2"/>
          <w:insideH w:val="single" w:color="CBD5E1" w:sz="2"/>
          <w:insideV w:val="single" w:color="CBD5E1" w:sz="2"/>
        </w:tblBorders>
      </w:tblPr>
      <w:tblGrid>
        <w:gridCol w:w="2600"/>
        <w:gridCol w:w="3000"/>
        <w:gridCol w:w="3472"/>
      </w:tblGrid>
      <w:tr>
        <w:trPr>
          <w:tblHeader/>
        </w:trPr>
        <w:tc>
          <w:tcPr>
            <w:tcW w:type="dxa" w:w="2600"/>
            <w:shd w:fill="1B3A6B" w:color="auto" w:val="clear"/>
            <w:tcMar>
              <w:top w:type="dxa" w:w="78"/>
              <w:left w:type="dxa" w:w="120"/>
              <w:bottom w:type="dxa" w:w="78"/>
              <w:right w:type="dxa" w:w="12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2"/>
                <w:sz w:val="18"/>
                <w:szCs w:val="18"/>
              </w:rPr>
              <w:t xml:space="preserve">Elemento</w:t>
            </w:r>
          </w:p>
        </w:tc>
        <w:tc>
          <w:tcPr>
            <w:tcW w:type="dxa" w:w="3000"/>
            <w:shd w:fill="1B3A6B" w:color="auto" w:val="clear"/>
            <w:tcMar>
              <w:top w:type="dxa" w:w="78"/>
              <w:left w:type="dxa" w:w="120"/>
              <w:bottom w:type="dxa" w:w="78"/>
              <w:right w:type="dxa" w:w="12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2"/>
                <w:sz w:val="18"/>
                <w:szCs w:val="18"/>
              </w:rPr>
              <w:t xml:space="preserve">Cómo funciona</w:t>
            </w:r>
          </w:p>
        </w:tc>
        <w:tc>
          <w:tcPr>
            <w:tcW w:type="dxa" w:w="3472"/>
            <w:shd w:fill="1B3A6B" w:color="auto" w:val="clear"/>
            <w:tcMar>
              <w:top w:type="dxa" w:w="78"/>
              <w:left w:type="dxa" w:w="120"/>
              <w:bottom w:type="dxa" w:w="78"/>
              <w:right w:type="dxa" w:w="12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2"/>
                <w:sz w:val="18"/>
                <w:szCs w:val="18"/>
              </w:rPr>
              <w:t xml:space="preserve">Evidencia que produce</w:t>
            </w:r>
          </w:p>
        </w:tc>
      </w:tr>
      <w:tr>
        <w:tc>
          <w:tcPr>
            <w:tcW w:type="dxa" w:w="26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2540"/>
                <w:sz w:val="18"/>
                <w:szCs w:val="18"/>
              </w:rPr>
              <w:t xml:space="preserve">Marcación de tareas</w:t>
            </w:r>
          </w:p>
        </w:tc>
        <w:tc>
          <w:tcPr>
            <w:tcW w:type="dxa" w:w="30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Cada persona marca sus propias tareas al completarlas</w:t>
            </w:r>
          </w:p>
        </w:tc>
        <w:tc>
          <w:tcPr>
            <w:tcW w:type="dxa" w:w="3472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Registro con fecha de qué se completó y qué quedó pendiente</w:t>
            </w:r>
          </w:p>
        </w:tc>
      </w:tr>
      <w:tr>
        <w:tc>
          <w:tcPr>
            <w:tcW w:type="dxa" w:w="2600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2540"/>
                <w:sz w:val="18"/>
                <w:szCs w:val="18"/>
              </w:rPr>
              <w:t xml:space="preserve">Tareas adicionales</w:t>
            </w:r>
          </w:p>
        </w:tc>
        <w:tc>
          <w:tcPr>
            <w:tcW w:type="dxa" w:w="3000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Cualquier persona registra tareas nuevas con responsable, tipo, detalle, fechas y tiempo estimado</w:t>
            </w:r>
          </w:p>
        </w:tc>
        <w:tc>
          <w:tcPr>
            <w:tcW w:type="dxa" w:w="3472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Trazabilidad de la carga no prevista en el catálogo base</w:t>
            </w:r>
          </w:p>
        </w:tc>
      </w:tr>
      <w:tr>
        <w:tc>
          <w:tcPr>
            <w:tcW w:type="dxa" w:w="26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2540"/>
                <w:sz w:val="18"/>
                <w:szCs w:val="18"/>
              </w:rPr>
              <w:t xml:space="preserve">Roles de acceso</w:t>
            </w:r>
          </w:p>
        </w:tc>
        <w:tc>
          <w:tcPr>
            <w:tcW w:type="dxa" w:w="30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Administrador, miembro y solo lectura. Únicamente el administrador edita o elimina</w:t>
            </w:r>
          </w:p>
        </w:tc>
        <w:tc>
          <w:tcPr>
            <w:tcW w:type="dxa" w:w="3472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Control sobre quién puede modificar el registro histórico</w:t>
            </w:r>
          </w:p>
        </w:tc>
      </w:tr>
      <w:tr>
        <w:tc>
          <w:tcPr>
            <w:tcW w:type="dxa" w:w="2600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2540"/>
                <w:sz w:val="18"/>
                <w:szCs w:val="18"/>
              </w:rPr>
              <w:t xml:space="preserve">Informe mensual</w:t>
            </w:r>
          </w:p>
        </w:tc>
        <w:tc>
          <w:tcPr>
            <w:tcW w:type="dxa" w:w="3000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Formato de seguimiento con programadas, completadas, cumplimiento y vencidas</w:t>
            </w:r>
          </w:p>
        </w:tc>
        <w:tc>
          <w:tcPr>
            <w:tcW w:type="dxa" w:w="3472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Indicador mensual de gestión por persona y del equipo</w:t>
            </w:r>
          </w:p>
        </w:tc>
      </w:tr>
    </w:tbl>
    <w:p>
      <w:pPr>
        <w:pBdr>
          <w:bottom w:val="single" w:color="CBD5E1" w:sz="6" w:space="6"/>
        </w:pBdr>
        <w:spacing w:after="80" w:before="200" w:line="25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3A6B"/>
          <w:sz w:val="23"/>
          <w:szCs w:val="23"/>
        </w:rPr>
        <w:t xml:space="preserve">Indicadores propuestos</w:t>
      </w:r>
    </w:p>
    <w:tbl>
      <w:tblPr>
        <w:tblW w:type="dxa" w:w="9072"/>
        <w:tblBorders>
          <w:top w:val="single" w:color="CBD5E1" w:sz="2"/>
          <w:left w:val="single" w:color="CBD5E1" w:sz="2"/>
          <w:bottom w:val="single" w:color="CBD5E1" w:sz="2"/>
          <w:right w:val="single" w:color="CBD5E1" w:sz="2"/>
          <w:insideH w:val="single" w:color="CBD5E1" w:sz="2"/>
          <w:insideV w:val="single" w:color="CBD5E1" w:sz="2"/>
        </w:tblBorders>
      </w:tblPr>
      <w:tblGrid>
        <w:gridCol w:w="2600"/>
        <w:gridCol w:w="3200"/>
        <w:gridCol w:w="3272"/>
      </w:tblGrid>
      <w:tr>
        <w:trPr>
          <w:tblHeader/>
        </w:trPr>
        <w:tc>
          <w:tcPr>
            <w:tcW w:type="dxa" w:w="2600"/>
            <w:shd w:fill="1B3A6B" w:color="auto" w:val="clear"/>
            <w:tcMar>
              <w:top w:type="dxa" w:w="78"/>
              <w:left w:type="dxa" w:w="120"/>
              <w:bottom w:type="dxa" w:w="78"/>
              <w:right w:type="dxa" w:w="12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2"/>
                <w:sz w:val="18"/>
                <w:szCs w:val="18"/>
              </w:rPr>
              <w:t xml:space="preserve">Indicador</w:t>
            </w:r>
          </w:p>
        </w:tc>
        <w:tc>
          <w:tcPr>
            <w:tcW w:type="dxa" w:w="3200"/>
            <w:shd w:fill="1B3A6B" w:color="auto" w:val="clear"/>
            <w:tcMar>
              <w:top w:type="dxa" w:w="78"/>
              <w:left w:type="dxa" w:w="120"/>
              <w:bottom w:type="dxa" w:w="78"/>
              <w:right w:type="dxa" w:w="12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2"/>
                <w:sz w:val="18"/>
                <w:szCs w:val="18"/>
              </w:rPr>
              <w:t xml:space="preserve">Fórmula</w:t>
            </w:r>
          </w:p>
        </w:tc>
        <w:tc>
          <w:tcPr>
            <w:tcW w:type="dxa" w:w="3272"/>
            <w:shd w:fill="1B3A6B" w:color="auto" w:val="clear"/>
            <w:tcMar>
              <w:top w:type="dxa" w:w="78"/>
              <w:left w:type="dxa" w:w="120"/>
              <w:bottom w:type="dxa" w:w="78"/>
              <w:right w:type="dxa" w:w="12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2"/>
                <w:sz w:val="18"/>
                <w:szCs w:val="18"/>
              </w:rPr>
              <w:t xml:space="preserve">Meta sugerida</w:t>
            </w:r>
          </w:p>
        </w:tc>
      </w:tr>
      <w:tr>
        <w:tc>
          <w:tcPr>
            <w:tcW w:type="dxa" w:w="26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2540"/>
                <w:sz w:val="18"/>
                <w:szCs w:val="18"/>
              </w:rPr>
              <w:t xml:space="preserve">Cumplimiento mensual</w:t>
            </w:r>
          </w:p>
        </w:tc>
        <w:tc>
          <w:tcPr>
            <w:tcW w:type="dxa" w:w="32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Tareas completadas ÷ tareas programadas</w:t>
            </w:r>
          </w:p>
        </w:tc>
        <w:tc>
          <w:tcPr>
            <w:tcW w:type="dxa" w:w="3272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95% o más</w:t>
            </w:r>
          </w:p>
        </w:tc>
      </w:tr>
      <w:tr>
        <w:tc>
          <w:tcPr>
            <w:tcW w:type="dxa" w:w="2600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2540"/>
                <w:sz w:val="18"/>
                <w:szCs w:val="18"/>
              </w:rPr>
              <w:t xml:space="preserve">Tareas vencidas</w:t>
            </w:r>
          </w:p>
        </w:tc>
        <w:tc>
          <w:tcPr>
            <w:tcW w:type="dxa" w:w="3200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Número de tareas no completadas dentro de su ventana</w:t>
            </w:r>
          </w:p>
        </w:tc>
        <w:tc>
          <w:tcPr>
            <w:tcW w:type="dxa" w:w="3272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Cero en obligaciones de fecha legal</w:t>
            </w:r>
          </w:p>
        </w:tc>
      </w:tr>
      <w:tr>
        <w:tc>
          <w:tcPr>
            <w:tcW w:type="dxa" w:w="26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2540"/>
                <w:sz w:val="18"/>
                <w:szCs w:val="18"/>
              </w:rPr>
              <w:t xml:space="preserve">Carga adicional</w:t>
            </w:r>
          </w:p>
        </w:tc>
        <w:tc>
          <w:tcPr>
            <w:tcW w:type="dxa" w:w="32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Tareas registradas fuera del catálogo base</w:t>
            </w:r>
          </w:p>
        </w:tc>
        <w:tc>
          <w:tcPr>
            <w:tcW w:type="dxa" w:w="3272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Seguimiento de tendencia, sin meta fija</w:t>
            </w:r>
          </w:p>
        </w:tc>
      </w:tr>
      <w:tr>
        <w:tc>
          <w:tcPr>
            <w:tcW w:type="dxa" w:w="2600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2540"/>
                <w:sz w:val="18"/>
                <w:szCs w:val="18"/>
              </w:rPr>
              <w:t xml:space="preserve">Puntual de cierre</w:t>
            </w:r>
          </w:p>
        </w:tc>
        <w:tc>
          <w:tcPr>
            <w:tcW w:type="dxa" w:w="3200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Entrega del informe a Gerencia el día 15</w:t>
            </w:r>
          </w:p>
        </w:tc>
        <w:tc>
          <w:tcPr>
            <w:tcW w:type="dxa" w:w="3272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12 de 12 meses</w:t>
            </w:r>
          </w:p>
        </w:tc>
      </w:tr>
    </w:tbl>
    <w:p>
      <w:pPr>
        <w:spacing w:after="120"/>
      </w:pPr>
    </w:p>
    <w:p>
      <w:pPr>
        <w:spacing w:after="95" w:before="0" w:line="264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64748B"/>
          <w:sz w:val="19"/>
          <w:szCs w:val="19"/>
        </w:rPr>
        <w:t xml:space="preserve">Los indicadores se calculan en el archivo de informes de gestión, hojas 4 y 5, con corte al cierre de cada mes.</w:t>
      </w:r>
    </w:p>
    <w:p>
      <w:r>
        <w:br w:type="page"/>
      </w:r>
    </w:p>
    <w:tbl>
      <w:tblPr>
        <w:tblW w:type="dxa" w:w="9072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072"/>
      </w:tblGrid>
      <w:tr>
        <w:tc>
          <w:tcPr>
            <w:tcW w:type="dxa" w:w="9072"/>
            <w:shd w:fill="1B3A6B" w:color="auto" w:val="clear"/>
            <w:tcMar>
              <w:top w:type="dxa" w:w="95"/>
              <w:left w:type="dxa" w:w="190"/>
              <w:bottom w:type="dxa" w:w="95"/>
              <w:right w:type="dxa" w:w="1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7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4"/>
                <w:sz w:val="22"/>
                <w:szCs w:val="22"/>
              </w:rPr>
              <w:t xml:space="preserve">Constancia de revisión y aval</w:t>
            </w:r>
          </w:p>
        </w:tc>
      </w:tr>
    </w:tbl>
    <w:p>
      <w:pPr>
        <w:spacing w:after="110"/>
      </w:pPr>
    </w:p>
    <w:p>
      <w:pPr>
        <w:spacing w:after="95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374151"/>
          <w:sz w:val="21"/>
          <w:szCs w:val="21"/>
        </w:rPr>
        <w:t xml:space="preserve">Con la firma de este documento, las partes dejan constancia de haber revisado la descripción de cargos, el análisis de carga y los controles descritos, y de estar de acuerdo con su adopción como estándar de trabajo del proceso contable mensual.</w:t>
      </w:r>
    </w:p>
    <w:p>
      <w:pPr>
        <w:spacing w:after="140"/>
      </w:pPr>
    </w:p>
    <w:p>
      <w:pPr>
        <w:pBdr>
          <w:bottom w:val="single" w:color="CBD5E1" w:sz="6" w:space="6"/>
        </w:pBdr>
        <w:spacing w:after="80" w:before="200" w:line="25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3A6B"/>
          <w:sz w:val="23"/>
          <w:szCs w:val="23"/>
        </w:rPr>
        <w:t xml:space="preserve">Elaboración</w:t>
      </w:r>
    </w:p>
    <w:tbl>
      <w:tblPr>
        <w:tblW w:type="dxa" w:w="9072"/>
        <w:tblBorders>
          <w:top w:val="single" w:color="CBD5E1" w:sz="2"/>
          <w:left w:val="single" w:color="CBD5E1" w:sz="2"/>
          <w:bottom w:val="single" w:color="CBD5E1" w:sz="2"/>
          <w:right w:val="single" w:color="CBD5E1" w:sz="2"/>
          <w:insideH w:val="single" w:color="CBD5E1" w:sz="2"/>
          <w:insideV w:val="single" w:color="CBD5E1" w:sz="2"/>
        </w:tblBorders>
      </w:tblPr>
      <w:tblGrid>
        <w:gridCol w:w="2400"/>
        <w:gridCol w:w="3400"/>
        <w:gridCol w:w="3272"/>
      </w:tblGrid>
      <w:tr>
        <w:trPr>
          <w:tblHeader/>
        </w:trPr>
        <w:tc>
          <w:tcPr>
            <w:tcW w:type="dxa" w:w="2400"/>
            <w:shd w:fill="1B3A6B" w:color="auto" w:val="clear"/>
            <w:tcMar>
              <w:top w:type="dxa" w:w="78"/>
              <w:left w:type="dxa" w:w="120"/>
              <w:bottom w:type="dxa" w:w="78"/>
              <w:right w:type="dxa" w:w="12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2"/>
                <w:sz w:val="18"/>
                <w:szCs w:val="18"/>
              </w:rPr>
              <w:t xml:space="preserve">Rol</w:t>
            </w:r>
          </w:p>
        </w:tc>
        <w:tc>
          <w:tcPr>
            <w:tcW w:type="dxa" w:w="3400"/>
            <w:shd w:fill="1B3A6B" w:color="auto" w:val="clear"/>
            <w:tcMar>
              <w:top w:type="dxa" w:w="78"/>
              <w:left w:type="dxa" w:w="120"/>
              <w:bottom w:type="dxa" w:w="78"/>
              <w:right w:type="dxa" w:w="12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2"/>
                <w:sz w:val="18"/>
                <w:szCs w:val="18"/>
              </w:rPr>
              <w:t xml:space="preserve">Nombre</w:t>
            </w:r>
          </w:p>
        </w:tc>
        <w:tc>
          <w:tcPr>
            <w:tcW w:type="dxa" w:w="3272"/>
            <w:shd w:fill="1B3A6B" w:color="auto" w:val="clear"/>
            <w:tcMar>
              <w:top w:type="dxa" w:w="78"/>
              <w:left w:type="dxa" w:w="120"/>
              <w:bottom w:type="dxa" w:w="78"/>
              <w:right w:type="dxa" w:w="12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2"/>
                <w:sz w:val="18"/>
                <w:szCs w:val="18"/>
              </w:rPr>
              <w:t xml:space="preserve">Firma y fecha</w:t>
            </w:r>
          </w:p>
        </w:tc>
      </w:tr>
      <w:tr>
        <w:tc>
          <w:tcPr>
            <w:tcW w:type="dxa" w:w="24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2540"/>
                <w:sz w:val="18"/>
                <w:szCs w:val="18"/>
              </w:rPr>
              <w:t xml:space="preserve">Elabora</w:t>
            </w:r>
          </w:p>
        </w:tc>
        <w:tc>
          <w:tcPr>
            <w:tcW w:type="dxa" w:w="34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Cristian Bernal — Contador</w:t>
            </w:r>
          </w:p>
        </w:tc>
        <w:tc>
          <w:tcPr>
            <w:tcW w:type="dxa" w:w="3272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 </w:t>
            </w:r>
          </w:p>
        </w:tc>
      </w:tr>
    </w:tbl>
    <w:p>
      <w:pPr>
        <w:pBdr>
          <w:bottom w:val="single" w:color="CBD5E1" w:sz="6" w:space="6"/>
        </w:pBdr>
        <w:spacing w:after="80" w:before="200" w:line="25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3A6B"/>
          <w:sz w:val="23"/>
          <w:szCs w:val="23"/>
        </w:rPr>
        <w:t xml:space="preserve">Revisión y aval</w:t>
      </w:r>
    </w:p>
    <w:tbl>
      <w:tblPr>
        <w:tblW w:type="dxa" w:w="9072"/>
        <w:tblBorders>
          <w:top w:val="single" w:color="CBD5E1" w:sz="2"/>
          <w:left w:val="single" w:color="CBD5E1" w:sz="2"/>
          <w:bottom w:val="single" w:color="CBD5E1" w:sz="2"/>
          <w:right w:val="single" w:color="CBD5E1" w:sz="2"/>
          <w:insideH w:val="single" w:color="CBD5E1" w:sz="2"/>
          <w:insideV w:val="single" w:color="CBD5E1" w:sz="2"/>
        </w:tblBorders>
      </w:tblPr>
      <w:tblGrid>
        <w:gridCol w:w="2400"/>
        <w:gridCol w:w="3400"/>
        <w:gridCol w:w="3272"/>
      </w:tblGrid>
      <w:tr>
        <w:trPr>
          <w:tblHeader/>
        </w:trPr>
        <w:tc>
          <w:tcPr>
            <w:tcW w:type="dxa" w:w="2400"/>
            <w:shd w:fill="1B3A6B" w:color="auto" w:val="clear"/>
            <w:tcMar>
              <w:top w:type="dxa" w:w="78"/>
              <w:left w:type="dxa" w:w="120"/>
              <w:bottom w:type="dxa" w:w="78"/>
              <w:right w:type="dxa" w:w="12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2"/>
                <w:sz w:val="18"/>
                <w:szCs w:val="18"/>
              </w:rPr>
              <w:t xml:space="preserve">Rol</w:t>
            </w:r>
          </w:p>
        </w:tc>
        <w:tc>
          <w:tcPr>
            <w:tcW w:type="dxa" w:w="3400"/>
            <w:shd w:fill="1B3A6B" w:color="auto" w:val="clear"/>
            <w:tcMar>
              <w:top w:type="dxa" w:w="78"/>
              <w:left w:type="dxa" w:w="120"/>
              <w:bottom w:type="dxa" w:w="78"/>
              <w:right w:type="dxa" w:w="12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2"/>
                <w:sz w:val="18"/>
                <w:szCs w:val="18"/>
              </w:rPr>
              <w:t xml:space="preserve">Nombre</w:t>
            </w:r>
          </w:p>
        </w:tc>
        <w:tc>
          <w:tcPr>
            <w:tcW w:type="dxa" w:w="3272"/>
            <w:shd w:fill="1B3A6B" w:color="auto" w:val="clear"/>
            <w:tcMar>
              <w:top w:type="dxa" w:w="78"/>
              <w:left w:type="dxa" w:w="120"/>
              <w:bottom w:type="dxa" w:w="78"/>
              <w:right w:type="dxa" w:w="12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2"/>
                <w:sz w:val="18"/>
                <w:szCs w:val="18"/>
              </w:rPr>
              <w:t xml:space="preserve">Firma y fecha</w:t>
            </w:r>
          </w:p>
        </w:tc>
      </w:tr>
      <w:tr>
        <w:tc>
          <w:tcPr>
            <w:tcW w:type="dxa" w:w="24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2540"/>
                <w:sz w:val="18"/>
                <w:szCs w:val="18"/>
              </w:rPr>
              <w:t xml:space="preserve">Revisa</w:t>
            </w:r>
          </w:p>
        </w:tc>
        <w:tc>
          <w:tcPr>
            <w:tcW w:type="dxa" w:w="34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Recursos Humanos</w:t>
            </w:r>
          </w:p>
        </w:tc>
        <w:tc>
          <w:tcPr>
            <w:tcW w:type="dxa" w:w="3272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400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2540"/>
                <w:sz w:val="18"/>
                <w:szCs w:val="18"/>
              </w:rPr>
              <w:t xml:space="preserve">Avala</w:t>
            </w:r>
          </w:p>
        </w:tc>
        <w:tc>
          <w:tcPr>
            <w:tcW w:type="dxa" w:w="3400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Gerencia — Edgar Metaute</w:t>
            </w:r>
          </w:p>
        </w:tc>
        <w:tc>
          <w:tcPr>
            <w:tcW w:type="dxa" w:w="3272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4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2540"/>
                <w:sz w:val="18"/>
                <w:szCs w:val="18"/>
              </w:rPr>
              <w:t xml:space="preserve">Supervisión</w:t>
            </w:r>
          </w:p>
        </w:tc>
        <w:tc>
          <w:tcPr>
            <w:tcW w:type="dxa" w:w="34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Ingrithh Giraldo</w:t>
            </w:r>
          </w:p>
        </w:tc>
        <w:tc>
          <w:tcPr>
            <w:tcW w:type="dxa" w:w="3272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 </w:t>
            </w:r>
          </w:p>
        </w:tc>
      </w:tr>
    </w:tbl>
    <w:p>
      <w:pPr>
        <w:pBdr>
          <w:bottom w:val="single" w:color="CBD5E1" w:sz="6" w:space="6"/>
        </w:pBdr>
        <w:spacing w:after="80" w:before="200" w:line="25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3A6B"/>
          <w:sz w:val="23"/>
          <w:szCs w:val="23"/>
        </w:rPr>
        <w:t xml:space="preserve">Conocimiento del equipo</w:t>
      </w:r>
    </w:p>
    <w:p>
      <w:pPr>
        <w:spacing w:after="95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64748B"/>
          <w:sz w:val="19"/>
          <w:szCs w:val="19"/>
        </w:rPr>
        <w:t xml:space="preserve">Cada integrante firma en constancia de conocer las funciones y la carga que le corresponden.</w:t>
      </w:r>
    </w:p>
    <w:p>
      <w:pPr>
        <w:spacing w:after="80"/>
      </w:pPr>
    </w:p>
    <w:tbl>
      <w:tblPr>
        <w:tblW w:type="dxa" w:w="9072"/>
        <w:tblBorders>
          <w:top w:val="single" w:color="CBD5E1" w:sz="2"/>
          <w:left w:val="single" w:color="CBD5E1" w:sz="2"/>
          <w:bottom w:val="single" w:color="CBD5E1" w:sz="2"/>
          <w:right w:val="single" w:color="CBD5E1" w:sz="2"/>
          <w:insideH w:val="single" w:color="CBD5E1" w:sz="2"/>
          <w:insideV w:val="single" w:color="CBD5E1" w:sz="2"/>
        </w:tblBorders>
      </w:tblPr>
      <w:tblGrid>
        <w:gridCol w:w="2400"/>
        <w:gridCol w:w="3400"/>
        <w:gridCol w:w="3272"/>
      </w:tblGrid>
      <w:tr>
        <w:trPr>
          <w:tblHeader/>
        </w:trPr>
        <w:tc>
          <w:tcPr>
            <w:tcW w:type="dxa" w:w="2400"/>
            <w:shd w:fill="1B3A6B" w:color="auto" w:val="clear"/>
            <w:tcMar>
              <w:top w:type="dxa" w:w="78"/>
              <w:left w:type="dxa" w:w="120"/>
              <w:bottom w:type="dxa" w:w="78"/>
              <w:right w:type="dxa" w:w="12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2"/>
                <w:sz w:val="18"/>
                <w:szCs w:val="18"/>
              </w:rPr>
              <w:t xml:space="preserve">Posición</w:t>
            </w:r>
          </w:p>
        </w:tc>
        <w:tc>
          <w:tcPr>
            <w:tcW w:type="dxa" w:w="3400"/>
            <w:shd w:fill="1B3A6B" w:color="auto" w:val="clear"/>
            <w:tcMar>
              <w:top w:type="dxa" w:w="78"/>
              <w:left w:type="dxa" w:w="120"/>
              <w:bottom w:type="dxa" w:w="78"/>
              <w:right w:type="dxa" w:w="12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2"/>
                <w:sz w:val="18"/>
                <w:szCs w:val="18"/>
              </w:rPr>
              <w:t xml:space="preserve">Nombre</w:t>
            </w:r>
          </w:p>
        </w:tc>
        <w:tc>
          <w:tcPr>
            <w:tcW w:type="dxa" w:w="3272"/>
            <w:shd w:fill="1B3A6B" w:color="auto" w:val="clear"/>
            <w:tcMar>
              <w:top w:type="dxa" w:w="78"/>
              <w:left w:type="dxa" w:w="120"/>
              <w:bottom w:type="dxa" w:w="78"/>
              <w:right w:type="dxa" w:w="12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2"/>
                <w:sz w:val="18"/>
                <w:szCs w:val="18"/>
              </w:rPr>
              <w:t xml:space="preserve">Firma y fecha</w:t>
            </w:r>
          </w:p>
        </w:tc>
      </w:tr>
      <w:tr>
        <w:tc>
          <w:tcPr>
            <w:tcW w:type="dxa" w:w="24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2540"/>
                <w:sz w:val="18"/>
                <w:szCs w:val="18"/>
              </w:rPr>
              <w:t xml:space="preserve">Insumos de facturación</w:t>
            </w:r>
          </w:p>
        </w:tc>
        <w:tc>
          <w:tcPr>
            <w:tcW w:type="dxa" w:w="34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Beatriz</w:t>
            </w:r>
          </w:p>
        </w:tc>
        <w:tc>
          <w:tcPr>
            <w:tcW w:type="dxa" w:w="3272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400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2540"/>
                <w:sz w:val="18"/>
                <w:szCs w:val="18"/>
              </w:rPr>
              <w:t xml:space="preserve">Automatización</w:t>
            </w:r>
          </w:p>
        </w:tc>
        <w:tc>
          <w:tcPr>
            <w:tcW w:type="dxa" w:w="3400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Edgar Metaute</w:t>
            </w:r>
          </w:p>
        </w:tc>
        <w:tc>
          <w:tcPr>
            <w:tcW w:type="dxa" w:w="3272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4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2540"/>
                <w:sz w:val="18"/>
                <w:szCs w:val="18"/>
              </w:rPr>
              <w:t xml:space="preserve">Tesorería</w:t>
            </w:r>
          </w:p>
        </w:tc>
        <w:tc>
          <w:tcPr>
            <w:tcW w:type="dxa" w:w="34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Isnardi Sanches</w:t>
            </w:r>
          </w:p>
        </w:tc>
        <w:tc>
          <w:tcPr>
            <w:tcW w:type="dxa" w:w="3272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400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2540"/>
                <w:sz w:val="18"/>
                <w:szCs w:val="18"/>
              </w:rPr>
              <w:t xml:space="preserve">Auxiliar Contable</w:t>
            </w:r>
          </w:p>
        </w:tc>
        <w:tc>
          <w:tcPr>
            <w:tcW w:type="dxa" w:w="3400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Luis Santiago Amador</w:t>
            </w:r>
          </w:p>
        </w:tc>
        <w:tc>
          <w:tcPr>
            <w:tcW w:type="dxa" w:w="3272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4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2540"/>
                <w:sz w:val="18"/>
                <w:szCs w:val="18"/>
              </w:rPr>
              <w:t xml:space="preserve">Contaduría</w:t>
            </w:r>
          </w:p>
        </w:tc>
        <w:tc>
          <w:tcPr>
            <w:tcW w:type="dxa" w:w="3400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Cristian Bernal</w:t>
            </w:r>
          </w:p>
        </w:tc>
        <w:tc>
          <w:tcPr>
            <w:tcW w:type="dxa" w:w="3272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374151"/>
                <w:sz w:val="18"/>
                <w:szCs w:val="18"/>
              </w:rPr>
              <w:t xml:space="preserve"> </w:t>
            </w:r>
          </w:p>
        </w:tc>
      </w:tr>
    </w:tbl>
    <w:p>
      <w:pPr>
        <w:spacing w:after="200"/>
      </w:pPr>
    </w:p>
    <w:p>
      <w:pPr>
        <w:pBdr>
          <w:bottom w:val="single" w:color="CBD5E1" w:sz="6" w:space="6"/>
        </w:pBdr>
        <w:spacing w:after="80" w:before="200" w:line="25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3A6B"/>
          <w:sz w:val="23"/>
          <w:szCs w:val="23"/>
        </w:rPr>
        <w:t xml:space="preserve">Observaciones de Recursos Humanos</w:t>
      </w:r>
    </w:p>
    <w:tbl>
      <w:tblPr>
        <w:tblW w:type="dxa" w:w="9072"/>
        <w:tblBorders>
          <w:top w:val="single" w:color="CBD5E1" w:sz="2"/>
          <w:left w:val="single" w:color="CBD5E1" w:sz="2"/>
          <w:bottom w:val="single" w:color="CBD5E1" w:sz="2"/>
          <w:right w:val="single" w:color="CBD5E1" w:sz="2"/>
          <w:insideH w:val="single" w:color="CBD5E1" w:sz="2"/>
          <w:insideV w:val="single" w:color="CBD5E1" w:sz="2"/>
        </w:tblBorders>
      </w:tblPr>
      <w:tblGrid>
        <w:gridCol w:w="9072"/>
      </w:tblGrid>
      <w:tr>
        <w:trPr>
          <w:tblHeader/>
        </w:trPr>
        <w:tc>
          <w:tcPr>
            <w:tcW w:type="dxa" w:w="9072"/>
            <w:shd w:fill="1B3A6B" w:color="auto" w:val="clear"/>
            <w:tcMar>
              <w:top w:type="dxa" w:w="78"/>
              <w:left w:type="dxa" w:w="120"/>
              <w:bottom w:type="dxa" w:w="78"/>
              <w:right w:type="dxa" w:w="12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12"/>
                <w:sz w:val="18"/>
                <w:szCs w:val="18"/>
              </w:rPr>
              <w:t xml:space="preserve">Espacio para observaciones</w:t>
            </w:r>
          </w:p>
        </w:tc>
      </w:tr>
      <w:tr>
        <w:tc>
          <w:tcPr>
            <w:tcW w:type="dxa" w:w="9072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2540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72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2540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72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2540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72"/>
            <w:shd w:fill="F5F7FA" w:color="auto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pPr>
              <w:spacing w:after="0" w:line="23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2540"/>
                <w:sz w:val="18"/>
                <w:szCs w:val="18"/>
              </w:rPr>
              <w:t xml:space="preserve"> </w:t>
            </w:r>
          </w:p>
        </w:tc>
      </w:tr>
    </w:tbl>
    <w:p>
      <w:pPr>
        <w:spacing w:after="200"/>
      </w:pPr>
    </w:p>
    <w:p>
      <w:pPr>
        <w:spacing w:after="0" w:line="23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64748B"/>
          <w:sz w:val="17"/>
          <w:szCs w:val="17"/>
        </w:rPr>
        <w:t xml:space="preserve">IES · Intelligent Electronic Solutions · Documento IES-CT-PRO-002 · Versión 1.0</w:t>
      </w:r>
    </w:p>
    <w:sectPr>
      <w:headerReference w:type="default" r:id="rId7"/>
      <w:footerReference w:type="default" r:id="rId8"/>
      <w:pgSz w:w="11906" w:h="16838" w:orient="portrait"/>
      <w:pgMar w:top="1417" w:right="1417" w:bottom="1417" w:left="1417" w:header="700" w:footer="7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60" w:line="220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aps w:val="false"/>
        <w:color w:val="64748B"/>
        <w:sz w:val="16"/>
        <w:szCs w:val="16"/>
      </w:rPr>
      <w:t xml:space="preserve">Página </w:t>
    </w:r>
    <w:r>
      <w:rPr>
        <w:rFonts w:ascii="Calibri" w:cs="Calibri" w:eastAsia="Calibri" w:hAnsi="Calibri"/>
        <w:b/>
        <w:bCs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aps w:val="false"/>
        <w:color w:val="64748B"/>
        <w:sz w:val="16"/>
        <w:szCs w:val="16"/>
      </w:rPr>
      <w:t xml:space="preserve"> de </w:t>
    </w:r>
    <w:r>
      <w:rPr>
        <w:rFonts w:ascii="Calibri" w:cs="Calibri" w:eastAsia="Calibri" w:hAnsi="Calibri"/>
        <w:b/>
        <w:bCs/>
        <w:color w:val="64748B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aps w:val="false"/>
        <w:color w:val="64748B"/>
        <w:sz w:val="16"/>
        <w:szCs w:val="16"/>
      </w:rPr>
      <w:t xml:space="preserve">   ·   Documento para aval de Recursos Humanos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spacing w:after="60" w:line="220"/>
    </w:pPr>
    <w:r>
      <w:rPr>
        <w:rFonts w:ascii="Calibri" w:cs="Calibri" w:eastAsia="Calibri" w:hAnsi="Calibri"/>
        <w:b/>
        <w:bCs/>
        <w:i w:val="false"/>
        <w:iCs w:val="false"/>
        <w:caps w:val="false"/>
        <w:color w:val="1B3A6B"/>
        <w:spacing w:val="20"/>
        <w:sz w:val="16"/>
        <w:szCs w:val="16"/>
      </w:rPr>
      <w:t xml:space="preserve">IES</w:t>
    </w:r>
    <w:r>
      <w:rPr>
        <w:rFonts w:ascii="Calibri" w:cs="Calibri" w:eastAsia="Calibri" w:hAnsi="Calibri"/>
        <w:b w:val="false"/>
        <w:bCs w:val="false"/>
        <w:i w:val="false"/>
        <w:iCs w:val="false"/>
        <w:caps w:val="false"/>
        <w:color w:val="64748B"/>
        <w:sz w:val="16"/>
        <w:szCs w:val="16"/>
      </w:rPr>
      <w:t xml:space="preserve">   ·   Formalización del Proceso Contable   ·   IES-CT-PRO-002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  <w:rPr>
        <w:rFonts w:ascii="Calibri" w:cs="Calibri" w:eastAsia="Calibri" w:hAnsi="Calibri"/>
        <w:color w:val="2D5AA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7415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Formalización del Proceso Contable — Documento para aval de Recursos Humanos</dc:title>
  <dc:creator>IES — Intelligent Electronic Solutions</dc:creator>
  <dc:description>Descripción de cargos, cargas de trabajo y controles</dc:description>
  <cp:lastModifiedBy>Un-named</cp:lastModifiedBy>
  <cp:revision>1</cp:revision>
  <dcterms:created xsi:type="dcterms:W3CDTF">2026-08-10T21:03:23.433Z</dcterms:created>
  <dcterms:modified xsi:type="dcterms:W3CDTF">2026-08-10T21:03:23.434Z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