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400"/>
              <w:left w:type="dxa" w:w="380"/>
              <w:bottom w:type="dxa" w:w="400"/>
              <w:right w:type="dxa" w:w="380"/>
            </w:tcMar>
          </w:tcPr>
          <w:p>
            <w:pPr>
              <w:spacing w:after="50" w:line="290"/>
            </w:pPr>
            <w:r>
              <w:rPr>
                <w:rFonts w:ascii="Calibri" w:cs="Calibri" w:eastAsia="Calibri" w:hAnsi="Calibri"/>
                <w:b/>
                <w:bCs/>
                <w:i w:val="false"/>
                <w:iCs w:val="false"/>
                <w:caps w:val="false"/>
                <w:color w:val="FFFFFF"/>
                <w:sz w:val="52"/>
                <w:szCs w:val="52"/>
              </w:rPr>
              <w:t xml:space="preserve">IES</w:t>
            </w:r>
          </w:p>
          <w:p>
            <w:pPr>
              <w:spacing w:after="280" w:line="240"/>
            </w:pPr>
            <w:r>
              <w:rPr>
                <w:rFonts w:ascii="Calibri" w:cs="Calibri" w:eastAsia="Calibri" w:hAnsi="Calibri"/>
                <w:b w:val="false"/>
                <w:bCs w:val="false"/>
                <w:i w:val="false"/>
                <w:iCs w:val="false"/>
                <w:caps w:val="false"/>
                <w:color w:val="C9D8EE"/>
                <w:spacing w:val="20"/>
                <w:sz w:val="19"/>
                <w:szCs w:val="19"/>
              </w:rPr>
              <w:t xml:space="preserve">Intelligent Electronic Solutions</w:t>
            </w:r>
          </w:p>
          <w:p>
            <w:pPr>
              <w:spacing w:after="110" w:line="330"/>
            </w:pPr>
            <w:r>
              <w:rPr>
                <w:rFonts w:ascii="Calibri" w:cs="Calibri" w:eastAsia="Calibri" w:hAnsi="Calibri"/>
                <w:b/>
                <w:bCs/>
                <w:i w:val="false"/>
                <w:iCs w:val="false"/>
                <w:caps w:val="false"/>
                <w:color w:val="FFFFFF"/>
                <w:sz w:val="38"/>
                <w:szCs w:val="38"/>
              </w:rPr>
              <w:t xml:space="preserve">Formalización del Proceso Contable</w:t>
            </w:r>
          </w:p>
          <w:p>
            <w:pPr>
              <w:spacing w:after="80" w:line="290"/>
            </w:pPr>
            <w:r>
              <w:rPr>
                <w:rFonts w:ascii="Calibri" w:cs="Calibri" w:eastAsia="Calibri" w:hAnsi="Calibri"/>
                <w:b w:val="false"/>
                <w:bCs w:val="false"/>
                <w:i w:val="false"/>
                <w:iCs w:val="false"/>
                <w:caps w:val="false"/>
                <w:color w:val="C9D8EE"/>
                <w:sz w:val="24"/>
                <w:szCs w:val="24"/>
              </w:rPr>
              <w:t xml:space="preserve">Descripción de cargos, cargas de trabajo y controles</w:t>
            </w:r>
          </w:p>
          <w:p>
            <w:pPr>
              <w:spacing w:after="0" w:line="250"/>
            </w:pPr>
            <w:r>
              <w:rPr>
                <w:rFonts w:ascii="Calibri" w:cs="Calibri" w:eastAsia="Calibri" w:hAnsi="Calibri"/>
                <w:b w:val="false"/>
                <w:bCs w:val="false"/>
                <w:i/>
                <w:iCs/>
                <w:caps w:val="false"/>
                <w:color w:val="9FB8DA"/>
                <w:sz w:val="19"/>
                <w:szCs w:val="19"/>
              </w:rPr>
              <w:t xml:space="preserve">Documento presentado para aval de Recursos Humanos</w:t>
            </w:r>
          </w:p>
        </w:tc>
      </w:tr>
    </w:tbl>
    <w:p>
      <w:pPr>
        <w:spacing w:after="26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6572"/>
      </w:tblGrid>
      <w:tr>
        <w:trPr>
          <w:tblHeader/>
        </w:trPr>
        <w:tc>
          <w:tcPr>
            <w:tcW w:type="dxa" w:w="2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Campo</w:t>
            </w:r>
          </w:p>
        </w:tc>
        <w:tc>
          <w:tcPr>
            <w:tcW w:type="dxa" w:w="65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Detalle</w:t>
            </w:r>
          </w:p>
        </w:tc>
      </w:tr>
      <w:tr>
        <w:tc>
          <w:tcPr>
            <w:tcW w:type="dxa" w:w="2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Código</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IES-CT-PRO-002</w:t>
            </w:r>
          </w:p>
        </w:tc>
      </w:tr>
      <w:tr>
        <w:tc>
          <w:tcPr>
            <w:tcW w:type="dxa" w:w="2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Versión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r>
      <w:tr>
        <w:tc>
          <w:tcPr>
            <w:tcW w:type="dxa" w:w="2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Fecha de emisión</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 de agosto de 2026</w:t>
            </w:r>
          </w:p>
        </w:tc>
      </w:tr>
      <w:tr>
        <w:tc>
          <w:tcPr>
            <w:tcW w:type="dxa" w:w="2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Elaborado por</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 — Contador</w:t>
            </w:r>
          </w:p>
        </w:tc>
      </w:tr>
      <w:tr>
        <w:tc>
          <w:tcPr>
            <w:tcW w:type="dxa" w:w="2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Presentado a</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Recursos Humanos · Gerencia</w:t>
            </w:r>
          </w:p>
        </w:tc>
      </w:tr>
      <w:tr>
        <w:tc>
          <w:tcPr>
            <w:tcW w:type="dxa" w:w="2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Objeto del aval</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de la descripción de cargos, la distribución de cargas y los controles del proceso contable mensual</w:t>
            </w:r>
          </w:p>
        </w:tc>
      </w:tr>
      <w:tr>
        <w:tc>
          <w:tcPr>
            <w:tcW w:type="dxa" w:w="2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Vigencia</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Hasta nueva versión. Revisión sugerida: anual o ante cambio en la estructura del equipo</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1   </w:t>
            </w:r>
            <w:r>
              <w:rPr>
                <w:rFonts w:ascii="Calibri" w:cs="Calibri" w:eastAsia="Calibri" w:hAnsi="Calibri"/>
                <w:b/>
                <w:bCs/>
                <w:i w:val="false"/>
                <w:iCs w:val="false"/>
                <w:caps/>
                <w:color w:val="FFFFFF"/>
                <w:spacing w:val="14"/>
                <w:sz w:val="22"/>
                <w:szCs w:val="22"/>
              </w:rPr>
              <w:t xml:space="preserve">Objeto y alcance</w:t>
            </w:r>
          </w:p>
        </w:tc>
      </w:tr>
    </w:tbl>
    <w:p>
      <w:pPr>
        <w:spacing w:after="110"/>
      </w:pP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Objeto</w:t>
      </w:r>
    </w:p>
    <w:p>
      <w:pPr>
        <w:spacing w:after="95" w:before="0" w:line="264"/>
      </w:pPr>
      <w:r>
        <w:rPr>
          <w:rFonts w:ascii="Calibri" w:cs="Calibri" w:eastAsia="Calibri" w:hAnsi="Calibri"/>
          <w:b w:val="false"/>
          <w:bCs w:val="false"/>
          <w:i w:val="false"/>
          <w:iCs w:val="false"/>
          <w:caps w:val="false"/>
          <w:color w:val="374151"/>
          <w:sz w:val="21"/>
          <w:szCs w:val="21"/>
        </w:rPr>
        <w:t xml:space="preserve">Documentar formalmente el proceso contable mensual de IES: qué hace cada posición, en qué fechas, con qué carga medida y bajo qué controles. El documento se presenta a Recursos Humanos para que avale la descripción de cargos y la distribución de cargas antes de su adopción como estándar de trabajo.</w:t>
      </w: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Alcance</w:t>
      </w:r>
    </w:p>
    <w:p>
      <w:pPr>
        <w:spacing w:after="95" w:before="0" w:line="264"/>
      </w:pPr>
      <w:r>
        <w:rPr>
          <w:rFonts w:ascii="Calibri" w:cs="Calibri" w:eastAsia="Calibri" w:hAnsi="Calibri"/>
          <w:b w:val="false"/>
          <w:bCs w:val="false"/>
          <w:i w:val="false"/>
          <w:iCs w:val="false"/>
          <w:caps w:val="false"/>
          <w:color w:val="374151"/>
          <w:sz w:val="21"/>
          <w:szCs w:val="21"/>
        </w:rPr>
        <w:t xml:space="preserve">Cubre las cinco posiciones que intervienen en el ciclo contable mensual: área comercial, automatización y facturación electrónica, tesorería, auxiliar contable y contaduría. Comprende el ciclo completo, desde la entrega de insumos de facturación hasta la entrega del informe a socios.</w:t>
      </w: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Lo que este documento no cubre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Asignación salarial, escalas ni beneficios. Solo describe funciones y cargas.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Evaluación de desempeño individual. Los datos son de carga planificada, no de rendimiento.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Procesos de otras áreas que no intervienen en el ciclo contable mensual.</w:t>
      </w: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Definiciones</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6872"/>
      </w:tblGrid>
      <w:tr>
        <w:trPr>
          <w:tblHeader/>
        </w:trPr>
        <w:tc>
          <w:tcPr>
            <w:tcW w:type="dxa" w:w="22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Término</w:t>
            </w:r>
          </w:p>
        </w:tc>
        <w:tc>
          <w:tcPr>
            <w:tcW w:type="dxa" w:w="68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Definición</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Días-tarea</w:t>
            </w:r>
          </w:p>
        </w:tc>
        <w:tc>
          <w:tcPr>
            <w:tcW w:type="dxa" w:w="68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Suma de los días que cada tarea permanece abierta en el mes. Mide exposición y simultaneidad; no equivale a horas trabajadas.</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Ocupación</w:t>
            </w:r>
          </w:p>
        </w:tc>
        <w:tc>
          <w:tcPr>
            <w:tcW w:type="dxa" w:w="68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Porcentaje de días del período en los que la persona tiene al menos una tarea abierta.</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Pico</w:t>
            </w:r>
          </w:p>
        </w:tc>
        <w:tc>
          <w:tcPr>
            <w:tcW w:type="dxa" w:w="68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Número máximo de tareas de una misma persona abiertas en un mismo día.</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Punto de cruce</w:t>
            </w:r>
          </w:p>
        </w:tc>
        <w:tc>
          <w:tcPr>
            <w:tcW w:type="dxa" w:w="68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Momento en que el resultado de una posición es condición para que otra pueda avanzar.</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Hito de fecha legal</w:t>
            </w:r>
          </w:p>
        </w:tc>
        <w:tc>
          <w:tcPr>
            <w:tcW w:type="dxa" w:w="68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Obligación con vencimiento normativo que no admite aplazamiento.</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2   </w:t>
            </w:r>
            <w:r>
              <w:rPr>
                <w:rFonts w:ascii="Calibri" w:cs="Calibri" w:eastAsia="Calibri" w:hAnsi="Calibri"/>
                <w:b/>
                <w:bCs/>
                <w:i w:val="false"/>
                <w:iCs w:val="false"/>
                <w:caps/>
                <w:color w:val="FFFFFF"/>
                <w:spacing w:val="14"/>
                <w:sz w:val="22"/>
                <w:szCs w:val="22"/>
              </w:rPr>
              <w:t xml:space="preserve">Marco normativo y obligaciones de fecha</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Parte de la carga del equipo no es discrecional: responde a obligaciones con vencimiento externo. Este es el elemento que Recursos Humanos debe considerar al valorar la distribución de la carga, porque son las fechas que no se pueden reprogramar.</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2400"/>
        <w:gridCol w:w="4072"/>
      </w:tblGrid>
      <w:tr>
        <w:trPr>
          <w:tblHeader/>
        </w:trPr>
        <w:tc>
          <w:tcPr>
            <w:tcW w:type="dxa" w:w="26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Obligación</w:t>
            </w:r>
          </w:p>
        </w:tc>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Responsable</w:t>
            </w:r>
          </w:p>
        </w:tc>
        <w:tc>
          <w:tcPr>
            <w:tcW w:type="dxa" w:w="40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Ventana en el mes</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Entrega del insumo de facturación</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w:t>
            </w:r>
          </w:p>
        </w:tc>
        <w:tc>
          <w:tcPr>
            <w:tcW w:type="dxa" w:w="40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Hacia el día 27 del mes anterior</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Facturación electrónica ante la DIAN</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Metaute</w:t>
            </w:r>
          </w:p>
        </w:tc>
        <w:tc>
          <w:tcPr>
            <w:tcW w:type="dxa" w:w="40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 a 5</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Causación de seguridad social</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 Amador</w:t>
            </w:r>
          </w:p>
        </w:tc>
        <w:tc>
          <w:tcPr>
            <w:tcW w:type="dxa" w:w="40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10 a 13</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Pago de seguridad social a las entidades</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w:t>
            </w:r>
          </w:p>
        </w:tc>
        <w:tc>
          <w:tcPr>
            <w:tcW w:type="dxa" w:w="40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13 a 15</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Nómina primera quincena — causación</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 Amador</w:t>
            </w:r>
          </w:p>
        </w:tc>
        <w:tc>
          <w:tcPr>
            <w:tcW w:type="dxa" w:w="40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10 a 14</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Nómina primera quincena — desembolso</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w:t>
            </w:r>
          </w:p>
        </w:tc>
        <w:tc>
          <w:tcPr>
            <w:tcW w:type="dxa" w:w="40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14 a 16</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Retención en la fuente</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w:t>
            </w:r>
          </w:p>
        </w:tc>
        <w:tc>
          <w:tcPr>
            <w:tcW w:type="dxa" w:w="40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10 a 14, vence 15 a 21</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Declaración de IVA bimestral</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w:t>
            </w:r>
          </w:p>
        </w:tc>
        <w:tc>
          <w:tcPr>
            <w:tcW w:type="dxa" w:w="40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15 a 21, seis veces al año</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Nómina segunda quincena — causación</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 Amador</w:t>
            </w:r>
          </w:p>
        </w:tc>
        <w:tc>
          <w:tcPr>
            <w:tcW w:type="dxa" w:w="40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Días 25 a 29</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Nómina segunda quincena — desembolso</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w:t>
            </w:r>
          </w:p>
        </w:tc>
        <w:tc>
          <w:tcPr>
            <w:tcW w:type="dxa" w:w="40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Día 29 al cierre</w:t>
            </w:r>
          </w:p>
        </w:tc>
      </w:tr>
    </w:tbl>
    <w:p>
      <w:pPr>
        <w:spacing w:after="120"/>
      </w:pPr>
    </w:p>
    <w:tbl>
      <w:tblPr>
        <w:tblW w:type="dxa" w:w="9072"/>
        <w:tblBorders>
          <w:top w:val="single" w:color="B45309" w:sz="2"/>
          <w:left w:val="single" w:color="B45309" w:sz="18"/>
          <w:bottom w:val="single" w:color="B45309" w:sz="2"/>
          <w:right w:val="single" w:color="B45309" w:sz="2"/>
          <w:insideH w:val="none" w:color="auto" w:sz="0"/>
          <w:insideV w:val="none" w:color="auto" w:sz="0"/>
        </w:tblBorders>
      </w:tblPr>
      <w:tblGrid>
        <w:gridCol w:w="9072"/>
      </w:tblGrid>
      <w:tr>
        <w:tc>
          <w:tcPr>
            <w:tcW w:type="dxa" w:w="9072"/>
            <w:shd w:fill="FFFBEB"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B45309"/>
                <w:spacing w:val="16"/>
                <w:sz w:val="19"/>
                <w:szCs w:val="19"/>
              </w:rPr>
              <w:t xml:space="preserve">Consecuencia para la planeación</w:t>
            </w:r>
          </w:p>
          <w:p>
            <w:pPr>
              <w:spacing w:after="0" w:line="262"/>
            </w:pPr>
            <w:r>
              <w:rPr>
                <w:rFonts w:ascii="Calibri" w:cs="Calibri" w:eastAsia="Calibri" w:hAnsi="Calibri"/>
                <w:b w:val="false"/>
                <w:bCs w:val="false"/>
                <w:i w:val="false"/>
                <w:iCs w:val="false"/>
                <w:caps w:val="false"/>
                <w:color w:val="374151"/>
                <w:sz w:val="20"/>
                <w:szCs w:val="20"/>
              </w:rPr>
              <w:t xml:space="preserve">Ocho de las nueve obligaciones de fecha legal se concentran entre los días 10 y 21. Esa concentración no es una decisión interna: la imponen los calendarios de la DIAN y de la seguridad social. Cualquier ajuste de cargas debe respetarla.</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   </w:t>
            </w:r>
            <w:r>
              <w:rPr>
                <w:rFonts w:ascii="Calibri" w:cs="Calibri" w:eastAsia="Calibri" w:hAnsi="Calibri"/>
                <w:b/>
                <w:bCs/>
                <w:i w:val="false"/>
                <w:iCs w:val="false"/>
                <w:caps/>
                <w:color w:val="FFFFFF"/>
                <w:spacing w:val="14"/>
                <w:sz w:val="22"/>
                <w:szCs w:val="22"/>
              </w:rPr>
              <w:t xml:space="preserve">Estructura del proceso y descripción de cargos</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El proceso es una cadena de cinco posiciones. El resultado de cada una es el insumo de la siguiente.</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900"/>
        <w:gridCol w:w="2500"/>
        <w:gridCol w:w="5672"/>
      </w:tblGrid>
      <w:tr>
        <w:trPr>
          <w:tblHeader/>
        </w:trPr>
        <w:tc>
          <w:tcPr>
            <w:tcW w:type="dxa" w:w="9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Orden</w:t>
            </w:r>
          </w:p>
        </w:tc>
        <w:tc>
          <w:tcPr>
            <w:tcW w:type="dxa" w:w="2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Posición</w:t>
            </w:r>
          </w:p>
        </w:tc>
        <w:tc>
          <w:tcPr>
            <w:tcW w:type="dxa" w:w="56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Aporte a la cadena</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w:t>
            </w:r>
          </w:p>
        </w:tc>
        <w:tc>
          <w:tcPr>
            <w:tcW w:type="dxa" w:w="2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 — Insumos de facturación</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el insumo del período hacia el día 27. Es el punto de arranque de la facturación del mes siguiente.</w:t>
            </w:r>
          </w:p>
        </w:tc>
      </w:tr>
      <w:tr>
        <w:tc>
          <w:tcPr>
            <w:tcW w:type="dxa" w:w="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w:t>
            </w:r>
          </w:p>
        </w:tc>
        <w:tc>
          <w:tcPr>
            <w:tcW w:type="dxa" w:w="2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Metaute — Automatización</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Convierte los insumos en facturas electrónicas emitidas a la DIAN.</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3</w:t>
            </w:r>
          </w:p>
        </w:tc>
        <w:tc>
          <w:tcPr>
            <w:tcW w:type="dxa" w:w="2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 — Tesorería</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Registra el dinero que entra y ejecuta el que sale.</w:t>
            </w:r>
          </w:p>
        </w:tc>
      </w:tr>
      <w:tr>
        <w:tc>
          <w:tcPr>
            <w:tcW w:type="dxa" w:w="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4</w:t>
            </w:r>
          </w:p>
        </w:tc>
        <w:tc>
          <w:tcPr>
            <w:tcW w:type="dxa" w:w="2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 Amador — Auxiliar Contable</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 concilia y deja todo soportado contablemente.</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5</w:t>
            </w:r>
          </w:p>
        </w:tc>
        <w:tc>
          <w:tcPr>
            <w:tcW w:type="dxa" w:w="2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 — Contaduría</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 construye los estados financieros y entrega el informe.</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2D5AA0"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3.1   </w:t>
            </w:r>
            <w:r>
              <w:rPr>
                <w:rFonts w:ascii="Calibri" w:cs="Calibri" w:eastAsia="Calibri" w:hAnsi="Calibri"/>
                <w:b/>
                <w:bCs/>
                <w:i w:val="false"/>
                <w:iCs w:val="false"/>
                <w:caps/>
                <w:color w:val="FFFFFF"/>
                <w:spacing w:val="14"/>
                <w:sz w:val="22"/>
                <w:szCs w:val="22"/>
              </w:rPr>
              <w:t xml:space="preserve">Delimitación de los tres roles centrales</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Tesorería, Auxiliar Contable y Contaduría intervienen sobre los mismos hechos económicos, y por eso se confunden con facilidad. La diferencia no está en el tema sino en el MOMENTO en que cada una actúa y en la DECISIÓN que le corresponde tomar. Ninguna puede hacer el trabajo de la otra.</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390"/>
        <w:gridCol w:w="2391"/>
        <w:gridCol w:w="2391"/>
      </w:tblGrid>
      <w:tr>
        <w:trPr>
          <w:tblHeader/>
        </w:trPr>
        <w:tc>
          <w:tcPr>
            <w:tcW w:type="dxa" w:w="19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Criterio</w:t>
            </w:r>
          </w:p>
        </w:tc>
        <w:tc>
          <w:tcPr>
            <w:tcW w:type="dxa" w:w="239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Isnardi — Tesorería</w:t>
            </w:r>
          </w:p>
        </w:tc>
        <w:tc>
          <w:tcPr>
            <w:tcW w:type="dxa" w:w="2391"/>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Luis — Auxiliar Contable</w:t>
            </w:r>
          </w:p>
        </w:tc>
        <w:tc>
          <w:tcPr>
            <w:tcW w:type="dxa" w:w="2391"/>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Cristian — Contaduría</w:t>
            </w:r>
          </w:p>
        </w:tc>
      </w:tr>
      <w:tr>
        <w:tc>
          <w:tcPr>
            <w:tcW w:type="dxa" w:w="1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Verbo que la define</w:t>
            </w:r>
          </w:p>
        </w:tc>
        <w:tc>
          <w:tcPr>
            <w:tcW w:type="dxa" w:w="239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B6B45"/>
                <w:sz w:val="18"/>
                <w:szCs w:val="18"/>
              </w:rPr>
              <w:t xml:space="preserve">EJECUTA</w:t>
            </w:r>
          </w:p>
        </w:tc>
        <w:tc>
          <w:tcPr>
            <w:tcW w:type="dxa" w:w="2391"/>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E3A8A"/>
                <w:sz w:val="18"/>
                <w:szCs w:val="18"/>
              </w:rPr>
              <w:t xml:space="preserve">REGISTRA</w:t>
            </w:r>
          </w:p>
        </w:tc>
        <w:tc>
          <w:tcPr>
            <w:tcW w:type="dxa" w:w="2391"/>
            <w:tcMar>
              <w:top w:type="dxa" w:w="72"/>
              <w:left w:type="dxa" w:w="120"/>
              <w:bottom w:type="dxa" w:w="72"/>
              <w:right w:type="dxa" w:w="120"/>
            </w:tcMar>
          </w:tcPr>
          <w:p>
            <w:pPr>
              <w:spacing w:after="0" w:line="238"/>
            </w:pPr>
            <w:r>
              <w:rPr>
                <w:rFonts w:ascii="Calibri" w:cs="Calibri" w:eastAsia="Calibri" w:hAnsi="Calibri"/>
                <w:b/>
                <w:bCs/>
                <w:i w:val="false"/>
                <w:iCs w:val="false"/>
                <w:caps w:val="false"/>
                <w:color w:val="5B21B6"/>
                <w:sz w:val="18"/>
                <w:szCs w:val="18"/>
              </w:rPr>
              <w:t xml:space="preserve">VALIDA Y RESPONDE</w:t>
            </w:r>
          </w:p>
        </w:tc>
      </w:tr>
      <w:tr>
        <w:tc>
          <w:tcPr>
            <w:tcW w:type="dxa" w:w="1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Sobre qué actúa</w:t>
            </w:r>
          </w:p>
        </w:tc>
        <w:tc>
          <w:tcPr>
            <w:tcW w:type="dxa" w:w="23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dinero real: lo que entra a caja y bancos y lo que sale</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hecho económico: lo convierte en asiento contable soportado</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información ya consolidada del período</w:t>
            </w:r>
          </w:p>
        </w:tc>
      </w:tr>
      <w:tr>
        <w:tc>
          <w:tcPr>
            <w:tcW w:type="dxa" w:w="1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Cuándo actúa</w:t>
            </w:r>
          </w:p>
        </w:tc>
        <w:tc>
          <w:tcPr>
            <w:tcW w:type="dxa" w:w="23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 el momento en que el dinero se mueve</w:t>
            </w:r>
          </w:p>
        </w:tc>
        <w:tc>
          <w:tcPr>
            <w:tcW w:type="dxa" w:w="23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Después del hecho, dentro del mes</w:t>
            </w:r>
          </w:p>
        </w:tc>
        <w:tc>
          <w:tcPr>
            <w:tcW w:type="dxa" w:w="23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Al cierre, sobre lo que los dos anteriores produjeron</w:t>
            </w:r>
          </w:p>
        </w:tc>
      </w:tr>
      <w:tr>
        <w:tc>
          <w:tcPr>
            <w:tcW w:type="dxa" w:w="1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Qué decide</w:t>
            </w:r>
          </w:p>
        </w:tc>
        <w:tc>
          <w:tcPr>
            <w:tcW w:type="dxa" w:w="23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Cuándo y por qué medio se paga, y si hay soporte suficiente</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Cómo se clasifica contablemente cada hecho</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Si el resultado es correcto y presentable ante terceros</w:t>
            </w:r>
          </w:p>
        </w:tc>
      </w:tr>
      <w:tr>
        <w:tc>
          <w:tcPr>
            <w:tcW w:type="dxa" w:w="1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Qué NO puede hacer</w:t>
            </w:r>
          </w:p>
        </w:tc>
        <w:tc>
          <w:tcPr>
            <w:tcW w:type="dxa" w:w="23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Pagar sin causación previa ni clasificar contablemente</w:t>
            </w:r>
          </w:p>
        </w:tc>
        <w:tc>
          <w:tcPr>
            <w:tcW w:type="dxa" w:w="23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Mover dinero ni autorizar pagos</w:t>
            </w:r>
          </w:p>
        </w:tc>
        <w:tc>
          <w:tcPr>
            <w:tcW w:type="dxa" w:w="23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Ejecutar pagos ni causar documentos</w:t>
            </w:r>
          </w:p>
        </w:tc>
      </w:tr>
      <w:tr>
        <w:tc>
          <w:tcPr>
            <w:tcW w:type="dxa" w:w="1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Su error típico</w:t>
            </w:r>
          </w:p>
        </w:tc>
        <w:tc>
          <w:tcPr>
            <w:tcW w:type="dxa" w:w="23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Pago sin soporte, cobro sin aplicar a factura</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Causación incompleta, conciliación que no cierra</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Cierre sobre cifras no validadas</w:t>
            </w:r>
          </w:p>
        </w:tc>
      </w:tr>
      <w:tr>
        <w:tc>
          <w:tcPr>
            <w:tcW w:type="dxa" w:w="1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Responde ante</w:t>
            </w:r>
          </w:p>
        </w:tc>
        <w:tc>
          <w:tcPr>
            <w:tcW w:type="dxa" w:w="23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saldo bancario y la existencia del soporte</w:t>
            </w:r>
          </w:p>
        </w:tc>
        <w:tc>
          <w:tcPr>
            <w:tcW w:type="dxa" w:w="23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Que el libro contable refleje la realidad</w:t>
            </w:r>
          </w:p>
        </w:tc>
        <w:tc>
          <w:tcPr>
            <w:tcW w:type="dxa" w:w="23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DIAN, los socios y la revisoría fiscal</w:t>
            </w:r>
          </w:p>
        </w:tc>
      </w:tr>
      <w:tr>
        <w:tc>
          <w:tcPr>
            <w:tcW w:type="dxa" w:w="1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Firma</w:t>
            </w:r>
          </w:p>
        </w:tc>
        <w:tc>
          <w:tcPr>
            <w:tcW w:type="dxa" w:w="23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Comprobantes de egreso</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Documento formal de conciliación</w:t>
            </w:r>
          </w:p>
        </w:tc>
        <w:tc>
          <w:tcPr>
            <w:tcW w:type="dxa" w:w="23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Estados financieros y declaraciones tributarias</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Cómo se reparten los procesos compartidos</w:t>
      </w:r>
    </w:p>
    <w:p>
      <w:pPr>
        <w:spacing w:after="95" w:before="0" w:line="264"/>
      </w:pPr>
      <w:r>
        <w:rPr>
          <w:rFonts w:ascii="Calibri" w:cs="Calibri" w:eastAsia="Calibri" w:hAnsi="Calibri"/>
          <w:b w:val="false"/>
          <w:bCs w:val="false"/>
          <w:i w:val="false"/>
          <w:iCs w:val="false"/>
          <w:caps w:val="false"/>
          <w:color w:val="374151"/>
          <w:sz w:val="21"/>
          <w:szCs w:val="21"/>
        </w:rPr>
        <w:t xml:space="preserve">Sobre un mismo proceso, cada posición hace una parte distinta y en un orden que no se puede invertir. Esta es la lectura que evita el traslape.</w:t>
      </w:r>
    </w:p>
    <w:p>
      <w:pPr>
        <w:spacing w:after="9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2290"/>
        <w:gridCol w:w="2291"/>
        <w:gridCol w:w="2291"/>
      </w:tblGrid>
      <w:tr>
        <w:trPr>
          <w:tblHeader/>
        </w:trPr>
        <w:tc>
          <w:tcPr>
            <w:tcW w:type="dxa" w:w="22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Proceso</w:t>
            </w:r>
          </w:p>
        </w:tc>
        <w:tc>
          <w:tcPr>
            <w:tcW w:type="dxa" w:w="229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Isnardi</w:t>
            </w:r>
          </w:p>
        </w:tc>
        <w:tc>
          <w:tcPr>
            <w:tcW w:type="dxa" w:w="2291"/>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Luis</w:t>
            </w:r>
          </w:p>
        </w:tc>
        <w:tc>
          <w:tcPr>
            <w:tcW w:type="dxa" w:w="2291"/>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Cristian</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Pago a proveedor</w:t>
            </w:r>
          </w:p>
        </w:tc>
        <w:tc>
          <w:tcPr>
            <w:tcW w:type="dxa" w:w="22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Ejecuta el pago y registra el RP</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 la CXP Cuenta 23 con su soporte</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Invoice del exterior</w:t>
            </w:r>
          </w:p>
        </w:tc>
        <w:tc>
          <w:tcPr>
            <w:tcW w:type="dxa" w:w="22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Ejecuta el pago al proveedor</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Genera el Documento Soporte y crea la CXP</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Da el visto bueno al cierre del mes</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Seguridad social</w:t>
            </w:r>
          </w:p>
        </w:tc>
        <w:tc>
          <w:tcPr>
            <w:tcW w:type="dxa" w:w="22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Paga a las entidades, días 13 a 15</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 el período y entrega el soporte, días 10 a 13</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 antes del desembolso</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Nómina</w:t>
            </w:r>
          </w:p>
        </w:tc>
        <w:tc>
          <w:tcPr>
            <w:tcW w:type="dxa" w:w="22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Desembolsa ambas quincenas</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Proyecta, causa y valida las deducciones</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 antes del desembolso</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Conciliación bancaria</w:t>
            </w:r>
          </w:p>
        </w:tc>
        <w:tc>
          <w:tcPr>
            <w:tcW w:type="dxa" w:w="22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Aporta los RC y RP registrados en el mes</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 extracto contra libro y genera el documento</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 los saldos finales, días 7 a 9</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Conciliación de tarjeta</w:t>
            </w:r>
          </w:p>
        </w:tc>
        <w:tc>
          <w:tcPr>
            <w:tcW w:type="dxa" w:w="22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Clasifica y escala los gastos no regulares</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Cartera y recaudo</w:t>
            </w:r>
          </w:p>
        </w:tc>
        <w:tc>
          <w:tcPr>
            <w:tcW w:type="dxa" w:w="22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Aplica los cobros a las facturas</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Construye el informe de vigencias y el análisis</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Cierre contable</w:t>
            </w:r>
          </w:p>
        </w:tc>
        <w:tc>
          <w:tcPr>
            <w:tcW w:type="dxa" w:w="22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las causaciones del período</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Ejecuta el cierre y liquida la retención</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Estados financieros</w:t>
            </w:r>
          </w:p>
        </w:tc>
        <w:tc>
          <w:tcPr>
            <w:tcW w:type="dxa" w:w="22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Desarrolla, valida contra Siigo y presenta</w:t>
            </w:r>
          </w:p>
        </w:tc>
      </w:tr>
      <w:tr>
        <w:tc>
          <w:tcPr>
            <w:tcW w:type="dxa" w:w="22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Obligaciones DIAN</w:t>
            </w:r>
          </w:p>
        </w:tc>
        <w:tc>
          <w:tcPr>
            <w:tcW w:type="dxa" w:w="229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 el RADIAN</w:t>
            </w:r>
          </w:p>
        </w:tc>
        <w:tc>
          <w:tcPr>
            <w:tcW w:type="dxa" w:w="229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Presenta IVA y retención en la fuente</w:t>
            </w:r>
          </w:p>
        </w:tc>
      </w:tr>
      <w:tr>
        <w:tc>
          <w:tcPr>
            <w:tcW w:type="dxa" w:w="22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Variación de ingresos</w:t>
            </w:r>
          </w:p>
        </w:tc>
        <w:tc>
          <w:tcPr>
            <w:tcW w:type="dxa" w:w="229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c>
          <w:tcPr>
            <w:tcW w:type="dxa" w:w="229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Analiza con Beatriz y documenta las causas, días 9 a 12</w:t>
            </w:r>
          </w:p>
        </w:tc>
      </w:tr>
    </w:tbl>
    <w:p>
      <w:pPr>
        <w:spacing w:after="120"/>
      </w:pPr>
    </w:p>
    <w:tbl>
      <w:tblPr>
        <w:tblW w:type="dxa" w:w="9072"/>
        <w:tblBorders>
          <w:top w:val="single" w:color="2D5AA0" w:sz="2"/>
          <w:left w:val="single" w:color="2D5AA0" w:sz="18"/>
          <w:bottom w:val="single" w:color="2D5AA0" w:sz="2"/>
          <w:right w:val="single" w:color="2D5AA0" w:sz="2"/>
          <w:insideH w:val="none" w:color="auto" w:sz="0"/>
          <w:insideV w:val="none" w:color="auto" w:sz="0"/>
        </w:tblBorders>
      </w:tblPr>
      <w:tblGrid>
        <w:gridCol w:w="9072"/>
      </w:tblGrid>
      <w:tr>
        <w:tc>
          <w:tcPr>
            <w:tcW w:type="dxa" w:w="9072"/>
            <w:shd w:fill="ECF2FA"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1B3A6B"/>
                <w:spacing w:val="16"/>
                <w:sz w:val="19"/>
                <w:szCs w:val="19"/>
              </w:rPr>
              <w:t xml:space="preserve">La regla que separa los tres roles</w:t>
            </w:r>
          </w:p>
          <w:p>
            <w:pPr>
              <w:spacing w:after="0" w:line="262"/>
            </w:pPr>
            <w:r>
              <w:rPr>
                <w:rFonts w:ascii="Calibri" w:cs="Calibri" w:eastAsia="Calibri" w:hAnsi="Calibri"/>
                <w:b w:val="false"/>
                <w:bCs w:val="false"/>
                <w:i w:val="false"/>
                <w:iCs w:val="false"/>
                <w:caps w:val="false"/>
                <w:color w:val="374151"/>
                <w:sz w:val="20"/>
                <w:szCs w:val="20"/>
              </w:rPr>
              <w:t xml:space="preserve">El dinero no se mueve sin que antes exista una causación, y una causación no se da por buena sin validación. Luis prepara, Cristian valida, Isnardi ejecuta. Invertir ese orden es lo que produce pagos sin soporte y cierres sobre cifras no confirmadas.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2D5AA0"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3.2   </w:t>
            </w:r>
            <w:r>
              <w:rPr>
                <w:rFonts w:ascii="Calibri" w:cs="Calibri" w:eastAsia="Calibri" w:hAnsi="Calibri"/>
                <w:b/>
                <w:bCs/>
                <w:i w:val="false"/>
                <w:iCs w:val="false"/>
                <w:caps/>
                <w:color w:val="FFFFFF"/>
                <w:spacing w:val="14"/>
                <w:sz w:val="22"/>
                <w:szCs w:val="22"/>
              </w:rPr>
              <w:t xml:space="preserve">Beatriz · Insumos de facturación</w:t>
            </w:r>
          </w:p>
        </w:tc>
      </w:tr>
    </w:tbl>
    <w:p>
      <w:pPr>
        <w:spacing w:after="110"/>
      </w:pPr>
    </w:p>
    <w:p>
      <w:pPr>
        <w:spacing w:after="58" w:before="150" w:line="215"/>
      </w:pPr>
      <w:r>
        <w:rPr>
          <w:rFonts w:ascii="Calibri" w:cs="Calibri" w:eastAsia="Calibri" w:hAnsi="Calibri"/>
          <w:b/>
          <w:bCs/>
          <w:i w:val="false"/>
          <w:iCs w:val="false"/>
          <w:caps/>
          <w:color w:val="64748B"/>
          <w:spacing w:val="24"/>
          <w:sz w:val="17"/>
          <w:szCs w:val="17"/>
        </w:rPr>
        <w:t xml:space="preserve">Propósito del cargo</w:t>
      </w:r>
    </w:p>
    <w:p>
      <w:pPr>
        <w:spacing w:after="95" w:before="0" w:line="264"/>
      </w:pPr>
      <w:r>
        <w:rPr>
          <w:rFonts w:ascii="Calibri" w:cs="Calibri" w:eastAsia="Calibri" w:hAnsi="Calibri"/>
          <w:b w:val="false"/>
          <w:bCs w:val="false"/>
          <w:i w:val="false"/>
          <w:iCs w:val="false"/>
          <w:caps w:val="false"/>
          <w:color w:val="374151"/>
          <w:sz w:val="21"/>
          <w:szCs w:val="21"/>
        </w:rPr>
        <w:t xml:space="preserve">Entregar a tiempo el insumo comercial que habilita la facturación del mes siguiente, y explicar la variación de los ingresos que se reporta a socios.</w:t>
      </w:r>
    </w:p>
    <w:p>
      <w:pPr>
        <w:spacing w:after="58" w:before="150" w:line="215"/>
      </w:pPr>
      <w:r>
        <w:rPr>
          <w:rFonts w:ascii="Calibri" w:cs="Calibri" w:eastAsia="Calibri" w:hAnsi="Calibri"/>
          <w:b/>
          <w:bCs/>
          <w:i w:val="false"/>
          <w:iCs w:val="false"/>
          <w:caps/>
          <w:color w:val="64748B"/>
          <w:spacing w:val="24"/>
          <w:sz w:val="17"/>
          <w:szCs w:val="17"/>
        </w:rPr>
        <w:t xml:space="preserve">Funciones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Consolidar el insumo de facturación del período: cantidades, valores y tipos.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Entregar ese insumo hacia el día 27, para que Luis y Edgar armen el archivo plano y la facturación salga el día 1 del mes siguiente.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Participar en la sesión de análisis con Contaduría entre los días 9 y 12.</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Explicar qué variaciones hubo en la facturación frente al mes anterior y por qué: clientes nuevos o perdidos, cambios de volumen y operaciones atípicas.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Aportar la proyección comercial del mes en curso.</w:t>
      </w:r>
    </w:p>
    <w:p>
      <w:pPr>
        <w:spacing w:after="58" w:before="150" w:line="215"/>
      </w:pPr>
      <w:r>
        <w:rPr>
          <w:rFonts w:ascii="Calibri" w:cs="Calibri" w:eastAsia="Calibri" w:hAnsi="Calibri"/>
          <w:b/>
          <w:bCs/>
          <w:i w:val="false"/>
          <w:iCs w:val="false"/>
          <w:caps/>
          <w:color w:val="64748B"/>
          <w:spacing w:val="24"/>
          <w:sz w:val="17"/>
          <w:szCs w:val="17"/>
        </w:rPr>
        <w:t xml:space="preserve">Competencias requeridas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Conocimiento del portafolio y de las condiciones comerciales pactadas.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Disciplina de cierre: consolidar el insumo con corte al día 27, sin excepciones.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Capacidad de explicar variaciones de facturación mes contra mes en términos de negocio.</w:t>
      </w:r>
    </w:p>
    <w:p>
      <w:pPr>
        <w:spacing w:after="58" w:before="150" w:line="215"/>
      </w:pPr>
      <w:r>
        <w:rPr>
          <w:rFonts w:ascii="Calibri" w:cs="Calibri" w:eastAsia="Calibri" w:hAnsi="Calibri"/>
          <w:b/>
          <w:bCs/>
          <w:i w:val="false"/>
          <w:iCs w:val="false"/>
          <w:caps/>
          <w:color w:val="64748B"/>
          <w:spacing w:val="24"/>
          <w:sz w:val="17"/>
          <w:szCs w:val="17"/>
        </w:rPr>
        <w:t xml:space="preserve">Entregables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Insumo de facturación entregado hacia el día 27.</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Análisis de variación de ingresos incorporado al informe de socios.</w:t>
      </w:r>
    </w:p>
    <w:p>
      <w:pPr>
        <w:spacing w:after="58" w:before="150" w:line="215"/>
      </w:pPr>
      <w:r>
        <w:rPr>
          <w:rFonts w:ascii="Calibri" w:cs="Calibri" w:eastAsia="Calibri" w:hAnsi="Calibri"/>
          <w:b/>
          <w:bCs/>
          <w:i w:val="false"/>
          <w:iCs w:val="false"/>
          <w:caps/>
          <w:color w:val="64748B"/>
          <w:spacing w:val="24"/>
          <w:sz w:val="17"/>
          <w:szCs w:val="17"/>
        </w:rPr>
        <w:t xml:space="preserve">Carga medida</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70"/>
        <w:gridCol w:w="2270"/>
        <w:gridCol w:w="2266"/>
        <w:gridCol w:w="2266"/>
      </w:tblGrid>
      <w:tr>
        <w:trPr>
          <w:tblHeader/>
        </w:trPr>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 al año</w:t>
            </w:r>
          </w:p>
        </w:tc>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Ocupación</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Pico simultáneo</w:t>
            </w:r>
          </w:p>
        </w:tc>
      </w:tr>
      <w:tr>
        <w:tc>
          <w:tcPr>
            <w:tcW w:type="dxa" w:w="227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24</w:t>
            </w:r>
          </w:p>
        </w:tc>
        <w:tc>
          <w:tcPr>
            <w:tcW w:type="dxa" w:w="227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84</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23%</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 tareas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2D5AA0"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3.3   </w:t>
            </w:r>
            <w:r>
              <w:rPr>
                <w:rFonts w:ascii="Calibri" w:cs="Calibri" w:eastAsia="Calibri" w:hAnsi="Calibri"/>
                <w:b/>
                <w:bCs/>
                <w:i w:val="false"/>
                <w:iCs w:val="false"/>
                <w:caps/>
                <w:color w:val="FFFFFF"/>
                <w:spacing w:val="14"/>
                <w:sz w:val="22"/>
                <w:szCs w:val="22"/>
              </w:rPr>
              <w:t xml:space="preserve">Edgar Metaute · Automatización y Gerencia</w:t>
            </w:r>
          </w:p>
        </w:tc>
      </w:tr>
    </w:tbl>
    <w:p>
      <w:pPr>
        <w:spacing w:after="110"/>
      </w:pPr>
    </w:p>
    <w:p>
      <w:pPr>
        <w:spacing w:after="58" w:before="150" w:line="215"/>
      </w:pPr>
      <w:r>
        <w:rPr>
          <w:rFonts w:ascii="Calibri" w:cs="Calibri" w:eastAsia="Calibri" w:hAnsi="Calibri"/>
          <w:b/>
          <w:bCs/>
          <w:i w:val="false"/>
          <w:iCs w:val="false"/>
          <w:caps/>
          <w:color w:val="64748B"/>
          <w:spacing w:val="24"/>
          <w:sz w:val="17"/>
          <w:szCs w:val="17"/>
        </w:rPr>
        <w:t xml:space="preserve">Propósito del cargo</w:t>
      </w:r>
    </w:p>
    <w:p>
      <w:pPr>
        <w:spacing w:after="95" w:before="0" w:line="264"/>
      </w:pPr>
      <w:r>
        <w:rPr>
          <w:rFonts w:ascii="Calibri" w:cs="Calibri" w:eastAsia="Calibri" w:hAnsi="Calibri"/>
          <w:b w:val="false"/>
          <w:bCs w:val="false"/>
          <w:i w:val="false"/>
          <w:iCs w:val="false"/>
          <w:caps w:val="false"/>
          <w:color w:val="374151"/>
          <w:sz w:val="21"/>
          <w:szCs w:val="21"/>
        </w:rPr>
        <w:t xml:space="preserve">Operar la facturación electrónica en Siigo y ejercer las decisiones de Gerencia que el equipo contable no puede tomar por su cuenta.</w:t>
      </w:r>
    </w:p>
    <w:p>
      <w:pPr>
        <w:spacing w:after="58" w:before="150" w:line="215"/>
      </w:pPr>
      <w:r>
        <w:rPr>
          <w:rFonts w:ascii="Calibri" w:cs="Calibri" w:eastAsia="Calibri" w:hAnsi="Calibri"/>
          <w:b/>
          <w:bCs/>
          <w:i w:val="false"/>
          <w:iCs w:val="false"/>
          <w:caps/>
          <w:color w:val="64748B"/>
          <w:spacing w:val="24"/>
          <w:sz w:val="17"/>
          <w:szCs w:val="17"/>
        </w:rPr>
        <w:t xml:space="preserve">Funciones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Organizar el archivo plano en Siigo a partir del insumo comercial.</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Emitir las facturas electrónicas hacia DIAN y RADIAN entre los días 1 y 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Definir qué gastos de tarjeta de crédito corresponden a viáticos, entre los días 6 y 10.</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Revisar el informe mensual y dar feedback antes de que pase a socios, entre los días 13 y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Procesar el archivo plano del cierre para que la facturación del día 1 salga a tiempo.</w:t>
      </w:r>
    </w:p>
    <w:p>
      <w:pPr>
        <w:spacing w:after="58" w:before="150" w:line="215"/>
      </w:pPr>
      <w:r>
        <w:rPr>
          <w:rFonts w:ascii="Calibri" w:cs="Calibri" w:eastAsia="Calibri" w:hAnsi="Calibri"/>
          <w:b/>
          <w:bCs/>
          <w:i w:val="false"/>
          <w:iCs w:val="false"/>
          <w:caps/>
          <w:color w:val="64748B"/>
          <w:spacing w:val="24"/>
          <w:sz w:val="17"/>
          <w:szCs w:val="17"/>
        </w:rPr>
        <w:t xml:space="preserve">Competencias requeridas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Manejo de Siigo ERP y del proceso de facturación electrónica.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Criterio gerencial para clasificar gastos de representación y viáticos.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Lectura de estados financieros a nivel directivo.</w:t>
      </w:r>
    </w:p>
    <w:p>
      <w:pPr>
        <w:spacing w:after="58" w:before="150" w:line="215"/>
      </w:pPr>
      <w:r>
        <w:rPr>
          <w:rFonts w:ascii="Calibri" w:cs="Calibri" w:eastAsia="Calibri" w:hAnsi="Calibri"/>
          <w:b/>
          <w:bCs/>
          <w:i w:val="false"/>
          <w:iCs w:val="false"/>
          <w:caps/>
          <w:color w:val="64748B"/>
          <w:spacing w:val="24"/>
          <w:sz w:val="17"/>
          <w:szCs w:val="17"/>
        </w:rPr>
        <w:t xml:space="preserve">Entregables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Facturas electrónicas emitidas y aceptadas.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Definición de viáticos del período.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Feedback documentado sobre el informe.</w:t>
      </w:r>
    </w:p>
    <w:p>
      <w:pPr>
        <w:spacing w:after="58" w:before="150" w:line="215"/>
      </w:pPr>
      <w:r>
        <w:rPr>
          <w:rFonts w:ascii="Calibri" w:cs="Calibri" w:eastAsia="Calibri" w:hAnsi="Calibri"/>
          <w:b/>
          <w:bCs/>
          <w:i w:val="false"/>
          <w:iCs w:val="false"/>
          <w:caps/>
          <w:color w:val="64748B"/>
          <w:spacing w:val="24"/>
          <w:sz w:val="17"/>
          <w:szCs w:val="17"/>
        </w:rPr>
        <w:t xml:space="preserve">Carga medida</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70"/>
        <w:gridCol w:w="2270"/>
        <w:gridCol w:w="2266"/>
        <w:gridCol w:w="2266"/>
      </w:tblGrid>
      <w:tr>
        <w:trPr>
          <w:tblHeader/>
        </w:trPr>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 al año</w:t>
            </w:r>
          </w:p>
        </w:tc>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Ocupación</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Pico simultáneo</w:t>
            </w:r>
          </w:p>
        </w:tc>
      </w:tr>
      <w:tr>
        <w:tc>
          <w:tcPr>
            <w:tcW w:type="dxa" w:w="227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60</w:t>
            </w:r>
          </w:p>
        </w:tc>
        <w:tc>
          <w:tcPr>
            <w:tcW w:type="dxa" w:w="227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269</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57%</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 tareas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2D5AA0"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3.4   </w:t>
            </w:r>
            <w:r>
              <w:rPr>
                <w:rFonts w:ascii="Calibri" w:cs="Calibri" w:eastAsia="Calibri" w:hAnsi="Calibri"/>
                <w:b/>
                <w:bCs/>
                <w:i w:val="false"/>
                <w:iCs w:val="false"/>
                <w:caps/>
                <w:color w:val="FFFFFF"/>
                <w:spacing w:val="14"/>
                <w:sz w:val="22"/>
                <w:szCs w:val="22"/>
              </w:rPr>
              <w:t xml:space="preserve">Isnardi Sanches · Tesorería</w:t>
            </w:r>
          </w:p>
        </w:tc>
      </w:tr>
    </w:tbl>
    <w:p>
      <w:pPr>
        <w:spacing w:after="110"/>
      </w:pPr>
    </w:p>
    <w:p>
      <w:pPr>
        <w:spacing w:after="58" w:before="150" w:line="215"/>
      </w:pPr>
      <w:r>
        <w:rPr>
          <w:rFonts w:ascii="Calibri" w:cs="Calibri" w:eastAsia="Calibri" w:hAnsi="Calibri"/>
          <w:b/>
          <w:bCs/>
          <w:i w:val="false"/>
          <w:iCs w:val="false"/>
          <w:caps/>
          <w:color w:val="64748B"/>
          <w:spacing w:val="24"/>
          <w:sz w:val="17"/>
          <w:szCs w:val="17"/>
        </w:rPr>
        <w:t xml:space="preserve">Propósito del cargo</w:t>
      </w:r>
    </w:p>
    <w:p>
      <w:pPr>
        <w:spacing w:after="95" w:before="0" w:line="264"/>
      </w:pPr>
      <w:r>
        <w:rPr>
          <w:rFonts w:ascii="Calibri" w:cs="Calibri" w:eastAsia="Calibri" w:hAnsi="Calibri"/>
          <w:b w:val="false"/>
          <w:bCs w:val="false"/>
          <w:i w:val="false"/>
          <w:iCs w:val="false"/>
          <w:caps w:val="false"/>
          <w:color w:val="374151"/>
          <w:sz w:val="21"/>
          <w:szCs w:val="21"/>
        </w:rPr>
        <w:t xml:space="preserve">Responder por el movimiento real del dinero: registrar lo que entra, ejecutar lo que sale y garantizar que cada salida tenga soporte y clasificación correcta.</w:t>
      </w:r>
    </w:p>
    <w:p>
      <w:pPr>
        <w:spacing w:after="58" w:before="150" w:line="215"/>
      </w:pPr>
      <w:r>
        <w:rPr>
          <w:rFonts w:ascii="Calibri" w:cs="Calibri" w:eastAsia="Calibri" w:hAnsi="Calibri"/>
          <w:b/>
          <w:bCs/>
          <w:i w:val="false"/>
          <w:iCs w:val="false"/>
          <w:caps/>
          <w:color w:val="64748B"/>
          <w:spacing w:val="24"/>
          <w:sz w:val="17"/>
          <w:szCs w:val="17"/>
        </w:rPr>
        <w:t xml:space="preserve">Funciones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Registrar cada cobro de cliente como Recibo de Caja el mismo día en que ingresa, aplicándolo a las facturas que cubre.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Ejecutar los pagos a proveedores contra la cuenta por pagar previamente causada.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Registrar como anticipo en Cuenta 13 toda orden de pago que carezca de soporte documental.</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Descomponer los pagos de créditos en capital, intereses y gastos bancarios, llevando cada porción a su cuenta.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Pagar la seguridad social a las entidades entre los días 13 y 15.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Desembolsar la nómina de ambas quincenas en las ventanas establecidas.</w:t>
      </w:r>
    </w:p>
    <w:p>
      <w:pPr>
        <w:spacing w:after="58" w:before="150" w:line="215"/>
      </w:pPr>
      <w:r>
        <w:rPr>
          <w:rFonts w:ascii="Calibri" w:cs="Calibri" w:eastAsia="Calibri" w:hAnsi="Calibri"/>
          <w:b/>
          <w:bCs/>
          <w:i w:val="false"/>
          <w:iCs w:val="false"/>
          <w:caps/>
          <w:color w:val="64748B"/>
          <w:spacing w:val="24"/>
          <w:sz w:val="17"/>
          <w:szCs w:val="17"/>
        </w:rPr>
        <w:t xml:space="preserve">Competencias requeridas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Manejo de tesorería y de portales bancarios.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Criterio contable para la descomposición de obligaciones financieras.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Rigor en la conservación de soportes.</w:t>
      </w:r>
    </w:p>
    <w:p>
      <w:pPr>
        <w:spacing w:after="58" w:before="150" w:line="215"/>
      </w:pPr>
      <w:r>
        <w:rPr>
          <w:rFonts w:ascii="Calibri" w:cs="Calibri" w:eastAsia="Calibri" w:hAnsi="Calibri"/>
          <w:b/>
          <w:bCs/>
          <w:i w:val="false"/>
          <w:iCs w:val="false"/>
          <w:caps/>
          <w:color w:val="64748B"/>
          <w:spacing w:val="24"/>
          <w:sz w:val="17"/>
          <w:szCs w:val="17"/>
        </w:rPr>
        <w:t xml:space="preserve">Entregables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Recibos de caja y de pago registrados en Siigo.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Comprobantes de pago de seguridad social y nómina.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Cartera actualizada por cliente.</w:t>
      </w:r>
    </w:p>
    <w:p>
      <w:pPr>
        <w:spacing w:after="58" w:before="150" w:line="215"/>
      </w:pPr>
      <w:r>
        <w:rPr>
          <w:rFonts w:ascii="Calibri" w:cs="Calibri" w:eastAsia="Calibri" w:hAnsi="Calibri"/>
          <w:b/>
          <w:bCs/>
          <w:i w:val="false"/>
          <w:iCs w:val="false"/>
          <w:caps/>
          <w:color w:val="64748B"/>
          <w:spacing w:val="24"/>
          <w:sz w:val="17"/>
          <w:szCs w:val="17"/>
        </w:rPr>
        <w:t xml:space="preserve">Carga medida</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70"/>
        <w:gridCol w:w="2270"/>
        <w:gridCol w:w="2266"/>
        <w:gridCol w:w="2266"/>
      </w:tblGrid>
      <w:tr>
        <w:trPr>
          <w:tblHeader/>
        </w:trPr>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 al año</w:t>
            </w:r>
          </w:p>
        </w:tc>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Ocupación</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Pico simultáneo</w:t>
            </w:r>
          </w:p>
        </w:tc>
      </w:tr>
      <w:tr>
        <w:tc>
          <w:tcPr>
            <w:tcW w:type="dxa" w:w="227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72</w:t>
            </w:r>
          </w:p>
        </w:tc>
        <w:tc>
          <w:tcPr>
            <w:tcW w:type="dxa" w:w="227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1196</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5 tareas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2D5AA0"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3.5   </w:t>
            </w:r>
            <w:r>
              <w:rPr>
                <w:rFonts w:ascii="Calibri" w:cs="Calibri" w:eastAsia="Calibri" w:hAnsi="Calibri"/>
                <w:b/>
                <w:bCs/>
                <w:i w:val="false"/>
                <w:iCs w:val="false"/>
                <w:caps/>
                <w:color w:val="FFFFFF"/>
                <w:spacing w:val="14"/>
                <w:sz w:val="22"/>
                <w:szCs w:val="22"/>
              </w:rPr>
              <w:t xml:space="preserve">Luis Santiago Amador · Auxiliar Contable</w:t>
            </w:r>
          </w:p>
        </w:tc>
      </w:tr>
    </w:tbl>
    <w:p>
      <w:pPr>
        <w:spacing w:after="110"/>
      </w:pPr>
    </w:p>
    <w:p>
      <w:pPr>
        <w:spacing w:after="58" w:before="150" w:line="215"/>
      </w:pPr>
      <w:r>
        <w:rPr>
          <w:rFonts w:ascii="Calibri" w:cs="Calibri" w:eastAsia="Calibri" w:hAnsi="Calibri"/>
          <w:b/>
          <w:bCs/>
          <w:i w:val="false"/>
          <w:iCs w:val="false"/>
          <w:caps/>
          <w:color w:val="64748B"/>
          <w:spacing w:val="24"/>
          <w:sz w:val="17"/>
          <w:szCs w:val="17"/>
        </w:rPr>
        <w:t xml:space="preserve">Propósito del cargo</w:t>
      </w:r>
    </w:p>
    <w:p>
      <w:pPr>
        <w:spacing w:after="95" w:before="0" w:line="264"/>
      </w:pPr>
      <w:r>
        <w:rPr>
          <w:rFonts w:ascii="Calibri" w:cs="Calibri" w:eastAsia="Calibri" w:hAnsi="Calibri"/>
          <w:b w:val="false"/>
          <w:bCs w:val="false"/>
          <w:i w:val="false"/>
          <w:iCs w:val="false"/>
          <w:caps w:val="false"/>
          <w:color w:val="374151"/>
          <w:sz w:val="21"/>
          <w:szCs w:val="21"/>
        </w:rPr>
        <w:t xml:space="preserve">Convertir los hechos económicos en registros contables soportados y garantizar que banco, tarjeta y libro coincidan.</w:t>
      </w:r>
    </w:p>
    <w:p>
      <w:pPr>
        <w:spacing w:after="58" w:before="150" w:line="215"/>
      </w:pPr>
      <w:r>
        <w:rPr>
          <w:rFonts w:ascii="Calibri" w:cs="Calibri" w:eastAsia="Calibri" w:hAnsi="Calibri"/>
          <w:b/>
          <w:bCs/>
          <w:i w:val="false"/>
          <w:iCs w:val="false"/>
          <w:caps/>
          <w:color w:val="64748B"/>
          <w:spacing w:val="24"/>
          <w:sz w:val="17"/>
          <w:szCs w:val="17"/>
        </w:rPr>
        <w:t xml:space="preserve">Funciones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Cerrar los pendientes del mes anterior en los días 1 y 2.</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Ejecutar la conciliación bancaria entre los días 3 y 9 y generar el documento formal.</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Conciliar la tarjeta de crédito desde el día 6, clasificando gastos y escalando a Gerencia los no regulares.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Causar la seguridad social y la nómina de ambas quincenas, validando préstamos, embargos y novedades.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Validar el RADIAN contra las facturas emitidas entre los días 15 y 25.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Generar el Documento Soporte de cada invoice del exterior y crear la cuenta por pagar correspondiente.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Generar el archivo plano del cierre para la facturación del día 1 del mes siguiente.</w:t>
      </w:r>
    </w:p>
    <w:p>
      <w:pPr>
        <w:spacing w:after="58" w:before="150" w:line="215"/>
      </w:pPr>
      <w:r>
        <w:rPr>
          <w:rFonts w:ascii="Calibri" w:cs="Calibri" w:eastAsia="Calibri" w:hAnsi="Calibri"/>
          <w:b/>
          <w:bCs/>
          <w:i w:val="false"/>
          <w:iCs w:val="false"/>
          <w:caps/>
          <w:color w:val="64748B"/>
          <w:spacing w:val="24"/>
          <w:sz w:val="17"/>
          <w:szCs w:val="17"/>
        </w:rPr>
        <w:t xml:space="preserve">Competencias requeridas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Dominio de causación en Siigo ERP.</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Conocimiento de nómina, seguridad social y sus deducciones.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Manejo de RADIAN y de la normativa de documento soporte para operaciones del exterior.</w:t>
      </w:r>
    </w:p>
    <w:p>
      <w:pPr>
        <w:spacing w:after="58" w:before="150" w:line="215"/>
      </w:pPr>
      <w:r>
        <w:rPr>
          <w:rFonts w:ascii="Calibri" w:cs="Calibri" w:eastAsia="Calibri" w:hAnsi="Calibri"/>
          <w:b/>
          <w:bCs/>
          <w:i w:val="false"/>
          <w:iCs w:val="false"/>
          <w:caps/>
          <w:color w:val="64748B"/>
          <w:spacing w:val="24"/>
          <w:sz w:val="17"/>
          <w:szCs w:val="17"/>
        </w:rPr>
        <w:t xml:space="preserve">Entregables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Documento formal de conciliación bancaria.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Conciliación de tarjeta cerrada.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Causaciones del período.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Archivo plano de facturación.</w:t>
      </w:r>
    </w:p>
    <w:p>
      <w:pPr>
        <w:spacing w:after="58" w:before="150" w:line="215"/>
      </w:pPr>
      <w:r>
        <w:rPr>
          <w:rFonts w:ascii="Calibri" w:cs="Calibri" w:eastAsia="Calibri" w:hAnsi="Calibri"/>
          <w:b/>
          <w:bCs/>
          <w:i w:val="false"/>
          <w:iCs w:val="false"/>
          <w:caps/>
          <w:color w:val="64748B"/>
          <w:spacing w:val="24"/>
          <w:sz w:val="17"/>
          <w:szCs w:val="17"/>
        </w:rPr>
        <w:t xml:space="preserve">Carga medida</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70"/>
        <w:gridCol w:w="2270"/>
        <w:gridCol w:w="2266"/>
        <w:gridCol w:w="2266"/>
      </w:tblGrid>
      <w:tr>
        <w:trPr>
          <w:tblHeader/>
        </w:trPr>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 al año</w:t>
            </w:r>
          </w:p>
        </w:tc>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Ocupación</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Pico simultáneo</w:t>
            </w:r>
          </w:p>
        </w:tc>
      </w:tr>
      <w:tr>
        <w:tc>
          <w:tcPr>
            <w:tcW w:type="dxa" w:w="227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120</w:t>
            </w:r>
          </w:p>
        </w:tc>
        <w:tc>
          <w:tcPr>
            <w:tcW w:type="dxa" w:w="227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1003</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4 tareas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2D5AA0"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3.6   </w:t>
            </w:r>
            <w:r>
              <w:rPr>
                <w:rFonts w:ascii="Calibri" w:cs="Calibri" w:eastAsia="Calibri" w:hAnsi="Calibri"/>
                <w:b/>
                <w:bCs/>
                <w:i w:val="false"/>
                <w:iCs w:val="false"/>
                <w:caps/>
                <w:color w:val="FFFFFF"/>
                <w:spacing w:val="14"/>
                <w:sz w:val="22"/>
                <w:szCs w:val="22"/>
              </w:rPr>
              <w:t xml:space="preserve">Cristian Bernal · Contaduría</w:t>
            </w:r>
          </w:p>
        </w:tc>
      </w:tr>
    </w:tbl>
    <w:p>
      <w:pPr>
        <w:spacing w:after="110"/>
      </w:pPr>
    </w:p>
    <w:p>
      <w:pPr>
        <w:spacing w:after="58" w:before="150" w:line="215"/>
      </w:pPr>
      <w:r>
        <w:rPr>
          <w:rFonts w:ascii="Calibri" w:cs="Calibri" w:eastAsia="Calibri" w:hAnsi="Calibri"/>
          <w:b/>
          <w:bCs/>
          <w:i w:val="false"/>
          <w:iCs w:val="false"/>
          <w:caps/>
          <w:color w:val="64748B"/>
          <w:spacing w:val="24"/>
          <w:sz w:val="17"/>
          <w:szCs w:val="17"/>
        </w:rPr>
        <w:t xml:space="preserve">Propósito del cargo</w:t>
      </w:r>
    </w:p>
    <w:p>
      <w:pPr>
        <w:spacing w:after="95" w:before="0" w:line="264"/>
      </w:pPr>
      <w:r>
        <w:rPr>
          <w:rFonts w:ascii="Calibri" w:cs="Calibri" w:eastAsia="Calibri" w:hAnsi="Calibri"/>
          <w:b w:val="false"/>
          <w:bCs w:val="false"/>
          <w:i w:val="false"/>
          <w:iCs w:val="false"/>
          <w:caps w:val="false"/>
          <w:color w:val="374151"/>
          <w:sz w:val="21"/>
          <w:szCs w:val="21"/>
        </w:rPr>
        <w:t xml:space="preserve">Validar el trabajo del equipo, ejecutar el cierre contable y transformar la información en estados financieros e informe para la toma de decisiones.</w:t>
      </w:r>
    </w:p>
    <w:p>
      <w:pPr>
        <w:spacing w:after="58" w:before="150" w:line="215"/>
      </w:pPr>
      <w:r>
        <w:rPr>
          <w:rFonts w:ascii="Calibri" w:cs="Calibri" w:eastAsia="Calibri" w:hAnsi="Calibri"/>
          <w:b/>
          <w:bCs/>
          <w:i w:val="false"/>
          <w:iCs w:val="false"/>
          <w:caps/>
          <w:color w:val="64748B"/>
          <w:spacing w:val="24"/>
          <w:sz w:val="17"/>
          <w:szCs w:val="17"/>
        </w:rPr>
        <w:t xml:space="preserve">Funciones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Acompañar la conciliación bancaria y validar los saldos entre los días 7 y 9.</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Ejecutar el cierre contable y liquidar la retención en la fuente entre los días 10 y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Preparar los cinco insumos del informe: flujo de efectivo, cartera, recaudo, EESF y Estado de Resultados.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Sostener la sesión de comentarios comerciales con el área comercial entre los días 10 y 12.</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Sostener la sesión de feedback con Gerencia entre los días 13 y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Construir y entregar el dashboard ejecutivo el día 15.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Acompañar el proceso con socios hasta el día 20.</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Presentar la declaración de IVA en los meses del bimestre.</w:t>
      </w:r>
    </w:p>
    <w:p>
      <w:pPr>
        <w:spacing w:after="58" w:before="150" w:line="215"/>
      </w:pPr>
      <w:r>
        <w:rPr>
          <w:rFonts w:ascii="Calibri" w:cs="Calibri" w:eastAsia="Calibri" w:hAnsi="Calibri"/>
          <w:b/>
          <w:bCs/>
          <w:i w:val="false"/>
          <w:iCs w:val="false"/>
          <w:caps/>
          <w:color w:val="64748B"/>
          <w:spacing w:val="24"/>
          <w:sz w:val="17"/>
          <w:szCs w:val="17"/>
        </w:rPr>
        <w:t xml:space="preserve">Competencias requeridas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Título profesional en Contaduría Pública con tarjeta vigente.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Elaboración de estados financieros bajo el marco normativo colombiano.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Manejo tributario: retención en la fuente, IVA y obligaciones DIAN.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Capacidad de comunicar resultados a nivel directivo.</w:t>
      </w:r>
    </w:p>
    <w:p>
      <w:pPr>
        <w:spacing w:after="58" w:before="150" w:line="215"/>
      </w:pPr>
      <w:r>
        <w:rPr>
          <w:rFonts w:ascii="Calibri" w:cs="Calibri" w:eastAsia="Calibri" w:hAnsi="Calibri"/>
          <w:b/>
          <w:bCs/>
          <w:i w:val="false"/>
          <w:iCs w:val="false"/>
          <w:caps/>
          <w:color w:val="64748B"/>
          <w:spacing w:val="24"/>
          <w:sz w:val="17"/>
          <w:szCs w:val="17"/>
        </w:rPr>
        <w:t xml:space="preserve">Entregables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Cierre contable del período.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Estados financieros validados.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Dashboard ejecutivo entregado el día 15.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Declaraciones tributarias presentadas.</w:t>
      </w:r>
    </w:p>
    <w:p>
      <w:pPr>
        <w:spacing w:after="58" w:before="150" w:line="215"/>
      </w:pPr>
      <w:r>
        <w:rPr>
          <w:rFonts w:ascii="Calibri" w:cs="Calibri" w:eastAsia="Calibri" w:hAnsi="Calibri"/>
          <w:b/>
          <w:bCs/>
          <w:i w:val="false"/>
          <w:iCs w:val="false"/>
          <w:caps/>
          <w:color w:val="64748B"/>
          <w:spacing w:val="24"/>
          <w:sz w:val="17"/>
          <w:szCs w:val="17"/>
        </w:rPr>
        <w:t xml:space="preserve">Carga medida</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270"/>
        <w:gridCol w:w="2270"/>
        <w:gridCol w:w="2266"/>
        <w:gridCol w:w="2266"/>
      </w:tblGrid>
      <w:tr>
        <w:trPr>
          <w:tblHeader/>
        </w:trPr>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 al año</w:t>
            </w:r>
          </w:p>
        </w:tc>
        <w:tc>
          <w:tcPr>
            <w:tcW w:type="dxa" w:w="227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Ocupación</w:t>
            </w:r>
          </w:p>
        </w:tc>
        <w:tc>
          <w:tcPr>
            <w:tcW w:type="dxa" w:w="226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Pico simultáneo</w:t>
            </w:r>
          </w:p>
        </w:tc>
      </w:tr>
      <w:tr>
        <w:tc>
          <w:tcPr>
            <w:tcW w:type="dxa" w:w="227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174</w:t>
            </w:r>
          </w:p>
        </w:tc>
        <w:tc>
          <w:tcPr>
            <w:tcW w:type="dxa" w:w="227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731</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w:t>
            </w:r>
          </w:p>
        </w:tc>
        <w:tc>
          <w:tcPr>
            <w:tcW w:type="dxa" w:w="226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 tareas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4   </w:t>
            </w:r>
            <w:r>
              <w:rPr>
                <w:rFonts w:ascii="Calibri" w:cs="Calibri" w:eastAsia="Calibri" w:hAnsi="Calibri"/>
                <w:b/>
                <w:bCs/>
                <w:i w:val="false"/>
                <w:iCs w:val="false"/>
                <w:caps/>
                <w:color w:val="FFFFFF"/>
                <w:spacing w:val="14"/>
                <w:sz w:val="22"/>
                <w:szCs w:val="22"/>
              </w:rPr>
              <w:t xml:space="preserve">Análisis de carga de trabajo</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La carga se midió sobre el catálogo completo de procesos del año. La unidad es el día-tarea: la suma de los días que cada tarea permanece abierta. Es una medida de exposición y simultaneidad, no de horas trabajadas, y por eso no debe leerse como una estimación de tiempo dedicado.</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100"/>
        <w:gridCol w:w="1500"/>
        <w:gridCol w:w="1500"/>
        <w:gridCol w:w="1400"/>
        <w:gridCol w:w="1300"/>
        <w:gridCol w:w="1272"/>
      </w:tblGrid>
      <w:tr>
        <w:trPr>
          <w:tblHeader/>
        </w:trPr>
        <w:tc>
          <w:tcPr>
            <w:tcW w:type="dxa" w:w="21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Posición</w:t>
            </w:r>
          </w:p>
        </w:tc>
        <w:tc>
          <w:tcPr>
            <w:tcW w:type="dxa" w:w="1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
al año</w:t>
            </w:r>
          </w:p>
        </w:tc>
        <w:tc>
          <w:tcPr>
            <w:tcW w:type="dxa" w:w="1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
al año</w:t>
            </w:r>
          </w:p>
        </w:tc>
        <w:tc>
          <w:tcPr>
            <w:tcW w:type="dxa" w:w="1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Ocupación</w:t>
            </w:r>
          </w:p>
        </w:tc>
        <w:tc>
          <w:tcPr>
            <w:tcW w:type="dxa" w:w="13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Tareas/día</w:t>
            </w:r>
          </w:p>
        </w:tc>
        <w:tc>
          <w:tcPr>
            <w:tcW w:type="dxa" w:w="1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Pico</w:t>
            </w:r>
          </w:p>
        </w:tc>
      </w:tr>
      <w:tr>
        <w:tc>
          <w:tcPr>
            <w:tcW w:type="dxa" w:w="21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Beatriz</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24</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84</w:t>
            </w:r>
          </w:p>
        </w:tc>
        <w:tc>
          <w:tcPr>
            <w:tcW w:type="dxa" w:w="1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23%</w:t>
            </w:r>
          </w:p>
        </w:tc>
        <w:tc>
          <w:tcPr>
            <w:tcW w:type="dxa" w:w="1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0.23</w:t>
            </w:r>
          </w:p>
        </w:tc>
        <w:tc>
          <w:tcPr>
            <w:tcW w:type="dxa" w:w="1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w:t>
            </w:r>
          </w:p>
        </w:tc>
      </w:tr>
      <w:tr>
        <w:tc>
          <w:tcPr>
            <w:tcW w:type="dxa" w:w="21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Edgar</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60</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269</w:t>
            </w:r>
          </w:p>
        </w:tc>
        <w:tc>
          <w:tcPr>
            <w:tcW w:type="dxa" w:w="1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57%</w:t>
            </w:r>
          </w:p>
        </w:tc>
        <w:tc>
          <w:tcPr>
            <w:tcW w:type="dxa" w:w="1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0.74</w:t>
            </w:r>
          </w:p>
        </w:tc>
        <w:tc>
          <w:tcPr>
            <w:tcW w:type="dxa" w:w="1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w:t>
            </w:r>
          </w:p>
        </w:tc>
      </w:tr>
      <w:tr>
        <w:tc>
          <w:tcPr>
            <w:tcW w:type="dxa" w:w="21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Isnardi</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72</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1196</w:t>
            </w:r>
          </w:p>
        </w:tc>
        <w:tc>
          <w:tcPr>
            <w:tcW w:type="dxa" w:w="1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w:t>
            </w:r>
          </w:p>
        </w:tc>
        <w:tc>
          <w:tcPr>
            <w:tcW w:type="dxa" w:w="1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3.28</w:t>
            </w:r>
          </w:p>
        </w:tc>
        <w:tc>
          <w:tcPr>
            <w:tcW w:type="dxa" w:w="1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5</w:t>
            </w:r>
          </w:p>
        </w:tc>
      </w:tr>
      <w:tr>
        <w:tc>
          <w:tcPr>
            <w:tcW w:type="dxa" w:w="21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Luis</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120</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1003</w:t>
            </w:r>
          </w:p>
        </w:tc>
        <w:tc>
          <w:tcPr>
            <w:tcW w:type="dxa" w:w="1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w:t>
            </w:r>
          </w:p>
        </w:tc>
        <w:tc>
          <w:tcPr>
            <w:tcW w:type="dxa" w:w="1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2.75</w:t>
            </w:r>
          </w:p>
        </w:tc>
        <w:tc>
          <w:tcPr>
            <w:tcW w:type="dxa" w:w="1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4</w:t>
            </w:r>
          </w:p>
        </w:tc>
      </w:tr>
      <w:tr>
        <w:tc>
          <w:tcPr>
            <w:tcW w:type="dxa" w:w="21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Cristian</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174</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731</w:t>
            </w:r>
          </w:p>
        </w:tc>
        <w:tc>
          <w:tcPr>
            <w:tcW w:type="dxa" w:w="1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100%</w:t>
            </w:r>
          </w:p>
        </w:tc>
        <w:tc>
          <w:tcPr>
            <w:tcW w:type="dxa" w:w="1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2.00</w:t>
            </w:r>
          </w:p>
        </w:tc>
        <w:tc>
          <w:tcPr>
            <w:tcW w:type="dxa" w:w="1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Saturación medida contra días hábiles</w:t>
      </w:r>
    </w:p>
    <w:p>
      <w:pPr>
        <w:spacing w:after="95" w:before="0" w:line="264"/>
      </w:pPr>
      <w:r>
        <w:rPr>
          <w:rFonts w:ascii="Calibri" w:cs="Calibri" w:eastAsia="Calibri" w:hAnsi="Calibri"/>
          <w:b w:val="false"/>
          <w:bCs w:val="false"/>
          <w:i w:val="false"/>
          <w:iCs w:val="false"/>
          <w:caps w:val="false"/>
          <w:color w:val="374151"/>
          <w:sz w:val="21"/>
          <w:szCs w:val="21"/>
        </w:rPr>
        <w:t xml:space="preserve">El año tiene 261 días hábiles de lunes a viernes, sin descontar festivos. La medida que sigue divide los días-tarea entre esos días hábiles: indica cuántos frentes tiene abiertos cada posición, en promedio, por cada día laborable.</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1700"/>
        <w:gridCol w:w="1750"/>
        <w:gridCol w:w="1811"/>
        <w:gridCol w:w="1811"/>
      </w:tblGrid>
      <w:tr>
        <w:trPr>
          <w:tblHeader/>
        </w:trPr>
        <w:tc>
          <w:tcPr>
            <w:tcW w:type="dxa" w:w="20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Posición</w:t>
            </w:r>
          </w:p>
        </w:tc>
        <w:tc>
          <w:tcPr>
            <w:tcW w:type="dxa" w:w="17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Frentes por
día hábil</w:t>
            </w:r>
          </w:p>
        </w:tc>
        <w:tc>
          <w:tcPr>
            <w:tcW w:type="dxa" w:w="175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 del año
con 3 o más</w:t>
            </w:r>
          </w:p>
        </w:tc>
        <w:tc>
          <w:tcPr>
            <w:tcW w:type="dxa" w:w="1811"/>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 del año
con 4 o más</w:t>
            </w:r>
          </w:p>
        </w:tc>
        <w:tc>
          <w:tcPr>
            <w:tcW w:type="dxa" w:w="1811"/>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Fines de semana
con tarea abierta</w:t>
            </w:r>
          </w:p>
        </w:tc>
      </w:tr>
      <w:tr>
        <w:tc>
          <w:tcPr>
            <w:tcW w:type="dxa" w:w="2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Beatriz</w:t>
            </w:r>
          </w:p>
        </w:tc>
        <w:tc>
          <w:tcPr>
            <w:tcW w:type="dxa" w:w="17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374151"/>
                <w:sz w:val="18"/>
                <w:szCs w:val="18"/>
              </w:rPr>
              <w:t xml:space="preserve">0.32</w:t>
            </w:r>
          </w:p>
        </w:tc>
        <w:tc>
          <w:tcPr>
            <w:tcW w:type="dxa" w:w="175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w:t>
            </w:r>
          </w:p>
        </w:tc>
        <w:tc>
          <w:tcPr>
            <w:tcW w:type="dxa" w:w="181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w:t>
            </w:r>
          </w:p>
        </w:tc>
        <w:tc>
          <w:tcPr>
            <w:tcW w:type="dxa" w:w="181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24</w:t>
            </w:r>
          </w:p>
        </w:tc>
      </w:tr>
      <w:tr>
        <w:tc>
          <w:tcPr>
            <w:tcW w:type="dxa" w:w="2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Edgar</w:t>
            </w:r>
          </w:p>
        </w:tc>
        <w:tc>
          <w:tcPr>
            <w:tcW w:type="dxa" w:w="17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374151"/>
                <w:sz w:val="18"/>
                <w:szCs w:val="18"/>
              </w:rPr>
              <w:t xml:space="preserve">1.03</w:t>
            </w:r>
          </w:p>
        </w:tc>
        <w:tc>
          <w:tcPr>
            <w:tcW w:type="dxa" w:w="175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w:t>
            </w:r>
          </w:p>
        </w:tc>
        <w:tc>
          <w:tcPr>
            <w:tcW w:type="dxa" w:w="181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w:t>
            </w:r>
          </w:p>
        </w:tc>
        <w:tc>
          <w:tcPr>
            <w:tcW w:type="dxa" w:w="181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59</w:t>
            </w:r>
          </w:p>
        </w:tc>
      </w:tr>
      <w:tr>
        <w:tc>
          <w:tcPr>
            <w:tcW w:type="dxa" w:w="2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Isnardi</w:t>
            </w:r>
          </w:p>
        </w:tc>
        <w:tc>
          <w:tcPr>
            <w:tcW w:type="dxa" w:w="17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4.58</w:t>
            </w:r>
          </w:p>
        </w:tc>
        <w:tc>
          <w:tcPr>
            <w:tcW w:type="dxa" w:w="175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365</w:t>
            </w:r>
          </w:p>
        </w:tc>
        <w:tc>
          <w:tcPr>
            <w:tcW w:type="dxa" w:w="181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77</w:t>
            </w:r>
          </w:p>
        </w:tc>
        <w:tc>
          <w:tcPr>
            <w:tcW w:type="dxa" w:w="181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104</w:t>
            </w:r>
          </w:p>
        </w:tc>
      </w:tr>
      <w:tr>
        <w:tc>
          <w:tcPr>
            <w:tcW w:type="dxa" w:w="2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Luis</w:t>
            </w:r>
          </w:p>
        </w:tc>
        <w:tc>
          <w:tcPr>
            <w:tcW w:type="dxa" w:w="17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3.84</w:t>
            </w:r>
          </w:p>
        </w:tc>
        <w:tc>
          <w:tcPr>
            <w:tcW w:type="dxa" w:w="175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202</w:t>
            </w:r>
          </w:p>
        </w:tc>
        <w:tc>
          <w:tcPr>
            <w:tcW w:type="dxa" w:w="181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71</w:t>
            </w:r>
          </w:p>
        </w:tc>
        <w:tc>
          <w:tcPr>
            <w:tcW w:type="dxa" w:w="1811"/>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104</w:t>
            </w:r>
          </w:p>
        </w:tc>
      </w:tr>
      <w:tr>
        <w:tc>
          <w:tcPr>
            <w:tcW w:type="dxa" w:w="2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Cristian</w:t>
            </w:r>
          </w:p>
        </w:tc>
        <w:tc>
          <w:tcPr>
            <w:tcW w:type="dxa" w:w="17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45309"/>
                <w:sz w:val="18"/>
                <w:szCs w:val="18"/>
              </w:rPr>
              <w:t xml:space="preserve">2.80</w:t>
            </w:r>
          </w:p>
        </w:tc>
        <w:tc>
          <w:tcPr>
            <w:tcW w:type="dxa" w:w="175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84</w:t>
            </w:r>
          </w:p>
        </w:tc>
        <w:tc>
          <w:tcPr>
            <w:tcW w:type="dxa" w:w="181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48</w:t>
            </w:r>
          </w:p>
        </w:tc>
        <w:tc>
          <w:tcPr>
            <w:tcW w:type="dxa" w:w="1811"/>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104</w:t>
            </w:r>
          </w:p>
        </w:tc>
      </w:tr>
    </w:tbl>
    <w:p>
      <w:pPr>
        <w:spacing w:after="120"/>
      </w:pPr>
    </w:p>
    <w:tbl>
      <w:tblPr>
        <w:tblW w:type="dxa" w:w="9072"/>
        <w:tblBorders>
          <w:top w:val="single" w:color="B91C1C" w:sz="2"/>
          <w:left w:val="single" w:color="B91C1C" w:sz="18"/>
          <w:bottom w:val="single" w:color="B91C1C" w:sz="2"/>
          <w:right w:val="single" w:color="B91C1C" w:sz="2"/>
          <w:insideH w:val="none" w:color="auto" w:sz="0"/>
          <w:insideV w:val="none" w:color="auto" w:sz="0"/>
        </w:tblBorders>
      </w:tblPr>
      <w:tblGrid>
        <w:gridCol w:w="9072"/>
      </w:tblGrid>
      <w:tr>
        <w:tc>
          <w:tcPr>
            <w:tcW w:type="dxa" w:w="9072"/>
            <w:shd w:fill="FEF2F2"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B91C1C"/>
                <w:spacing w:val="16"/>
                <w:sz w:val="19"/>
                <w:szCs w:val="19"/>
              </w:rPr>
              <w:t xml:space="preserve">El dato que resume la situación</w:t>
            </w:r>
          </w:p>
          <w:p>
            <w:pPr>
              <w:spacing w:after="0" w:line="262"/>
            </w:pPr>
            <w:r>
              <w:rPr>
                <w:rFonts w:ascii="Calibri" w:cs="Calibri" w:eastAsia="Calibri" w:hAnsi="Calibri"/>
                <w:b w:val="false"/>
                <w:bCs w:val="false"/>
                <w:i w:val="false"/>
                <w:iCs w:val="false"/>
                <w:caps w:val="false"/>
                <w:color w:val="374151"/>
                <w:sz w:val="20"/>
                <w:szCs w:val="20"/>
              </w:rPr>
              <w:t xml:space="preserve">Isnardi Sanches tiene tres o más tareas abiertas simultáneamente LOS 365 DÍAS DEL AÑO, incluidos los 104 días de fin de semana. No existe un solo día del calendario en que Tesorería opere con menos de tres frentes abiertos. Luis Amador se encuentra en esa condición 202 días al año, y Contaduría 72 días, de los cuales 48 con cuatro o más frentes.</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Comportamiento mes a mes</w:t>
      </w:r>
    </w:p>
    <w:p>
      <w:pPr>
        <w:spacing w:after="95" w:before="0" w:line="264"/>
      </w:pPr>
      <w:r>
        <w:rPr>
          <w:rFonts w:ascii="Calibri" w:cs="Calibri" w:eastAsia="Calibri" w:hAnsi="Calibri"/>
          <w:b w:val="false"/>
          <w:bCs w:val="false"/>
          <w:i w:val="false"/>
          <w:iCs w:val="false"/>
          <w:caps w:val="false"/>
          <w:color w:val="374151"/>
          <w:sz w:val="21"/>
          <w:szCs w:val="21"/>
        </w:rPr>
        <w:t xml:space="preserve">La saturación no es un pico de temporada: se repite todos los meses con la misma intensidad. La cifra de cada celda son los frentes abiertos por día hábil de ese mes.</w:t>
      </w:r>
    </w:p>
    <w:p>
      <w:pPr>
        <w:spacing w:after="9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60"/>
        <w:gridCol w:w="626"/>
        <w:gridCol w:w="626"/>
        <w:gridCol w:w="626"/>
        <w:gridCol w:w="626"/>
        <w:gridCol w:w="626"/>
        <w:gridCol w:w="626"/>
        <w:gridCol w:w="626"/>
        <w:gridCol w:w="626"/>
        <w:gridCol w:w="626"/>
        <w:gridCol w:w="626"/>
        <w:gridCol w:w="626"/>
        <w:gridCol w:w="626"/>
      </w:tblGrid>
      <w:tr>
        <w:trPr>
          <w:tblHeader/>
        </w:trPr>
        <w:tc>
          <w:tcPr>
            <w:tcW w:type="dxa" w:w="156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Posición</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Ene</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Feb</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Mar</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Abr</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May</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Jun</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Jul</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Ago</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Sep</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Oct</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Nov</w:t>
            </w:r>
          </w:p>
        </w:tc>
        <w:tc>
          <w:tcPr>
            <w:tcW w:type="dxa" w:w="62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Dic</w:t>
            </w:r>
          </w:p>
        </w:tc>
      </w:tr>
      <w:tr>
        <w:tc>
          <w:tcPr>
            <w:tcW w:type="dxa" w:w="156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Beatriz</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c>
          <w:tcPr>
            <w:tcW w:type="dxa" w:w="62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0.3</w:t>
            </w:r>
          </w:p>
        </w:tc>
      </w:tr>
      <w:tr>
        <w:tc>
          <w:tcPr>
            <w:tcW w:type="dxa" w:w="156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Edgar</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w:t>
            </w:r>
          </w:p>
        </w:tc>
        <w:tc>
          <w:tcPr>
            <w:tcW w:type="dxa" w:w="62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r>
      <w:tr>
        <w:tc>
          <w:tcPr>
            <w:tcW w:type="dxa" w:w="156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Isnardi</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4.6</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4.5</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4.6</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4.5</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4.9</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4.5</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4.4</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4.9</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4.5</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4.6</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4.7</w:t>
            </w:r>
          </w:p>
        </w:tc>
        <w:tc>
          <w:tcPr>
            <w:tcW w:type="dxa" w:w="626"/>
            <w:tcMar>
              <w:top w:type="dxa" w:w="72"/>
              <w:left w:type="dxa" w:w="120"/>
              <w:bottom w:type="dxa" w:w="72"/>
              <w:right w:type="dxa" w:w="120"/>
            </w:tcMar>
          </w:tcPr>
          <w:p>
            <w:pPr>
              <w:spacing w:after="0" w:line="238"/>
            </w:pPr>
            <w:r>
              <w:rPr>
                <w:rFonts w:ascii="Calibri" w:cs="Calibri" w:eastAsia="Calibri" w:hAnsi="Calibri"/>
                <w:b/>
                <w:bCs/>
                <w:i w:val="false"/>
                <w:iCs w:val="false"/>
                <w:caps w:val="false"/>
                <w:color w:val="B91C1C"/>
                <w:sz w:val="18"/>
                <w:szCs w:val="18"/>
              </w:rPr>
              <w:t xml:space="preserve">4.4</w:t>
            </w:r>
          </w:p>
        </w:tc>
      </w:tr>
    </w:tbl>
    <w:p>
      <w:pPr>
        <w:spacing w:after="90"/>
      </w:pPr>
    </w:p>
    <w:p>
      <w:pPr>
        <w:spacing w:after="95" w:before="0" w:line="264"/>
      </w:pPr>
      <w:r>
        <w:rPr>
          <w:rFonts w:ascii="Calibri" w:cs="Calibri" w:eastAsia="Calibri" w:hAnsi="Calibri"/>
          <w:b w:val="false"/>
          <w:bCs w:val="false"/>
          <w:i w:val="false"/>
          <w:iCs w:val="false"/>
          <w:caps w:val="false"/>
          <w:color w:val="374151"/>
          <w:sz w:val="19"/>
          <w:szCs w:val="19"/>
        </w:rPr>
        <w:t xml:space="preserve">El equipo completo sostiene entre 13 y 15 frentes abiertos por día hábil durante los doce meses. La variación entre el mes más cargado y el más liviano no llega al 12%: no hay temporada baja.</w:t>
      </w:r>
    </w:p>
    <w:p>
      <w:pPr>
        <w:spacing w:after="120"/>
      </w:pPr>
    </w:p>
    <w:tbl>
      <w:tblPr>
        <w:tblW w:type="dxa" w:w="9072"/>
        <w:tblBorders>
          <w:top w:val="single" w:color="B45309" w:sz="2"/>
          <w:left w:val="single" w:color="B45309" w:sz="18"/>
          <w:bottom w:val="single" w:color="B45309" w:sz="2"/>
          <w:right w:val="single" w:color="B45309" w:sz="2"/>
          <w:insideH w:val="none" w:color="auto" w:sz="0"/>
          <w:insideV w:val="none" w:color="auto" w:sz="0"/>
        </w:tblBorders>
      </w:tblPr>
      <w:tblGrid>
        <w:gridCol w:w="9072"/>
      </w:tblGrid>
      <w:tr>
        <w:tc>
          <w:tcPr>
            <w:tcW w:type="dxa" w:w="9072"/>
            <w:shd w:fill="FFFBEB"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B45309"/>
                <w:spacing w:val="16"/>
                <w:sz w:val="19"/>
                <w:szCs w:val="19"/>
              </w:rPr>
              <w:t xml:space="preserve">Qué mide y qué no mide esta cifra</w:t>
            </w:r>
          </w:p>
          <w:p>
            <w:pPr>
              <w:spacing w:after="0" w:line="262"/>
            </w:pPr>
            <w:r>
              <w:rPr>
                <w:rFonts w:ascii="Calibri" w:cs="Calibri" w:eastAsia="Calibri" w:hAnsi="Calibri"/>
                <w:b w:val="false"/>
                <w:bCs w:val="false"/>
                <w:i w:val="false"/>
                <w:iCs w:val="false"/>
                <w:caps w:val="false"/>
                <w:color w:val="374151"/>
                <w:sz w:val="20"/>
                <w:szCs w:val="20"/>
              </w:rPr>
              <w:t xml:space="preserve">Mide simultaneidad: cuántos asuntos distintos permanecen abiertos al mismo tiempo, con el costo de atención y de cambio de contexto que eso implica. NO mide horas trabajadas. Para cuantificar horas se requiere registro de tiempos, que la aplicación ya permite capturar en las tareas adicionales. Se recomienda activarlo durante un trimestre para complementar esta evidencia.</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Lectura de los resultados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Tesorería y Auxiliar Contable sostienen la mayor carga continua: tienen tareas abiertas todos los días del año por el registro diario de cobros, pagos y documentos soporte.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Contaduría tiene menos días-tarea pero el pico más alto del equipo: siete tareas propias coincidiendo en un mismo día.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Gerencia registra la ocupación más baja porque sus tareas son puntuales, no continuas. Aun así, dos de ellas bloquean el avance de otras personas.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 área comercial es la posición de menor ocupación, 23%, porque interviene en dos momentos puntuales y no de forma continua. Eso no la hace prescindible: la entrega del día 27 condiciona toda la facturación del mes siguiente.</w:t>
      </w: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Concentración dentro del mes</w:t>
      </w:r>
    </w:p>
    <w:p>
      <w:pPr>
        <w:spacing w:after="95" w:before="0" w:line="264"/>
      </w:pPr>
      <w:r>
        <w:rPr>
          <w:rFonts w:ascii="Calibri" w:cs="Calibri" w:eastAsia="Calibri" w:hAnsi="Calibri"/>
          <w:b w:val="false"/>
          <w:bCs w:val="false"/>
          <w:i w:val="false"/>
          <w:iCs w:val="false"/>
          <w:caps w:val="false"/>
          <w:color w:val="374151"/>
          <w:sz w:val="21"/>
          <w:szCs w:val="21"/>
        </w:rPr>
        <w:t xml:space="preserve">El 30% de la carga del equipo se concentra entre los días 8 y 14. En esa franja coinciden el cierre contable, la retención en la fuente, los cinco insumos del informe, las dos sesiones de revisión y las obligaciones de seguridad social y nómina.</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1800"/>
        <w:gridCol w:w="1500"/>
        <w:gridCol w:w="3372"/>
      </w:tblGrid>
      <w:tr>
        <w:trPr>
          <w:tblHeader/>
        </w:trPr>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Tramo</w:t>
            </w:r>
          </w:p>
        </w:tc>
        <w:tc>
          <w:tcPr>
            <w:tcW w:type="dxa" w:w="18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Días-tarea</w:t>
            </w:r>
          </w:p>
        </w:tc>
        <w:tc>
          <w:tcPr>
            <w:tcW w:type="dxa" w:w="1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Peso</w:t>
            </w:r>
          </w:p>
        </w:tc>
        <w:tc>
          <w:tcPr>
            <w:tcW w:type="dxa" w:w="33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Contenido</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Días 1 a 7</w:t>
            </w:r>
          </w:p>
        </w:tc>
        <w:tc>
          <w:tcPr>
            <w:tcW w:type="dxa" w:w="18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63</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21%</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Apertura del mes y facturación electrónica</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Días 8 a 14</w:t>
            </w:r>
          </w:p>
        </w:tc>
        <w:tc>
          <w:tcPr>
            <w:tcW w:type="dxa" w:w="18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90</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30%</w:t>
            </w:r>
          </w:p>
        </w:tc>
        <w:tc>
          <w:tcPr>
            <w:tcW w:type="dxa" w:w="33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Cierre contable, insumos del informe y nómina</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Días 15 a 21</w:t>
            </w:r>
          </w:p>
        </w:tc>
        <w:tc>
          <w:tcPr>
            <w:tcW w:type="dxa" w:w="18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54</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18%</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a Gerencia, socios, RADIAN e IVA</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Días 22 a 28</w:t>
            </w:r>
          </w:p>
        </w:tc>
        <w:tc>
          <w:tcPr>
            <w:tcW w:type="dxa" w:w="18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64</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21%</w:t>
            </w:r>
          </w:p>
        </w:tc>
        <w:tc>
          <w:tcPr>
            <w:tcW w:type="dxa" w:w="33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Causaciones y segunda quincena</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Día 29 al cierre</w:t>
            </w:r>
          </w:p>
        </w:tc>
        <w:tc>
          <w:tcPr>
            <w:tcW w:type="dxa" w:w="18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30</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10%</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Desembolsos y archivo plano</w:t>
            </w:r>
          </w:p>
        </w:tc>
      </w:tr>
    </w:tbl>
    <w:p>
      <w:pPr>
        <w:spacing w:after="120"/>
      </w:pPr>
    </w:p>
    <w:tbl>
      <w:tblPr>
        <w:tblW w:type="dxa" w:w="9072"/>
        <w:tblBorders>
          <w:top w:val="single" w:color="2D5AA0" w:sz="2"/>
          <w:left w:val="single" w:color="2D5AA0" w:sz="18"/>
          <w:bottom w:val="single" w:color="2D5AA0" w:sz="2"/>
          <w:right w:val="single" w:color="2D5AA0" w:sz="2"/>
          <w:insideH w:val="none" w:color="auto" w:sz="0"/>
          <w:insideV w:val="none" w:color="auto" w:sz="0"/>
        </w:tblBorders>
      </w:tblPr>
      <w:tblGrid>
        <w:gridCol w:w="9072"/>
      </w:tblGrid>
      <w:tr>
        <w:tc>
          <w:tcPr>
            <w:tcW w:type="dxa" w:w="9072"/>
            <w:shd w:fill="ECF2FA"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1B3A6B"/>
                <w:spacing w:val="16"/>
                <w:sz w:val="19"/>
                <w:szCs w:val="19"/>
              </w:rPr>
              <w:t xml:space="preserve">Naturaleza de la concentración</w:t>
            </w:r>
          </w:p>
          <w:p>
            <w:pPr>
              <w:spacing w:after="0" w:line="262"/>
            </w:pPr>
            <w:r>
              <w:rPr>
                <w:rFonts w:ascii="Calibri" w:cs="Calibri" w:eastAsia="Calibri" w:hAnsi="Calibri"/>
                <w:b w:val="false"/>
                <w:bCs w:val="false"/>
                <w:i w:val="false"/>
                <w:iCs w:val="false"/>
                <w:caps w:val="false"/>
                <w:color w:val="374151"/>
                <w:sz w:val="20"/>
                <w:szCs w:val="20"/>
              </w:rPr>
              <w:t xml:space="preserve">La concentración entre los días 8 y 14 responde a dependencias reales y a vencimientos de ley. No se corrige reprogramando tareas: los insumos del informe deben estar cerrados antes del dashboard, y la nómina y la seguridad social tienen fecha externa. Las alternativas viables son delegar la preparación de insumos o ampliar la capacidad de la posición más expuesta.</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5   </w:t>
            </w:r>
            <w:r>
              <w:rPr>
                <w:rFonts w:ascii="Calibri" w:cs="Calibri" w:eastAsia="Calibri" w:hAnsi="Calibri"/>
                <w:b/>
                <w:bCs/>
                <w:i w:val="false"/>
                <w:iCs w:val="false"/>
                <w:caps/>
                <w:color w:val="FFFFFF"/>
                <w:spacing w:val="14"/>
                <w:sz w:val="22"/>
                <w:szCs w:val="22"/>
              </w:rPr>
              <w:t xml:space="preserve">Riesgos identificados y controles</w:t>
            </w:r>
          </w:p>
        </w:tc>
      </w:tr>
    </w:tbl>
    <w:p>
      <w:pPr>
        <w:spacing w:after="110"/>
      </w:pP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Riesgos de proceso</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3200"/>
        <w:gridCol w:w="3272"/>
      </w:tblGrid>
      <w:tr>
        <w:trPr>
          <w:tblHeader/>
        </w:trPr>
        <w:tc>
          <w:tcPr>
            <w:tcW w:type="dxa" w:w="26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Riesgo</w:t>
            </w:r>
          </w:p>
        </w:tc>
        <w:tc>
          <w:tcPr>
            <w:tcW w:type="dxa" w:w="32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Efecto</w:t>
            </w:r>
          </w:p>
        </w:tc>
        <w:tc>
          <w:tcPr>
            <w:tcW w:type="dxa" w:w="3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Control establecido</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Pago sin causación previa</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Gasto sin soporte contable ni trazabilidad</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Tesorería paga únicamente contra cuenta por pagar ya causada. Sin soporte, el registro va a anticipos Cuenta 13 y queda pendiente de legalización.</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Invoice del exterior sin documento soporte</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Gasto no deducible y hallazgo ante la DIAN</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documento soporte se genera únicamente contra el invoice. Revisión conjunta entre Auxiliar Contable y Contaduría al cierre de cada mes.</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Gastos de tarjeta sin clasificar</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Conciliación de tarjeta abierta y cierre contable retrasado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Escalamiento a Gerencia de los gastos no regulares, con ventana definida entre los días 6 y 10.</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Cobro sin aplicar a factura</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Cartera inflada y conciliación bancaria que no cierra</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Cada recibo de caja se aplica a las facturas que cubre y se descarga la cartera del cliente.</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Cuota de crédito mal clasificada</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Distorsión del saldo de la deuda y del gasto financiero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Descomposición obligatoria en capital, intereses y gastos bancarios, cuadrando contra la salida de dinero.</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Informe a socios sin revisión previa</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Cifras presentadas sin contexto comercial ni aval de Gerencia</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Dos sesiones obligatorias antes de la entrega: comercial en los días 10 a 12 y Gerencia en los días 13 a 14.</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Riesgos de carga y continuidad</w:t>
      </w:r>
    </w:p>
    <w:p>
      <w:pPr>
        <w:spacing w:after="95" w:before="0" w:line="264"/>
      </w:pPr>
      <w:r>
        <w:rPr>
          <w:rFonts w:ascii="Calibri" w:cs="Calibri" w:eastAsia="Calibri" w:hAnsi="Calibri"/>
          <w:b w:val="false"/>
          <w:bCs w:val="false"/>
          <w:i w:val="false"/>
          <w:iCs w:val="false"/>
          <w:caps w:val="false"/>
          <w:color w:val="374151"/>
          <w:sz w:val="21"/>
          <w:szCs w:val="21"/>
        </w:rPr>
        <w:t xml:space="preserve">Estos son los puntos que se someten específicamente a consideración de Recursos Humanos.</w:t>
      </w:r>
    </w:p>
    <w:p>
      <w:pPr>
        <w:spacing w:after="9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3200"/>
        <w:gridCol w:w="3272"/>
      </w:tblGrid>
      <w:tr>
        <w:trPr>
          <w:tblHeader/>
        </w:trPr>
        <w:tc>
          <w:tcPr>
            <w:tcW w:type="dxa" w:w="26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Situación</w:t>
            </w:r>
          </w:p>
        </w:tc>
        <w:tc>
          <w:tcPr>
            <w:tcW w:type="dxa" w:w="32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Riesgo</w:t>
            </w:r>
          </w:p>
        </w:tc>
        <w:tc>
          <w:tcPr>
            <w:tcW w:type="dxa" w:w="3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Alternativa propuesta</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Contaduría concentra 7 tareas simultáneas entre los días 12 y 13</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Cuello de botella en el cierre; retraso en la entrega del día 15</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Delegar la preparación de flujo de efectivo y cartera al Auxiliar Contable, dejando la validación en Contaduría</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Tesorería opera con ocupación del 100% todo el año</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Sin holgura para ausencias imprevistas en la ventana de desembolsos</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Definir un respaldo formal para los días 13 a 16 y 29 al cierre</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Cada posición es punto único de falla en su tramo</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Una ausencia detiene la cadena completa</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Establecer y documentar reemplazos por posición</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Ocho obligaciones legales entre los días 10 y 21</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Sanción o intereses ante incumplimiento</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Seguimiento diario en la aplicación durante esa franja</w:t>
            </w:r>
          </w:p>
        </w:tc>
      </w:tr>
    </w:tbl>
    <w:p>
      <w:pPr>
        <w:spacing w:after="120"/>
      </w:pPr>
    </w:p>
    <w:tbl>
      <w:tblPr>
        <w:tblW w:type="dxa" w:w="9072"/>
        <w:tblBorders>
          <w:top w:val="single" w:color="B45309" w:sz="2"/>
          <w:left w:val="single" w:color="B45309" w:sz="18"/>
          <w:bottom w:val="single" w:color="B45309" w:sz="2"/>
          <w:right w:val="single" w:color="B45309" w:sz="2"/>
          <w:insideH w:val="none" w:color="auto" w:sz="0"/>
          <w:insideV w:val="none" w:color="auto" w:sz="0"/>
        </w:tblBorders>
      </w:tblPr>
      <w:tblGrid>
        <w:gridCol w:w="9072"/>
      </w:tblGrid>
      <w:tr>
        <w:tc>
          <w:tcPr>
            <w:tcW w:type="dxa" w:w="9072"/>
            <w:shd w:fill="FFFBEB"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B45309"/>
                <w:spacing w:val="16"/>
                <w:sz w:val="19"/>
                <w:szCs w:val="19"/>
              </w:rPr>
              <w:t xml:space="preserve">Punto pendiente de definición</w:t>
            </w:r>
          </w:p>
          <w:p>
            <w:pPr>
              <w:spacing w:after="0" w:line="262"/>
            </w:pPr>
            <w:r>
              <w:rPr>
                <w:rFonts w:ascii="Calibri" w:cs="Calibri" w:eastAsia="Calibri" w:hAnsi="Calibri"/>
                <w:b w:val="false"/>
                <w:bCs w:val="false"/>
                <w:i w:val="false"/>
                <w:iCs w:val="false"/>
                <w:caps w:val="false"/>
                <w:color w:val="374151"/>
                <w:sz w:val="20"/>
                <w:szCs w:val="20"/>
              </w:rPr>
              <w:t xml:space="preserve">El esquema de reemplazos ante ausencias no está definido a la fecha. Se presenta como propuesta y requiere validación de Recursos Humanos junto con las personas involucradas, dado que implica formación cruzada y ajuste de perfiles.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6   </w:t>
            </w:r>
            <w:r>
              <w:rPr>
                <w:rFonts w:ascii="Calibri" w:cs="Calibri" w:eastAsia="Calibri" w:hAnsi="Calibri"/>
                <w:b/>
                <w:bCs/>
                <w:i w:val="false"/>
                <w:iCs w:val="false"/>
                <w:caps/>
                <w:color w:val="FFFFFF"/>
                <w:spacing w:val="14"/>
                <w:sz w:val="22"/>
                <w:szCs w:val="22"/>
              </w:rPr>
              <w:t xml:space="preserve">Sistema de seguimiento y trazabilidad</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El proceso cuenta con una aplicación de seguimiento donde cada persona marca sus tareas y todo el equipo ve el avance en tiempo real. Esto da evidencia objetiva del cumplimiento, sin depender de reportes verbales.</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3000"/>
        <w:gridCol w:w="3472"/>
      </w:tblGrid>
      <w:tr>
        <w:trPr>
          <w:tblHeader/>
        </w:trPr>
        <w:tc>
          <w:tcPr>
            <w:tcW w:type="dxa" w:w="26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Elemento</w:t>
            </w:r>
          </w:p>
        </w:tc>
        <w:tc>
          <w:tcPr>
            <w:tcW w:type="dxa" w:w="30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Cómo funciona</w:t>
            </w:r>
          </w:p>
        </w:tc>
        <w:tc>
          <w:tcPr>
            <w:tcW w:type="dxa" w:w="34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Evidencia que produce</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Marcación de tareas</w:t>
            </w:r>
          </w:p>
        </w:tc>
        <w:tc>
          <w:tcPr>
            <w:tcW w:type="dxa" w:w="30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Cada persona marca sus propias tareas al completarlas</w:t>
            </w:r>
          </w:p>
        </w:tc>
        <w:tc>
          <w:tcPr>
            <w:tcW w:type="dxa" w:w="34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Registro con fecha de qué se completó y qué quedó pendiente</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Tareas adicionales</w:t>
            </w:r>
          </w:p>
        </w:tc>
        <w:tc>
          <w:tcPr>
            <w:tcW w:type="dxa" w:w="30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Cualquier persona registra tareas nuevas con responsable, tipo, detalle, fechas y tiempo estimado</w:t>
            </w:r>
          </w:p>
        </w:tc>
        <w:tc>
          <w:tcPr>
            <w:tcW w:type="dxa" w:w="34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Trazabilidad de la carga no prevista en el catálogo base</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Roles de acceso</w:t>
            </w:r>
          </w:p>
        </w:tc>
        <w:tc>
          <w:tcPr>
            <w:tcW w:type="dxa" w:w="30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Administrador, miembro y solo lectura. Únicamente el administrador edita o elimina</w:t>
            </w:r>
          </w:p>
        </w:tc>
        <w:tc>
          <w:tcPr>
            <w:tcW w:type="dxa" w:w="34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Control sobre quién puede modificar el registro histórico</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Informe mensual</w:t>
            </w:r>
          </w:p>
        </w:tc>
        <w:tc>
          <w:tcPr>
            <w:tcW w:type="dxa" w:w="30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Formato de seguimiento con programadas, completadas, cumplimiento y vencidas</w:t>
            </w:r>
          </w:p>
        </w:tc>
        <w:tc>
          <w:tcPr>
            <w:tcW w:type="dxa" w:w="34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Indicador mensual de gestión por persona y del equipo</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Indicadores propuestos</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3200"/>
        <w:gridCol w:w="3272"/>
      </w:tblGrid>
      <w:tr>
        <w:trPr>
          <w:tblHeader/>
        </w:trPr>
        <w:tc>
          <w:tcPr>
            <w:tcW w:type="dxa" w:w="26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Indicador</w:t>
            </w:r>
          </w:p>
        </w:tc>
        <w:tc>
          <w:tcPr>
            <w:tcW w:type="dxa" w:w="32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Fórmula</w:t>
            </w:r>
          </w:p>
        </w:tc>
        <w:tc>
          <w:tcPr>
            <w:tcW w:type="dxa" w:w="3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Meta sugerida</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Cumplimiento mensual</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Tareas completadas ÷ tareas programadas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95% o más</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Tareas vencidas</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Número de tareas no completadas dentro de su ventana</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Cero en obligaciones de fecha legal</w:t>
            </w:r>
          </w:p>
        </w:tc>
      </w:tr>
      <w:tr>
        <w:tc>
          <w:tcPr>
            <w:tcW w:type="dxa" w:w="26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Carga adicional</w:t>
            </w:r>
          </w:p>
        </w:tc>
        <w:tc>
          <w:tcPr>
            <w:tcW w:type="dxa" w:w="32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Tareas registradas fuera del catálogo base</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Seguimiento de tendencia, sin meta fija</w:t>
            </w:r>
          </w:p>
        </w:tc>
      </w:tr>
      <w:tr>
        <w:tc>
          <w:tcPr>
            <w:tcW w:type="dxa" w:w="26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Puntual de cierre</w:t>
            </w:r>
          </w:p>
        </w:tc>
        <w:tc>
          <w:tcPr>
            <w:tcW w:type="dxa" w:w="32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del informe a Gerencia el día 15</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12 de 12 meses</w:t>
            </w:r>
          </w:p>
        </w:tc>
      </w:tr>
    </w:tbl>
    <w:p>
      <w:pPr>
        <w:spacing w:after="120"/>
      </w:pPr>
    </w:p>
    <w:p>
      <w:pPr>
        <w:spacing w:after="95" w:before="0" w:line="264"/>
      </w:pPr>
      <w:r>
        <w:rPr>
          <w:rFonts w:ascii="Calibri" w:cs="Calibri" w:eastAsia="Calibri" w:hAnsi="Calibri"/>
          <w:b w:val="false"/>
          <w:bCs w:val="false"/>
          <w:i/>
          <w:iCs/>
          <w:caps w:val="false"/>
          <w:color w:val="64748B"/>
          <w:sz w:val="19"/>
          <w:szCs w:val="19"/>
        </w:rPr>
        <w:t xml:space="preserve">Los indicadores se calculan en el archivo de informes de gestión, hojas 4 y 5, con corte al cierre de cada mes.</w:t>
      </w:r>
    </w:p>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7   </w:t>
            </w:r>
            <w:r>
              <w:rPr>
                <w:rFonts w:ascii="Calibri" w:cs="Calibri" w:eastAsia="Calibri" w:hAnsi="Calibri"/>
                <w:b/>
                <w:bCs/>
                <w:i w:val="false"/>
                <w:iCs w:val="false"/>
                <w:caps/>
                <w:color w:val="FFFFFF"/>
                <w:spacing w:val="14"/>
                <w:sz w:val="22"/>
                <w:szCs w:val="22"/>
              </w:rPr>
              <w:t xml:space="preserve">Constancia de revisión y aval</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Con la firma de este documento, las partes dejan constancia de haber revisado la descripción de cargos, el análisis de carga y los controles descritos, y de estar de acuerdo con su adopción como estándar de trabajo del proceso contable mensual.</w:t>
      </w:r>
    </w:p>
    <w:p>
      <w:pPr>
        <w:spacing w:after="140"/>
      </w:pP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Elaboración</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3400"/>
        <w:gridCol w:w="3272"/>
      </w:tblGrid>
      <w:tr>
        <w:trPr>
          <w:tblHeader/>
        </w:trPr>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Rol</w:t>
            </w:r>
          </w:p>
        </w:tc>
        <w:tc>
          <w:tcPr>
            <w:tcW w:type="dxa" w:w="3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Nombre</w:t>
            </w:r>
          </w:p>
        </w:tc>
        <w:tc>
          <w:tcPr>
            <w:tcW w:type="dxa" w:w="3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Firma y fecha</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Elabora</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 — Contador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Revisión y aval</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3400"/>
        <w:gridCol w:w="3272"/>
      </w:tblGrid>
      <w:tr>
        <w:trPr>
          <w:tblHeader/>
        </w:trPr>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Rol</w:t>
            </w:r>
          </w:p>
        </w:tc>
        <w:tc>
          <w:tcPr>
            <w:tcW w:type="dxa" w:w="3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Nombre</w:t>
            </w:r>
          </w:p>
        </w:tc>
        <w:tc>
          <w:tcPr>
            <w:tcW w:type="dxa" w:w="3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Firma y fecha</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Revisa</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Recursos Humanos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Avala</w:t>
            </w:r>
          </w:p>
        </w:tc>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Gerencia — Edgar Metaute</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Supervisión</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Ingrithh Giraldo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Conocimiento del equipo</w:t>
      </w:r>
    </w:p>
    <w:p>
      <w:pPr>
        <w:spacing w:after="95" w:before="0" w:line="264"/>
      </w:pPr>
      <w:r>
        <w:rPr>
          <w:rFonts w:ascii="Calibri" w:cs="Calibri" w:eastAsia="Calibri" w:hAnsi="Calibri"/>
          <w:b w:val="false"/>
          <w:bCs w:val="false"/>
          <w:i w:val="false"/>
          <w:iCs w:val="false"/>
          <w:caps w:val="false"/>
          <w:color w:val="64748B"/>
          <w:sz w:val="19"/>
          <w:szCs w:val="19"/>
        </w:rPr>
        <w:t xml:space="preserve">Cada integrante firma en constancia de conocer las funciones y la carga que le corresponden.</w:t>
      </w:r>
    </w:p>
    <w:p>
      <w:pPr>
        <w:spacing w:after="8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3400"/>
        <w:gridCol w:w="3272"/>
      </w:tblGrid>
      <w:tr>
        <w:trPr>
          <w:tblHeader/>
        </w:trPr>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Posición</w:t>
            </w:r>
          </w:p>
        </w:tc>
        <w:tc>
          <w:tcPr>
            <w:tcW w:type="dxa" w:w="3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Nombre</w:t>
            </w:r>
          </w:p>
        </w:tc>
        <w:tc>
          <w:tcPr>
            <w:tcW w:type="dxa" w:w="32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Firma y fecha</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Insumos de facturación</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Automatización</w:t>
            </w:r>
          </w:p>
        </w:tc>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Metaute</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Tesorería</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Auxiliar Contable</w:t>
            </w:r>
          </w:p>
        </w:tc>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Santiago Amador</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Contaduría</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 </w:t>
            </w:r>
          </w:p>
        </w:tc>
      </w:tr>
    </w:tbl>
    <w:p>
      <w:pPr>
        <w:spacing w:after="200"/>
      </w:pP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Observaciones de Recursos Humanos</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9072"/>
      </w:tblGrid>
      <w:tr>
        <w:trPr>
          <w:tblHeader/>
        </w:trPr>
        <w:tc>
          <w:tcPr>
            <w:tcW w:type="dxa" w:w="90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Espacio para observaciones</w:t>
            </w:r>
          </w:p>
        </w:tc>
      </w:tr>
      <w:tr>
        <w:tc>
          <w:tcPr>
            <w:tcW w:type="dxa" w:w="9072"/>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 </w:t>
            </w:r>
          </w:p>
        </w:tc>
      </w:tr>
      <w:tr>
        <w:tc>
          <w:tcPr>
            <w:tcW w:type="dxa" w:w="9072"/>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 </w:t>
            </w:r>
          </w:p>
        </w:tc>
      </w:tr>
      <w:tr>
        <w:tc>
          <w:tcPr>
            <w:tcW w:type="dxa" w:w="9072"/>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 </w:t>
            </w:r>
          </w:p>
        </w:tc>
      </w:tr>
      <w:tr>
        <w:tc>
          <w:tcPr>
            <w:tcW w:type="dxa" w:w="9072"/>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 </w:t>
            </w:r>
          </w:p>
        </w:tc>
      </w:tr>
    </w:tbl>
    <w:p>
      <w:pPr>
        <w:spacing w:after="200"/>
      </w:pPr>
    </w:p>
    <w:p>
      <w:pPr>
        <w:spacing w:after="0" w:line="230"/>
        <w:jc w:val="center"/>
      </w:pPr>
      <w:r>
        <w:rPr>
          <w:rFonts w:ascii="Calibri" w:cs="Calibri" w:eastAsia="Calibri" w:hAnsi="Calibri"/>
          <w:b w:val="false"/>
          <w:bCs w:val="false"/>
          <w:i/>
          <w:iCs/>
          <w:caps w:val="false"/>
          <w:color w:val="64748B"/>
          <w:sz w:val="17"/>
          <w:szCs w:val="17"/>
        </w:rPr>
        <w:t xml:space="preserve">IES · Intelligent Electronic Solutions · Documento IES-CT-PRO-002 · Versión 1.0</w:t>
      </w:r>
    </w:p>
    <w:sectPr>
      <w:headerReference w:type="default" r:id="rId7"/>
      <w:footerReference w:type="default" r:id="rId8"/>
      <w:pgSz w:w="11906" w:h="16838" w:orient="portrait"/>
      <w:pgMar w:top="1417" w:right="1417" w:bottom="1417" w:left="1417"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line="220"/>
      <w:jc w:val="center"/>
    </w:pPr>
    <w:r>
      <w:rPr>
        <w:rFonts w:ascii="Calibri" w:cs="Calibri" w:eastAsia="Calibri" w:hAnsi="Calibri"/>
        <w:b w:val="false"/>
        <w:bCs w:val="false"/>
        <w:i w:val="false"/>
        <w:iCs w:val="false"/>
        <w:caps w:val="false"/>
        <w:color w:val="64748B"/>
        <w:sz w:val="16"/>
        <w:szCs w:val="16"/>
      </w:rPr>
      <w:t xml:space="preserve">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de </w:t>
    </w:r>
    <w:r>
      <w:rPr>
        <w:rFonts w:ascii="Calibri" w:cs="Calibri" w:eastAsia="Calibri" w:hAnsi="Calibri"/>
        <w:b/>
        <w:bCs/>
        <w:color w:val="64748B"/>
        <w:sz w:val="16"/>
        <w:szCs w:val="16"/>
      </w:rPr>
      <w:fldChar w:fldCharType="begin"/>
      <w:instrText xml:space="preserve">NUMPAGES</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   Documento para aval de Recursos Humanos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60" w:line="220"/>
    </w:pPr>
    <w:r>
      <w:rPr>
        <w:rFonts w:ascii="Calibri" w:cs="Calibri" w:eastAsia="Calibri" w:hAnsi="Calibri"/>
        <w:b/>
        <w:bCs/>
        <w:i w:val="false"/>
        <w:iCs w:val="false"/>
        <w:caps w:val="false"/>
        <w:color w:val="1B3A6B"/>
        <w:spacing w:val="20"/>
        <w:sz w:val="16"/>
        <w:szCs w:val="16"/>
      </w:rPr>
      <w:t xml:space="preserve">IES</w:t>
    </w:r>
    <w:r>
      <w:rPr>
        <w:rFonts w:ascii="Calibri" w:cs="Calibri" w:eastAsia="Calibri" w:hAnsi="Calibri"/>
        <w:b w:val="false"/>
        <w:bCs w:val="false"/>
        <w:i w:val="false"/>
        <w:iCs w:val="false"/>
        <w:caps w:val="false"/>
        <w:color w:val="64748B"/>
        <w:sz w:val="16"/>
        <w:szCs w:val="16"/>
      </w:rPr>
      <w:t xml:space="preserve">   ·   Formalización del Proceso Contable   ·   IES-CT-PRO-002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Calibri" w:cs="Calibri" w:eastAsia="Calibri" w:hAnsi="Calibri"/>
        <w:color w:val="2D5AA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Formalización del Proceso Contable — Documento para aval de Recursos Humanos</dc:title>
  <dc:creator>IES — Intelligent Electronic Solutions</dc:creator>
  <dc:description>Descripción de cargos, cargas de trabajo y controles</dc:description>
  <cp:lastModifiedBy>Un-named</cp:lastModifiedBy>
  <cp:revision>1</cp:revision>
  <dcterms:created xsi:type="dcterms:W3CDTF">2026-08-10T22:23:06.118Z</dcterms:created>
  <dcterms:modified xsi:type="dcterms:W3CDTF">2026-08-10T22:23:06.118Z</dcterms:modified>
</cp:coreProperties>
</file>

<file path=docProps/custom.xml><?xml version="1.0" encoding="utf-8"?>
<Properties xmlns="http://schemas.openxmlformats.org/officeDocument/2006/custom-properties" xmlns:vt="http://schemas.openxmlformats.org/officeDocument/2006/docPropsVTypes"/>
</file>