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20"/>
              <w:left w:type="dxa" w:w="380"/>
              <w:bottom w:type="dxa" w:w="420"/>
              <w:right w:type="dxa" w:w="380"/>
            </w:tcMar>
          </w:tcPr>
          <w:p>
            <w:pPr>
              <w:spacing w:after="60" w:line="300"/>
            </w:pPr>
            <w:r>
              <w:rPr>
                <w:rFonts w:ascii="Calibri" w:cs="Calibri" w:eastAsia="Calibri" w:hAnsi="Calibri"/>
                <w:b/>
                <w:bCs/>
                <w:i w:val="false"/>
                <w:iCs w:val="false"/>
                <w:caps w:val="false"/>
                <w:color w:val="FFFFFF"/>
                <w:sz w:val="56"/>
                <w:szCs w:val="56"/>
              </w:rPr>
              <w:t xml:space="preserve">IES</w:t>
            </w:r>
          </w:p>
          <w:p>
            <w:pPr>
              <w:spacing w:after="300" w:line="240"/>
            </w:pPr>
            <w:r>
              <w:rPr>
                <w:rFonts w:ascii="Calibri" w:cs="Calibri" w:eastAsia="Calibri" w:hAnsi="Calibri"/>
                <w:b w:val="false"/>
                <w:bCs w:val="false"/>
                <w:i w:val="false"/>
                <w:iCs w:val="false"/>
                <w:caps w:val="false"/>
                <w:color w:val="C9D8EE"/>
                <w:spacing w:val="20"/>
                <w:sz w:val="20"/>
                <w:szCs w:val="20"/>
              </w:rPr>
              <w:t xml:space="preserve">Intelligent Electronic Solutions</w:t>
            </w:r>
          </w:p>
          <w:p>
            <w:pPr>
              <w:spacing w:after="130" w:line="340"/>
            </w:pPr>
            <w:r>
              <w:rPr>
                <w:rFonts w:ascii="Calibri" w:cs="Calibri" w:eastAsia="Calibri" w:hAnsi="Calibri"/>
                <w:b/>
                <w:bCs/>
                <w:i w:val="false"/>
                <w:iCs w:val="false"/>
                <w:caps w:val="false"/>
                <w:color w:val="FFFFFF"/>
                <w:sz w:val="40"/>
                <w:szCs w:val="40"/>
              </w:rPr>
              <w:t xml:space="preserve">Manual de Procesos Contables</w:t>
            </w:r>
          </w:p>
          <w:p>
            <w:pPr>
              <w:spacing w:after="90" w:line="300"/>
            </w:pPr>
            <w:r>
              <w:rPr>
                <w:rFonts w:ascii="Calibri" w:cs="Calibri" w:eastAsia="Calibri" w:hAnsi="Calibri"/>
                <w:b w:val="false"/>
                <w:bCs w:val="false"/>
                <w:i w:val="false"/>
                <w:iCs w:val="false"/>
                <w:caps w:val="false"/>
                <w:color w:val="C9D8EE"/>
                <w:sz w:val="26"/>
                <w:szCs w:val="26"/>
              </w:rPr>
              <w:t xml:space="preserve">Manual completo del equipo</w:t>
            </w:r>
          </w:p>
          <w:p>
            <w:pPr>
              <w:spacing w:after="0" w:line="260"/>
            </w:pPr>
            <w:r>
              <w:rPr>
                <w:rFonts w:ascii="Calibri" w:cs="Calibri" w:eastAsia="Calibri" w:hAnsi="Calibri"/>
                <w:b w:val="false"/>
                <w:bCs w:val="false"/>
                <w:i/>
                <w:iCs/>
                <w:caps w:val="false"/>
                <w:color w:val="9FB8DA"/>
                <w:sz w:val="20"/>
                <w:szCs w:val="20"/>
              </w:rPr>
              <w:t xml:space="preserve">Responsabilidades por persona, puntos de cruce y ciclo mensual</w:t>
            </w:r>
          </w:p>
        </w:tc>
      </w:tr>
    </w:tbl>
    <w:p>
      <w:pPr>
        <w:spacing w:after="2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66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Alcance</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cinco roles del ciclo contable mensual: Facturación, Automatización, Tesorería, Auxiliar Contable y Contaduría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Preparado por</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Sistema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Siigo ERP · DIAN · RADIAN</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 de agosto de 2026</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Ciclo contable mensual — aplica todos los meses del año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   </w:t>
            </w:r>
            <w:r>
              <w:rPr>
                <w:rFonts w:ascii="Calibri" w:cs="Calibri" w:eastAsia="Calibri" w:hAnsi="Calibri"/>
                <w:b/>
                <w:bCs/>
                <w:i w:val="false"/>
                <w:iCs w:val="false"/>
                <w:caps/>
                <w:color w:val="FFFFFF"/>
                <w:spacing w:val="14"/>
                <w:sz w:val="22"/>
                <w:szCs w:val="22"/>
              </w:rPr>
              <w:t xml:space="preserve">Contenido</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4400"/>
        <w:gridCol w:w="37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Sección</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Tema</w:t>
            </w:r>
          </w:p>
        </w:tc>
        <w:tc>
          <w:tcPr>
            <w:tcW w:type="dxa" w:w="37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encuentra aquí</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Propósito y mapa general</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cadena del mes y las reglas que gobiernan el proceso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 de partida del ciclo y lectura comercial del informe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 y Gerencia</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electrónica, definición de viáticos y feedback del informe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del dinero, pagos avanzados y desembolsos críticos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las dos conciliaciones, RADIAN y archivo plano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estados financieros, dashboard y proceso con socios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Puntos de cruce del equipo</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11 momentos donde una persona depende de otra</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Cronograma mensual</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mes completo con los cinco roles en paralelo</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Documentos clave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Glosario y descomposición de un pago de crédito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Convenciones del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Cada sección de persona abre con su compromiso de inicio a fin, seguido de la tabla de procesos con fechas y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bloque "Riesgo si no se cumple" señala qué se rompe aguas abajo cuando esa responsabilidad se retrasa.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rangos de días son días calendario del mes. "Todo el mes" significa del día 1 al último día, sea 28, 30 o 31.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Las fechas coinciden exactamente con las de la aplicación de seguimiento y con el calendario en Excel.</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Propósito y mapa general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Este manual describe el ciclo contable mensual completo de IES: qué hace cada persona, en qué fecha del mes lo hace, con qué documento lo soporta y en qué momento su trabajo se convierte en el insumo de otra persona.</w:t>
      </w: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Arranca en el área comercial con los insumos de facturación, pasa por la emisión electrónica, sigue con el registro del dinero en Tesorería y la causación del Auxiliar Contable, y cierra en Contaduría con los estados financieros y el informe a socios. Cuando un eslabón se retrasa, el efecto no se queda en esa persona: se traslada al cierre del mes.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La cadena del mes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2400"/>
        <w:gridCol w:w="5172"/>
      </w:tblGrid>
      <w:tr>
        <w:trPr>
          <w:tblHeader/>
        </w:trPr>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51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Su aporte a la cadena</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el insumo de facturación hacia el día 27, con corte al cierre del período.</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Convierte esos insumos en facturas electrónicas emitidas a la 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Registra el dinero que entra y ejecuta el que sale.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Reglas que gobiernan todo el proceso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Ningún desembolso se ejecuta sin causación previa y sin soporte documental válido.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Cuando hay orden de pago sin soporte, el registro va a Anticipos Cuenta 13 y queda pendiente de legalización.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Documento Soporte del exterior solo se genera contra el invoice. No sirve cotización, contrato ni proyecto.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informe a socios no sale sin los comentarios comerciales de Beatriz ni sin el feedback de Gerencia.</w:t>
      </w:r>
    </w:p>
    <w:p>
      <w:pPr>
        <w:spacing w:after="11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Sobre los meses de IVA</w:t>
            </w:r>
          </w:p>
          <w:p>
            <w:pPr>
              <w:spacing w:after="0" w:line="262"/>
            </w:pPr>
            <w:r>
              <w:rPr>
                <w:rFonts w:ascii="Calibri" w:cs="Calibri" w:eastAsia="Calibri" w:hAnsi="Calibri"/>
                <w:b w:val="false"/>
                <w:bCs w:val="false"/>
                <w:i w:val="false"/>
                <w:iCs w:val="false"/>
                <w:caps w:val="false"/>
                <w:color w:val="374151"/>
                <w:sz w:val="20"/>
                <w:szCs w:val="20"/>
              </w:rPr>
              <w:t xml:space="preserve">La declaración bimestral de IVA aplica en enero, marzo, mayo, julio, septiembre y noviembre. En esos meses el Contador tiene una tarea adicional entre los días 15 y 21. El resto del ciclo es idéntico todos los meses.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0D686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3D6D5"/>
                <w:spacing w:val="24"/>
                <w:sz w:val="17"/>
                <w:szCs w:val="17"/>
              </w:rPr>
              <w:t xml:space="preserve">Sección 2</w:t>
            </w:r>
          </w:p>
          <w:p>
            <w:pPr>
              <w:spacing w:after="40" w:line="260"/>
            </w:pPr>
            <w:r>
              <w:rPr>
                <w:rFonts w:ascii="Calibri" w:cs="Calibri" w:eastAsia="Calibri" w:hAnsi="Calibri"/>
                <w:b/>
                <w:bCs/>
                <w:i w:val="false"/>
                <w:iCs w:val="false"/>
                <w:caps w:val="false"/>
                <w:color w:val="FFFFFF"/>
                <w:sz w:val="28"/>
                <w:szCs w:val="28"/>
              </w:rPr>
              <w:t xml:space="preserve">Beatriz</w:t>
            </w:r>
          </w:p>
          <w:p>
            <w:pPr>
              <w:spacing w:after="0" w:line="220"/>
            </w:pPr>
            <w:r>
              <w:rPr>
                <w:rFonts w:ascii="Calibri" w:cs="Calibri" w:eastAsia="Calibri" w:hAnsi="Calibri"/>
                <w:b w:val="false"/>
                <w:bCs w:val="false"/>
                <w:i w:val="false"/>
                <w:iCs w:val="false"/>
                <w:caps/>
                <w:color w:val="FFFFFF"/>
                <w:spacing w:val="20"/>
                <w:sz w:val="19"/>
                <w:szCs w:val="19"/>
              </w:rPr>
              <w:t xml:space="preserve">Insumos Facturación</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área comercial interviene en dos momentos puntuales del ciclo. El primero es la entrega del insumo de facturación hacia el día 27: sin él no hay archivo plano ni factura electrónica el día 1. El segundo es el análisis de variación de ingresos entre los días 9 y 12, que explica por qué la facturación se movió como se movió frente al mes anterior.</w:t>
      </w:r>
    </w:p>
    <w:tbl>
      <w:tblPr>
        <w:tblW w:type="dxa" w:w="9072"/>
        <w:tblBorders>
          <w:top w:val="single" w:color="0D6866" w:sz="2"/>
          <w:left w:val="single" w:color="0D6866" w:sz="18"/>
          <w:bottom w:val="single" w:color="0D6866" w:sz="2"/>
          <w:right w:val="single" w:color="0D6866" w:sz="2"/>
          <w:insideH w:val="none" w:color="auto" w:sz="0"/>
          <w:insideV w:val="none" w:color="auto" w:sz="0"/>
        </w:tblBorders>
      </w:tblPr>
      <w:tblGrid>
        <w:gridCol w:w="9072"/>
      </w:tblGrid>
      <w:tr>
        <w:tc>
          <w:tcPr>
            <w:tcW w:type="dxa" w:w="9072"/>
            <w:shd w:fill="EBF5F5"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0D686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Entregar el insumo de facturación hacia el día 27 para que la facturación del día 1 salga sin demoras, y sentarse con el Contador entre los días 9 y 12 para explicar la variación de ingresos que se reporta a socios.</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variación de ingresos — sesión con el Contador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28</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insumo de facturación — cierre del período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Detalle de cada proceso</w:t>
      </w:r>
    </w:p>
    <w:p>
      <w:pPr>
        <w:spacing w:after="58" w:before="150" w:line="215"/>
      </w:pPr>
      <w:r>
        <w:rPr>
          <w:rFonts w:ascii="Calibri" w:cs="Calibri" w:eastAsia="Calibri" w:hAnsi="Calibri"/>
          <w:b/>
          <w:bCs/>
          <w:i w:val="false"/>
          <w:iCs w:val="false"/>
          <w:caps/>
          <w:color w:val="0D6866"/>
          <w:spacing w:val="24"/>
          <w:sz w:val="17"/>
          <w:szCs w:val="17"/>
        </w:rPr>
        <w:t xml:space="preserve">Entrega del insumo de facturación · Días 26 al 28</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Consolidar las cantidades, valores y tipos del período con corte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hacia el día 27, para que Luis arme el archivo plano y Edgar lo procese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 facturación del día 1 del mes siguiente depende directamente de esta entrega. Si llega tarde, toda la cadena se corre.</w:t>
      </w:r>
    </w:p>
    <w:p>
      <w:pPr>
        <w:spacing w:after="58" w:before="150" w:line="215"/>
      </w:pPr>
      <w:r>
        <w:rPr>
          <w:rFonts w:ascii="Calibri" w:cs="Calibri" w:eastAsia="Calibri" w:hAnsi="Calibri"/>
          <w:b/>
          <w:bCs/>
          <w:i w:val="false"/>
          <w:iCs w:val="false"/>
          <w:caps/>
          <w:color w:val="0D6866"/>
          <w:spacing w:val="24"/>
          <w:sz w:val="17"/>
          <w:szCs w:val="17"/>
        </w:rPr>
        <w:t xml:space="preserve">Análisis de variación de ingresos · Días 9 al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Sentarse con el Contador para revisar el informe de ingresos que va a socios.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Explicar qué variaciones hubo en la facturación frente al mes anterior y a qué se deben.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Identificar clientes nuevos o perdidos, cambios de volumen y operaciones atípicas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la proyección comercial del mes en curso.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Estos comentarios se incorporan al informe antes de que pase a Gerencia.</w:t>
      </w:r>
    </w:p>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de facturación tardío</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no puede emitir la FE en los días 1 a 5 y toda la facturación del mes se corre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incompleto o con valores errados</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 sale mal emitida y hay que anularla ante la DIAN</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No asistir a la sesión del informe</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Gerencia y a socios sin la explicación comercial de las cifras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78350F"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DCC5AC"/>
                <w:spacing w:val="24"/>
                <w:sz w:val="17"/>
                <w:szCs w:val="17"/>
              </w:rPr>
              <w:t xml:space="preserve">Sección 3</w:t>
            </w:r>
          </w:p>
          <w:p>
            <w:pPr>
              <w:spacing w:after="40" w:line="260"/>
            </w:pPr>
            <w:r>
              <w:rPr>
                <w:rFonts w:ascii="Calibri" w:cs="Calibri" w:eastAsia="Calibri" w:hAnsi="Calibri"/>
                <w:b/>
                <w:bCs/>
                <w:i w:val="false"/>
                <w:iCs w:val="false"/>
                <w:caps w:val="false"/>
                <w:color w:val="FFFFFF"/>
                <w:sz w:val="28"/>
                <w:szCs w:val="28"/>
              </w:rPr>
              <w:t xml:space="preserve">Edgar Metaute</w:t>
            </w:r>
          </w:p>
          <w:p>
            <w:pPr>
              <w:spacing w:after="0" w:line="220"/>
            </w:pPr>
            <w:r>
              <w:rPr>
                <w:rFonts w:ascii="Calibri" w:cs="Calibri" w:eastAsia="Calibri" w:hAnsi="Calibri"/>
                <w:b w:val="false"/>
                <w:bCs w:val="false"/>
                <w:i w:val="false"/>
                <w:iCs w:val="false"/>
                <w:caps/>
                <w:color w:val="FFFFFF"/>
                <w:spacing w:val="20"/>
                <w:sz w:val="19"/>
                <w:szCs w:val="19"/>
              </w:rPr>
              <w:t xml:space="preserve">Automatización / Siigo</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Esta posición combina dos funciones distintas: la operación de facturación electrónica en Siigo y la función de Gerencia. Como operación, convierte los insumos comerciales en facturas emitidas a la DIAN. Como Gerencia, toma dos decisiones que el equipo contable no puede tomar solo: qué gastos de tarjeta son viáticos, y qué ajustes necesita el informe antes de llegar a los socios.</w:t>
      </w:r>
    </w:p>
    <w:tbl>
      <w:tblPr>
        <w:tblW w:type="dxa" w:w="9072"/>
        <w:tblBorders>
          <w:top w:val="single" w:color="78350F" w:sz="2"/>
          <w:left w:val="single" w:color="78350F" w:sz="18"/>
          <w:bottom w:val="single" w:color="78350F" w:sz="2"/>
          <w:right w:val="single" w:color="78350F" w:sz="2"/>
          <w:insideH w:val="none" w:color="auto" w:sz="0"/>
          <w:insideV w:val="none" w:color="auto" w:sz="0"/>
        </w:tblBorders>
      </w:tblPr>
      <w:tblGrid>
        <w:gridCol w:w="9072"/>
      </w:tblGrid>
      <w:tr>
        <w:tc>
          <w:tcPr>
            <w:tcW w:type="dxa" w:w="9072"/>
            <w:shd w:fill="FAF3EC"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78350F"/>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Emitir la facturación electrónica en los primeros días del mes, definir los viáticos de la tarjeta de crédito para que Luis pueda cerrar su conciliación, dar feedback al informe antes de que llegue a los socios, y procesar el archivo plano de Luis al cierre para que la facturación del día 1 salga a tiempo.</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Organización del archivo plano en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de facturas electrónicas — Siigo → DIAN / RADIAN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gastos TDC — definir viáticos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 — sesión con el Contador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Procesa archivo plano de Luis — facturación día 1</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Detalle de cada proceso</w:t>
      </w:r>
    </w:p>
    <w:p>
      <w:pPr>
        <w:spacing w:after="58" w:before="150" w:line="215"/>
      </w:pPr>
      <w:r>
        <w:rPr>
          <w:rFonts w:ascii="Calibri" w:cs="Calibri" w:eastAsia="Calibri" w:hAnsi="Calibri"/>
          <w:b/>
          <w:bCs/>
          <w:i w:val="false"/>
          <w:iCs w:val="false"/>
          <w:caps/>
          <w:color w:val="78350F"/>
          <w:spacing w:val="24"/>
          <w:sz w:val="17"/>
          <w:szCs w:val="17"/>
        </w:rPr>
        <w:t xml:space="preserve">Facturación electrónica · Días 1 al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Organizar en Siigo el archivo plano a partir del insumo de Beatriz.</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y emitir las facturas electrónicas hacia DIAN y RADIAN.</w:t>
      </w:r>
    </w:p>
    <w:p>
      <w:pPr>
        <w:spacing w:after="58" w:before="150" w:line="215"/>
      </w:pPr>
      <w:r>
        <w:rPr>
          <w:rFonts w:ascii="Calibri" w:cs="Calibri" w:eastAsia="Calibri" w:hAnsi="Calibri"/>
          <w:b/>
          <w:bCs/>
          <w:i w:val="false"/>
          <w:iCs w:val="false"/>
          <w:caps/>
          <w:color w:val="78350F"/>
          <w:spacing w:val="24"/>
          <w:sz w:val="17"/>
          <w:szCs w:val="17"/>
        </w:rPr>
        <w:t xml:space="preserve">Validación de gastos de tarjeta · Días 6 al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los gastos no regulares del extracto de tarjeta de crédito.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cuáles corresponden a viáticos y cuáles 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Devolver la definición en dos o tres días: sin ella la conciliación de tarjeta no cierra, y esa conciliación es insumo del cierre del mes.</w:t>
      </w:r>
    </w:p>
    <w:p>
      <w:pPr>
        <w:spacing w:after="58" w:before="150" w:line="215"/>
      </w:pPr>
      <w:r>
        <w:rPr>
          <w:rFonts w:ascii="Calibri" w:cs="Calibri" w:eastAsia="Calibri" w:hAnsi="Calibri"/>
          <w:b/>
          <w:bCs/>
          <w:i w:val="false"/>
          <w:iCs w:val="false"/>
          <w:caps/>
          <w:color w:val="78350F"/>
          <w:spacing w:val="24"/>
          <w:sz w:val="17"/>
          <w:szCs w:val="17"/>
        </w:rPr>
        <w:t xml:space="preserve">Feedback del informe · Días 13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con el Contador antes de que pase a los socios.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Plantear dudas e inquietudes sobre las cifras.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Proponer mejoras al contenido y a la presentación.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feedback se incorpora antes de la entrega del día 15.</w:t>
      </w:r>
    </w:p>
    <w:p>
      <w:pPr>
        <w:spacing w:after="58" w:before="150" w:line="215"/>
      </w:pPr>
      <w:r>
        <w:rPr>
          <w:rFonts w:ascii="Calibri" w:cs="Calibri" w:eastAsia="Calibri" w:hAnsi="Calibri"/>
          <w:b/>
          <w:bCs/>
          <w:i w:val="false"/>
          <w:iCs w:val="false"/>
          <w:caps/>
          <w:color w:val="78350F"/>
          <w:spacing w:val="24"/>
          <w:sz w:val="17"/>
          <w:szCs w:val="17"/>
        </w:rPr>
        <w:t xml:space="preserve">Cierre de facturación · Días 26 al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el archivo plano de Luis y procesarlo en Siigo para que la facturación del día 1 del mes siguiente salga sin retrasos.</w:t>
      </w:r>
    </w:p>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 no emitida en los primeros días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hay cartera que cobrar y el recaudo del mes arranca tarde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Viáticos sin definir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cierra la conciliación de tarjeta y el cierre contable queda abierto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Feedback del informe fuera de fecha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los socios sin la revisión de Gerencia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Archivo plano sin procesar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facturación del día 1 del mes siguiente no sale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6B45"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9D6C6"/>
                <w:spacing w:val="24"/>
                <w:sz w:val="17"/>
                <w:szCs w:val="17"/>
              </w:rPr>
              <w:t xml:space="preserve">Sección 4</w:t>
            </w:r>
          </w:p>
          <w:p>
            <w:pPr>
              <w:spacing w:after="40" w:line="260"/>
            </w:pPr>
            <w:r>
              <w:rPr>
                <w:rFonts w:ascii="Calibri" w:cs="Calibri" w:eastAsia="Calibri" w:hAnsi="Calibri"/>
                <w:b/>
                <w:bCs/>
                <w:i w:val="false"/>
                <w:iCs w:val="false"/>
                <w:caps w:val="false"/>
                <w:color w:val="FFFFFF"/>
                <w:sz w:val="28"/>
                <w:szCs w:val="28"/>
              </w:rPr>
              <w:t xml:space="preserve">Isnardi Sanches</w:t>
            </w:r>
          </w:p>
          <w:p>
            <w:pPr>
              <w:spacing w:after="0" w:line="220"/>
            </w:pPr>
            <w:r>
              <w:rPr>
                <w:rFonts w:ascii="Calibri" w:cs="Calibri" w:eastAsia="Calibri" w:hAnsi="Calibri"/>
                <w:b w:val="false"/>
                <w:bCs w:val="false"/>
                <w:i w:val="false"/>
                <w:iCs w:val="false"/>
                <w:caps/>
                <w:color w:val="FFFFFF"/>
                <w:spacing w:val="20"/>
                <w:sz w:val="19"/>
                <w:szCs w:val="19"/>
              </w:rPr>
              <w:t xml:space="preserve">Tesorera</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responde por el dinero en movimiento. Todo lo que entra a caja o bancos y todo lo que sale hacia proveedores, empleados o entidades pasa por esta posición. Su registro es la fuente que después alimenta la conciliación bancaria y el estado de cartera.</w:t>
      </w:r>
    </w:p>
    <w:tbl>
      <w:tblPr>
        <w:tblW w:type="dxa" w:w="9072"/>
        <w:tblBorders>
          <w:top w:val="single" w:color="1B6B45" w:sz="2"/>
          <w:left w:val="single" w:color="1B6B45" w:sz="18"/>
          <w:bottom w:val="single" w:color="1B6B45" w:sz="2"/>
          <w:right w:val="single" w:color="1B6B45" w:sz="2"/>
          <w:insideH w:val="none" w:color="auto" w:sz="0"/>
          <w:insideV w:val="none" w:color="auto" w:sz="0"/>
        </w:tblBorders>
      </w:tblPr>
      <w:tblGrid>
        <w:gridCol w:w="9072"/>
      </w:tblGrid>
      <w:tr>
        <w:tc>
          <w:tcPr>
            <w:tcW w:type="dxa" w:w="9072"/>
            <w:shd w:fill="EDF7F1"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6B45"/>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Desde el día 1 hasta el último día del mes, mantener actualizado el registro de cobros y pagos en Siigo, descomponer correctamente los pagos de créditos, y ejecutar en fecha los tres desembolsos críticos: seguridad social, nómina de primera quincena y nómina de segunda quincena.</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 Cobros diarios en caja y bancos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 — Pagos a proveedores · Anticipos Cta. 13</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Pagos avanzados — créditos y obligaciones financieras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seguridad social a entidades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1ª quincena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2ª quincena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Detalle de cada proceso</w:t>
      </w:r>
    </w:p>
    <w:p>
      <w:pPr>
        <w:spacing w:after="58" w:before="150" w:line="215"/>
      </w:pPr>
      <w:r>
        <w:rPr>
          <w:rFonts w:ascii="Calibri" w:cs="Calibri" w:eastAsia="Calibri" w:hAnsi="Calibri"/>
          <w:b/>
          <w:bCs/>
          <w:i w:val="false"/>
          <w:iCs w:val="false"/>
          <w:caps/>
          <w:color w:val="1B6B45"/>
          <w:spacing w:val="24"/>
          <w:sz w:val="17"/>
          <w:szCs w:val="17"/>
        </w:rPr>
        <w:t xml:space="preserve">RC — Recibo de Caja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en Siigo cada cobro recibido de cliente, el mismo día en que ingresa.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Seleccionar dentro del recibo las facturas específicas que ese pago cubre. No dejar cobros sin aplicar.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Descargar la cartera del cliente después de aplicar el recibo.</w:t>
      </w:r>
    </w:p>
    <w:p>
      <w:pPr>
        <w:spacing w:after="58" w:before="150" w:line="215"/>
      </w:pPr>
      <w:r>
        <w:rPr>
          <w:rFonts w:ascii="Calibri" w:cs="Calibri" w:eastAsia="Calibri" w:hAnsi="Calibri"/>
          <w:b/>
          <w:bCs/>
          <w:i w:val="false"/>
          <w:iCs w:val="false"/>
          <w:caps/>
          <w:color w:val="1B6B45"/>
          <w:spacing w:val="24"/>
          <w:sz w:val="17"/>
          <w:szCs w:val="17"/>
        </w:rPr>
        <w:t xml:space="preserve">RP — Pagos a proveedores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los pagos únicamente contra la CXP Cuenta 23 que Luis haya causado previamente.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Verificar que proveedor, valor y documento soporte coincidan con la causación.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Si hay orden de pago sin soporte, registrar como Anticipo en Cuenta 13 y reportarlo para legalización.</w:t>
      </w:r>
    </w:p>
    <w:p>
      <w:pPr>
        <w:spacing w:after="58" w:before="150" w:line="215"/>
      </w:pPr>
      <w:r>
        <w:rPr>
          <w:rFonts w:ascii="Calibri" w:cs="Calibri" w:eastAsia="Calibri" w:hAnsi="Calibri"/>
          <w:b/>
          <w:bCs/>
          <w:i w:val="false"/>
          <w:iCs w:val="false"/>
          <w:caps/>
          <w:color w:val="1B6B45"/>
          <w:spacing w:val="24"/>
          <w:sz w:val="17"/>
          <w:szCs w:val="17"/>
        </w:rPr>
        <w:t xml:space="preserve">Pagos avanzados — créditos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Abono a CAPITAL: reduce el saldo de la obligación financiera.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INTERESES cobrados: gasto financiero del período, no reducen la deuda.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GASTOS BANCARIOS: póliza, seguro de deudor, comisiones y estudio de crédito, cada concepto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 suma de capital + intereses + gastos debe igualar exactamente la salida de dinero del banco.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Nunca cargar la cuota completa a una sola cuenta: distorsiona el saldo de la deuda y el gasto del mes.</w:t>
      </w:r>
    </w:p>
    <w:p>
      <w:pPr>
        <w:spacing w:after="58" w:before="150" w:line="215"/>
      </w:pPr>
      <w:r>
        <w:rPr>
          <w:rFonts w:ascii="Calibri" w:cs="Calibri" w:eastAsia="Calibri" w:hAnsi="Calibri"/>
          <w:b/>
          <w:bCs/>
          <w:i w:val="false"/>
          <w:iCs w:val="false"/>
          <w:caps/>
          <w:color w:val="1B6B45"/>
          <w:spacing w:val="24"/>
          <w:sz w:val="17"/>
          <w:szCs w:val="17"/>
        </w:rPr>
        <w:t xml:space="preserve">Seguridad social · Días 13 al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el soporte de causación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a salud, pensión, ARL y caja de compensación dentro de la fecha límite.</w:t>
      </w:r>
    </w:p>
    <w:p>
      <w:pPr>
        <w:spacing w:after="58" w:before="150" w:line="215"/>
      </w:pPr>
      <w:r>
        <w:rPr>
          <w:rFonts w:ascii="Calibri" w:cs="Calibri" w:eastAsia="Calibri" w:hAnsi="Calibri"/>
          <w:b/>
          <w:bCs/>
          <w:i w:val="false"/>
          <w:iCs w:val="false"/>
          <w:caps/>
          <w:color w:val="1B6B45"/>
          <w:spacing w:val="24"/>
          <w:sz w:val="17"/>
          <w:szCs w:val="17"/>
        </w:rPr>
        <w:t xml:space="preserve">Nómina · Días 14 al 16 y 29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Primera quincena: desembolsar entre los días 14 y 16 con las deducciones validadas por Luis.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Segunda quincena: desembolsar entre el día 29 y el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No ejecutar el desembolso si las deducciones —préstamos, embargos y novedades— no han sido validadas.</w:t>
      </w:r>
    </w:p>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Cobros sin aplicar a factura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cartera queda inflada y la conciliación de Luis no cierra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CXP causada</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contable y sin trazabilidad</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cargada a una sola cuenta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distorsiona el saldo de la deuda y el gasto financiero del mes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Desembolso de nómina o seguridad social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Incumplimiento con fecha de ley y sanción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E3A8A"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CCCEC"/>
                <w:spacing w:val="24"/>
                <w:sz w:val="17"/>
                <w:szCs w:val="17"/>
              </w:rPr>
              <w:t xml:space="preserve">Sección 5</w:t>
            </w:r>
          </w:p>
          <w:p>
            <w:pPr>
              <w:spacing w:after="40" w:line="260"/>
            </w:pPr>
            <w:r>
              <w:rPr>
                <w:rFonts w:ascii="Calibri" w:cs="Calibri" w:eastAsia="Calibri" w:hAnsi="Calibri"/>
                <w:b/>
                <w:bCs/>
                <w:i w:val="false"/>
                <w:iCs w:val="false"/>
                <w:caps w:val="false"/>
                <w:color w:val="FFFFFF"/>
                <w:sz w:val="28"/>
                <w:szCs w:val="28"/>
              </w:rPr>
              <w:t xml:space="preserve">Luis Amador</w:t>
            </w:r>
          </w:p>
          <w:p>
            <w:pPr>
              <w:spacing w:after="0" w:line="220"/>
            </w:pPr>
            <w:r>
              <w:rPr>
                <w:rFonts w:ascii="Calibri" w:cs="Calibri" w:eastAsia="Calibri" w:hAnsi="Calibri"/>
                <w:b w:val="false"/>
                <w:bCs w:val="false"/>
                <w:i w:val="false"/>
                <w:iCs w:val="false"/>
                <w:caps/>
                <w:color w:val="FFFFFF"/>
                <w:spacing w:val="20"/>
                <w:sz w:val="19"/>
                <w:szCs w:val="19"/>
              </w:rPr>
              <w:t xml:space="preserve">Aux. Contable</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Auxiliar Contable convierte los hechos económicos en registros contables soportados. Es la posición con mayor carga de causación del equipo y la que produce los insumos que Tesorería necesita para pagar y que el Contador necesita para cerrar el mes.</w:t>
      </w:r>
    </w:p>
    <w:tbl>
      <w:tblPr>
        <w:tblW w:type="dxa" w:w="9072"/>
        <w:tblBorders>
          <w:top w:val="single" w:color="1E3A8A" w:sz="2"/>
          <w:left w:val="single" w:color="1E3A8A" w:sz="18"/>
          <w:bottom w:val="single" w:color="1E3A8A" w:sz="2"/>
          <w:right w:val="single" w:color="1E3A8A" w:sz="2"/>
          <w:insideH w:val="none" w:color="auto" w:sz="0"/>
          <w:insideV w:val="none" w:color="auto" w:sz="0"/>
        </w:tblBorders>
      </w:tblPr>
      <w:tblGrid>
        <w:gridCol w:w="9072"/>
      </w:tblGrid>
      <w:tr>
        <w:tc>
          <w:tcPr>
            <w:tcW w:type="dxa" w:w="9072"/>
            <w:shd w:fill="EDF1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E3A8A"/>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Abrir el mes cerrando lo pendiente del anterior y terminarlo entregando el archivo plano que permite facturar el día 1 del mes siguiente. Entre esos dos extremos responde por las dos conciliaciones —banco y tarjeta—, la causación de nómina y seguridad social, el RADIAN y el Documento Soporte.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pendientes del mes anterior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 invoice proveedores del exterior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 extractos y libro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tarjeta de crédito — validación de gastos con Edgar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 causación y envío a Tesorería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 proyección, causación y deducciones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 Validación + revisión período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30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 FE / DS · Invoice exterior → CXP 23 · Cierre mes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CXP 23</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 proyección, causación y deducciones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 facturación día 1 próximo mes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Detalle de cada proceso</w:t>
      </w:r>
    </w:p>
    <w:p>
      <w:pPr>
        <w:spacing w:after="58" w:before="150" w:line="215"/>
      </w:pPr>
      <w:r>
        <w:rPr>
          <w:rFonts w:ascii="Calibri" w:cs="Calibri" w:eastAsia="Calibri" w:hAnsi="Calibri"/>
          <w:b/>
          <w:bCs/>
          <w:i w:val="false"/>
          <w:iCs w:val="false"/>
          <w:caps/>
          <w:color w:val="1E3A8A"/>
          <w:spacing w:val="24"/>
          <w:sz w:val="17"/>
          <w:szCs w:val="17"/>
        </w:rPr>
        <w:t xml:space="preserve">Apertura del mes · Días 1 y 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las causaciones que quedaron sin cerrar en 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RADIAN de los últimos días del mes anterior, que suelen quedar fuera del corte.</w:t>
      </w:r>
    </w:p>
    <w:p>
      <w:pPr>
        <w:spacing w:after="58" w:before="150" w:line="215"/>
      </w:pPr>
      <w:r>
        <w:rPr>
          <w:rFonts w:ascii="Calibri" w:cs="Calibri" w:eastAsia="Calibri" w:hAnsi="Calibri"/>
          <w:b/>
          <w:bCs/>
          <w:i w:val="false"/>
          <w:iCs w:val="false"/>
          <w:caps/>
          <w:color w:val="1E3A8A"/>
          <w:spacing w:val="24"/>
          <w:sz w:val="17"/>
          <w:szCs w:val="17"/>
        </w:rPr>
        <w:t xml:space="preserve">Conciliación bancaria · Días 3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extractos llegan entre los días 3 y 6. La conciliación arranca apenas llega el primero.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Cruzar extracto bancario contra libro contable.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formal para que el Contador valide los saldos entre los días 7 y 9.</w:t>
      </w:r>
    </w:p>
    <w:p>
      <w:pPr>
        <w:spacing w:after="58" w:before="150" w:line="215"/>
      </w:pPr>
      <w:r>
        <w:rPr>
          <w:rFonts w:ascii="Calibri" w:cs="Calibri" w:eastAsia="Calibri" w:hAnsi="Calibri"/>
          <w:b/>
          <w:bCs/>
          <w:i w:val="false"/>
          <w:iCs w:val="false"/>
          <w:caps/>
          <w:color w:val="1E3A8A"/>
          <w:spacing w:val="24"/>
          <w:sz w:val="17"/>
          <w:szCs w:val="17"/>
        </w:rPr>
        <w:t xml:space="preserve">Conciliación de tarjeta de crédito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extracto de la TDC llega aproximadamente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Separar los gastos regulares del mes de los que no lo son.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Pasar los no regulares a Edgar Metaute para que defina cuáles son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esa definición, clasificar y cerrar la conciliación. No se puede dar por cerrada con gastos sin definir.</w:t>
      </w:r>
    </w:p>
    <w:p>
      <w:pPr>
        <w:spacing w:after="58" w:before="150" w:line="215"/>
      </w:pPr>
      <w:r>
        <w:rPr>
          <w:rFonts w:ascii="Calibri" w:cs="Calibri" w:eastAsia="Calibri" w:hAnsi="Calibri"/>
          <w:b/>
          <w:bCs/>
          <w:i w:val="false"/>
          <w:iCs w:val="false"/>
          <w:caps/>
          <w:color w:val="1E3A8A"/>
          <w:spacing w:val="24"/>
          <w:sz w:val="17"/>
          <w:szCs w:val="17"/>
        </w:rPr>
        <w:t xml:space="preserve">Seguridad social y nómina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del mes anterior y compartir el soporte con Tesorería.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Proyectar y causar la nómina de la primera quincena.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préstamos, embargos y novedades antes de entregar a Tesorería.</w:t>
      </w:r>
    </w:p>
    <w:p>
      <w:pPr>
        <w:spacing w:after="58" w:before="150" w:line="215"/>
      </w:pPr>
      <w:r>
        <w:rPr>
          <w:rFonts w:ascii="Calibri" w:cs="Calibri" w:eastAsia="Calibri" w:hAnsi="Calibri"/>
          <w:b/>
          <w:bCs/>
          <w:i w:val="false"/>
          <w:iCs w:val="false"/>
          <w:caps/>
          <w:color w:val="1E3A8A"/>
          <w:spacing w:val="24"/>
          <w:sz w:val="17"/>
          <w:szCs w:val="17"/>
        </w:rPr>
        <w:t xml:space="preserve">RADIAN · Días 15 al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 21: cruzar las facturas emitidas contra lo reportado en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20 a 25: revisión del período y coordinación del visto bueno con el Contador.</w:t>
      </w:r>
    </w:p>
    <w:p>
      <w:pPr>
        <w:spacing w:after="58" w:before="150" w:line="215"/>
      </w:pPr>
      <w:r>
        <w:rPr>
          <w:rFonts w:ascii="Calibri" w:cs="Calibri" w:eastAsia="Calibri" w:hAnsi="Calibri"/>
          <w:b/>
          <w:bCs/>
          <w:i w:val="false"/>
          <w:iCs w:val="false"/>
          <w:caps/>
          <w:color w:val="1E3A8A"/>
          <w:spacing w:val="24"/>
          <w:sz w:val="17"/>
          <w:szCs w:val="17"/>
        </w:rPr>
        <w:t xml:space="preserve">Causaciones y cierre · Días 22 al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22 a 25: causar los documentos nacionales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25 a 30: revisión conjunta con el Contador de todos los invoice del exterior recibidos en el mes.</w:t>
      </w:r>
    </w:p>
    <w:p>
      <w:pPr>
        <w:spacing w:after="58" w:before="150" w:line="215"/>
      </w:pPr>
      <w:r>
        <w:rPr>
          <w:rFonts w:ascii="Calibri" w:cs="Calibri" w:eastAsia="Calibri" w:hAnsi="Calibri"/>
          <w:b/>
          <w:bCs/>
          <w:i w:val="false"/>
          <w:iCs w:val="false"/>
          <w:caps/>
          <w:color w:val="1E3A8A"/>
          <w:spacing w:val="24"/>
          <w:sz w:val="17"/>
          <w:szCs w:val="17"/>
        </w:rPr>
        <w:t xml:space="preserve">Documento Soporte del exterior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 medida que llega cada invoice, generar el DS en Siigo, causar el gasto y crear la CXP Cuenta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Únicamente el invoice es soporte válido.</w:t>
      </w:r>
    </w:p>
    <w:p>
      <w:pPr>
        <w:spacing w:after="58" w:before="150" w:line="215"/>
      </w:pPr>
      <w:r>
        <w:rPr>
          <w:rFonts w:ascii="Calibri" w:cs="Calibri" w:eastAsia="Calibri" w:hAnsi="Calibri"/>
          <w:b/>
          <w:bCs/>
          <w:i w:val="false"/>
          <w:iCs w:val="false"/>
          <w:caps/>
          <w:color w:val="1E3A8A"/>
          <w:spacing w:val="24"/>
          <w:sz w:val="17"/>
          <w:szCs w:val="17"/>
        </w:rPr>
        <w:t xml:space="preserve">Archivo plano · Días 26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el RADIAN revisado y el visto bueno del Contador, generar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Entregarlo a Edgar a tiempo para que la facturación del día 1 no se retrase.</w:t>
      </w:r>
    </w:p>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Pendientes del mes anterior sin cerrar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conciliación del día 3 parte de cifras incompletas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sin causar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no puede pagar al proveedor</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nómina tardía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desembolso de Tesorería se corre y se incumple la fecha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 sin validar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se puede generar el archivo plano y se frena la facturación del día 1</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válido ante la DIAN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5B21B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CFBCEA"/>
                <w:spacing w:val="24"/>
                <w:sz w:val="17"/>
                <w:szCs w:val="17"/>
              </w:rPr>
              <w:t xml:space="preserve">Sección 6</w:t>
            </w:r>
          </w:p>
          <w:p>
            <w:pPr>
              <w:spacing w:after="40" w:line="260"/>
            </w:pPr>
            <w:r>
              <w:rPr>
                <w:rFonts w:ascii="Calibri" w:cs="Calibri" w:eastAsia="Calibri" w:hAnsi="Calibri"/>
                <w:b/>
                <w:bCs/>
                <w:i w:val="false"/>
                <w:iCs w:val="false"/>
                <w:caps w:val="false"/>
                <w:color w:val="FFFFFF"/>
                <w:sz w:val="28"/>
                <w:szCs w:val="28"/>
              </w:rPr>
              <w:t xml:space="preserve">Cristian Bernal</w:t>
            </w:r>
          </w:p>
          <w:p>
            <w:pPr>
              <w:spacing w:after="0" w:line="220"/>
            </w:pPr>
            <w:r>
              <w:rPr>
                <w:rFonts w:ascii="Calibri" w:cs="Calibri" w:eastAsia="Calibri" w:hAnsi="Calibri"/>
                <w:b w:val="false"/>
                <w:bCs w:val="false"/>
                <w:i w:val="false"/>
                <w:iCs w:val="false"/>
                <w:caps/>
                <w:color w:val="FFFFFF"/>
                <w:spacing w:val="20"/>
                <w:sz w:val="19"/>
                <w:szCs w:val="19"/>
              </w:rPr>
              <w:t xml:space="preserve">Contador</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Contaduría valida el trabajo de todo el equipo y lo transforma en información para decidir. Concentra su carga entre los días 10 y 14, porque ahí convergen el cierre contable, los cinco insumos del informe y las dos sesiones de revisión. Es la posición con la ventana más apretada del ciclo.</w:t>
      </w:r>
    </w:p>
    <w:tbl>
      <w:tblPr>
        <w:tblW w:type="dxa" w:w="9072"/>
        <w:tblBorders>
          <w:top w:val="single" w:color="5B21B6" w:sz="2"/>
          <w:left w:val="single" w:color="5B21B6" w:sz="18"/>
          <w:bottom w:val="single" w:color="5B21B6" w:sz="2"/>
          <w:right w:val="single" w:color="5B21B6" w:sz="2"/>
          <w:insideH w:val="none" w:color="auto" w:sz="0"/>
          <w:insideV w:val="none" w:color="auto" w:sz="0"/>
        </w:tblBorders>
      </w:tblPr>
      <w:tblGrid>
        <w:gridCol w:w="9072"/>
      </w:tblGrid>
      <w:tr>
        <w:tc>
          <w:tcPr>
            <w:tcW w:type="dxa" w:w="9072"/>
            <w:shd w:fill="F3EE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5B21B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Validar los saldos del equipo, ejecutar el cierre contable, construir los estados financieros y el dashboard, incorporar la lectura comercial y el feedback de Gerencia, y llevar el informe al proceso con socios antes del día 20.</w:t>
            </w:r>
          </w:p>
        </w:tc>
      </w:tr>
    </w:tbl>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conciliación + validación saldos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 — descarga, organización y validación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Beatriz — variación de ingresos para socios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 y por tercero desplegable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seguridad social antes del desembolso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 retención en la fuente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 desarrollo y validación contra Siigo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Resultados — desarrollo y validación contra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Edgar — feedback del informe antes de socios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Dashboard integral — construcción y entrega a Don Edgar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 revisión, análisis y cierre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IVA bimestral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período del mes — validación contable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Documento Soporte — invoice proveedores del exterior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bl>
    <w:p>
      <w:pPr>
        <w:spacing w:after="60" w:before="0" w:line="264"/>
      </w:pPr>
      <w:r>
        <w:rPr>
          <w:rFonts w:ascii="Calibri" w:cs="Calibri" w:eastAsia="Calibri" w:hAnsi="Calibri"/>
          <w:b w:val="false"/>
          <w:bCs w:val="false"/>
          <w:i/>
          <w:iCs/>
          <w:caps w:val="false"/>
          <w:color w:val="64748B"/>
          <w:sz w:val="18"/>
          <w:szCs w:val="18"/>
        </w:rPr>
        <w:t xml:space="preserve">En los meses sin declaración de IVA son 14 tareas; en los meses del bimestre, 15.</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Detalle de cada proceso</w:t>
      </w:r>
    </w:p>
    <w:p>
      <w:pPr>
        <w:spacing w:after="58" w:before="150" w:line="215"/>
      </w:pPr>
      <w:r>
        <w:rPr>
          <w:rFonts w:ascii="Calibri" w:cs="Calibri" w:eastAsia="Calibri" w:hAnsi="Calibri"/>
          <w:b/>
          <w:bCs/>
          <w:i w:val="false"/>
          <w:iCs w:val="false"/>
          <w:caps/>
          <w:color w:val="5B21B6"/>
          <w:spacing w:val="24"/>
          <w:sz w:val="17"/>
          <w:szCs w:val="17"/>
        </w:rPr>
        <w:t xml:space="preserve">Acompañamiento y validación · Días 1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de Luis y validar los saldos finales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Dar el visto bueno contable al documento formal de conciliación.</w:t>
      </w:r>
    </w:p>
    <w:p>
      <w:pPr>
        <w:spacing w:after="58" w:before="150" w:line="215"/>
      </w:pPr>
      <w:r>
        <w:rPr>
          <w:rFonts w:ascii="Calibri" w:cs="Calibri" w:eastAsia="Calibri" w:hAnsi="Calibri"/>
          <w:b/>
          <w:bCs/>
          <w:i w:val="false"/>
          <w:iCs w:val="false"/>
          <w:caps/>
          <w:color w:val="5B21B6"/>
          <w:spacing w:val="24"/>
          <w:sz w:val="17"/>
          <w:szCs w:val="17"/>
        </w:rPr>
        <w:t xml:space="preserve">Cierre contable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Liquidar la retención en la fuente. Vence entre los días 15 y 21.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la nómina y la seguridad social causadas por Luis antes del desembolso de Tesorería.</w:t>
      </w:r>
    </w:p>
    <w:p>
      <w:pPr>
        <w:spacing w:after="58" w:before="150" w:line="215"/>
      </w:pPr>
      <w:r>
        <w:rPr>
          <w:rFonts w:ascii="Calibri" w:cs="Calibri" w:eastAsia="Calibri" w:hAnsi="Calibri"/>
          <w:b/>
          <w:bCs/>
          <w:i w:val="false"/>
          <w:iCs w:val="false"/>
          <w:caps/>
          <w:color w:val="5B21B6"/>
          <w:spacing w:val="24"/>
          <w:sz w:val="17"/>
          <w:szCs w:val="17"/>
        </w:rPr>
        <w:t xml:space="preserve">Insumos del informe · Días 9 al 13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Flujo de efectivo (9 al 12): descargar de Siigo, organizar por actividades y validar contra libro mayor.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por vigencias (10 al 11): corriente, +30, +60, +90 días y años anteriores.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Análisis de recaudo (11 al 12): cuánto se cobró y de qué antigüedad proviene.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EESF y Estado de Resultados (12 al 13): desarrollar y validar al centavo contra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cinco son insumo del dashboard: deben estar cerrados antes del día 13.</w:t>
      </w:r>
    </w:p>
    <w:p>
      <w:pPr>
        <w:spacing w:after="58" w:before="150" w:line="215"/>
      </w:pPr>
      <w:r>
        <w:rPr>
          <w:rFonts w:ascii="Calibri" w:cs="Calibri" w:eastAsia="Calibri" w:hAnsi="Calibri"/>
          <w:b/>
          <w:bCs/>
          <w:i w:val="false"/>
          <w:iCs w:val="false"/>
          <w:caps/>
          <w:color w:val="5B21B6"/>
          <w:spacing w:val="24"/>
          <w:sz w:val="17"/>
          <w:szCs w:val="17"/>
        </w:rPr>
        <w:t xml:space="preserve">Las dos sesiones de revisión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Beatriz (10 al 12): recibir e incorporar los comentarios comerciales al informe.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Edgar (13 al 14): recibir dudas, inquietudes y propuestas de mejora antes de que el informe llegue a los socios.</w:t>
      </w:r>
    </w:p>
    <w:p>
      <w:pPr>
        <w:spacing w:after="58" w:before="150" w:line="215"/>
      </w:pPr>
      <w:r>
        <w:rPr>
          <w:rFonts w:ascii="Calibri" w:cs="Calibri" w:eastAsia="Calibri" w:hAnsi="Calibri"/>
          <w:b/>
          <w:bCs/>
          <w:i w:val="false"/>
          <w:iCs w:val="false"/>
          <w:caps/>
          <w:color w:val="5B21B6"/>
          <w:spacing w:val="24"/>
          <w:sz w:val="17"/>
          <w:szCs w:val="17"/>
        </w:rPr>
        <w:t xml:space="preserve">Dashboard y socios · Días 13 al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el dashboard ejecutivo con todos los insumos validados y los comentarios incorporados.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 15: entregar a Don Edgar.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al 20: acompañar el proceso completo con socios. Fecha límite: día 20.</w:t>
      </w:r>
    </w:p>
    <w:p>
      <w:pPr>
        <w:spacing w:after="58" w:before="150" w:line="215"/>
      </w:pPr>
      <w:r>
        <w:rPr>
          <w:rFonts w:ascii="Calibri" w:cs="Calibri" w:eastAsia="Calibri" w:hAnsi="Calibri"/>
          <w:b/>
          <w:bCs/>
          <w:i w:val="false"/>
          <w:iCs w:val="false"/>
          <w:caps/>
          <w:color w:val="5B21B6"/>
          <w:spacing w:val="24"/>
          <w:sz w:val="17"/>
          <w:szCs w:val="17"/>
        </w:rPr>
        <w:t xml:space="preserve">RADIAN y cierre del ciclo · Días 20 al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contablemente el RADIAN del período y dar el visto bueno para que Luis genere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Revisión conjunta con Luis de los invoice del exterior: verificar que cada uno tenga su DS y su causación en CXP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 meses de IVA (enero, marzo, mayo, julio, septiembre y noviembre): preparar y presentar la declaración bimestral entre los días 15 y 21.</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Saldos de conciliación sin validar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cierre contable arranca sobre cifras no confirmadas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del informe incompletos al día 13</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dashboard no se puede construir y la entrega del 15 se cae</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 sin liquidar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incumple el vencimiento de los días 15 a 21</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Visto bueno del RADIAN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genera el archivo plano y Edgar no factura el día 1</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Puntos de cruce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Estos son los momentos del mes en que el trabajo de una persona es la condición para que otra pueda avanzar. Son los puntos donde conviene vigilar el cumplimiento, porque un retraso aquí no se queda en una posición: se traslada al cierre del mes.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500"/>
        <w:gridCol w:w="2300"/>
        <w:gridCol w:w="3136"/>
        <w:gridCol w:w="3136"/>
      </w:tblGrid>
      <w:tr>
        <w:trPr>
          <w:tblHeader/>
        </w:trPr>
        <w:tc>
          <w:tcPr>
            <w:tcW w:type="dxa" w:w="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w:t>
            </w:r>
          </w:p>
        </w:tc>
        <w:tc>
          <w:tcPr>
            <w:tcW w:type="dxa" w:w="2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Punto de cruce</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entrega</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recibe y ejecuta</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Insumo de facturación</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entrega hacia el día 27</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y Edgar — arman el archivo y emiten la FE el día 1</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a proveedores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la CXP Cuenta 23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y registra el RP</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Invoice del exterior</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el DS y crea la CXP 23</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ejecuta el pago</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entrega soporte (10–13)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a entidades (13–15)</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(10–14)</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(14–16)</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(25–29)</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(29–cierre)</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RC y RP registrados en el mes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concilia contra extracto (3–9)</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escala los gastos no regulares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define viáticos (6–10)</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Variación de ingresos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explica el cambio vs. mes anterior (9–12)</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incorpora al informe de socios</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dudas y mejoras (13–14)</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ajusta antes de socios</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con visto bueno (26–cierre)</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procesa para facturar el día 1</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tres cruces de fecha límite externa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4, 5 y 6 no admiten aplazamiento: seguridad social y nómina tienen fecha de ley. La secuencia es siempre la misma y no se puede invertir — primero Luis causa y valida, después Tesorería desembolsa. Un retraso en la causación se traduce automáticamente en un desembolso tardío.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dos cruces que dependen de Gerencia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8 y 10 salen del equipo contable y requieren una decisión de Gerencia. En el primero, un gasto de tarjeta puede ser viático o gasto corriente, y esa distinción no se deduce del extracto: depende del contexto del viaje, que solo conoce Gerencia. En el segundo, el informe no debería llegar a los socios sin que Gerencia lo haya revisado antes.</w:t>
      </w:r>
    </w:p>
    <w:p>
      <w:pPr>
        <w:spacing w:after="9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Compromiso de Gerencia</w:t>
            </w:r>
          </w:p>
          <w:p>
            <w:pPr>
              <w:spacing w:after="0" w:line="262"/>
            </w:pPr>
            <w:r>
              <w:rPr>
                <w:rFonts w:ascii="Calibri" w:cs="Calibri" w:eastAsia="Calibri" w:hAnsi="Calibri"/>
                <w:b w:val="false"/>
                <w:bCs w:val="false"/>
                <w:i w:val="false"/>
                <w:iCs w:val="false"/>
                <w:caps w:val="false"/>
                <w:color w:val="374151"/>
                <w:sz w:val="20"/>
                <w:szCs w:val="20"/>
              </w:rPr>
              <w:t xml:space="preserve">Devolver la definición de viáticos dentro de los dos o tres días siguientes a recibir los gastos, para que la conciliación de tarjeta cierre antes del día 10; y dar el feedback del informe entre los días 13 y 14, para no comprometer la entrega del día 15.</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8   </w:t>
            </w:r>
            <w:r>
              <w:rPr>
                <w:rFonts w:ascii="Calibri" w:cs="Calibri" w:eastAsia="Calibri" w:hAnsi="Calibri"/>
                <w:b/>
                <w:bCs/>
                <w:i w:val="false"/>
                <w:iCs w:val="false"/>
                <w:caps/>
                <w:color w:val="FFFFFF"/>
                <w:spacing w:val="14"/>
                <w:sz w:val="22"/>
                <w:szCs w:val="22"/>
              </w:rPr>
              <w:t xml:space="preserve">Cronograma mensual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Vista del mes con los cinco roles en paralelo. Las actividades permanentes corren todo el mes y aparecen una sola vez, en la primera fila.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000"/>
        <w:gridCol w:w="1500"/>
        <w:gridCol w:w="6572"/>
      </w:tblGrid>
      <w:tr>
        <w:trPr>
          <w:tblHeader/>
        </w:trPr>
        <w:tc>
          <w:tcPr>
            <w:tcW w:type="dxa" w:w="1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Actividad</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el Contador: variación de ingresos frente al mes anterior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28</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insumo de facturación del período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de cobros, RP de pagos y descomposición de cuotas de crédito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de invoice del exterior y CXP Cuenta 23</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de pendientes del mes anterior y RADIAN de cierre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en Siigo y emisión de facturas electrónicas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de la conciliación y validación de saldos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extractos y libro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clasifica y escala a Gerencia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Define qué gastos de tarjeta son viáticos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causación y envío a Tesorería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proyección, causación y deducciones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y retención en la fuente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y Estado de Resultados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de seguridad social a las entidades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Construcción del dashboard. Día 15: entrega a Gerencia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de feedback del informe con el Contador</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primera quincena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cruce de facturas emitidas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de IVA (solo meses del bimestre)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Fecha límite: día 20</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revisión del período y visto bueno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contable del RADIAN</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25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de documentos nacionales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proyección y causación</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de invoice del exterior con el Contador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del Documento Soporte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para la facturación del día 1</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Procesa el archivo plano de Luis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segunda quincena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9   </w:t>
            </w:r>
            <w:r>
              <w:rPr>
                <w:rFonts w:ascii="Calibri" w:cs="Calibri" w:eastAsia="Calibri" w:hAnsi="Calibri"/>
                <w:b/>
                <w:bCs/>
                <w:i w:val="false"/>
                <w:iCs w:val="false"/>
                <w:caps/>
                <w:color w:val="FFFFFF"/>
                <w:spacing w:val="14"/>
                <w:sz w:val="22"/>
                <w:szCs w:val="22"/>
              </w:rPr>
              <w:t xml:space="preserve">Documentos clave</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300"/>
        <w:gridCol w:w="4400"/>
        <w:gridCol w:w="3372"/>
      </w:tblGrid>
      <w:tr>
        <w:trPr>
          <w:tblHeader/>
        </w:trPr>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Sigla</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 y descripción</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Factura Electrónica. Documento de venta emitido desde Siigo y reportado a la DIAN.</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Caja. Registra el cobro recibido de un cliente y las facturas que cubre.</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RP</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Pago. Registra el pago ejecutado a un proveedor contra la CXP.</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DS</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Se genera únicamente a partir del invoice del proveedor del exterior.</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23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Cuenta por Pagar — Cuenta 23. Obligación causada que habilita el pago posterior.</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Luis · Paga: 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ANT 13</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Anticipo — Cuenta 13. Salida de dinero sin soporte documental, pendiente de legalización.</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 la DIAN donde se validan las facturas electrónicas emitidas.</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V.B.: Cristian</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TDC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 Extracto hacia el día 6; su conciliación requiere definición de viáticos.</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Define: Edgar</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EESF</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Situación Financiera. Activo, pasivo y patrimonio validados contra Siigo.</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Descomposición de un pago de crédito</w:t>
      </w:r>
    </w:p>
    <w:p>
      <w:pPr>
        <w:spacing w:after="140" w:before="0" w:line="264"/>
      </w:pPr>
      <w:r>
        <w:rPr>
          <w:rFonts w:ascii="Calibri" w:cs="Calibri" w:eastAsia="Calibri" w:hAnsi="Calibri"/>
          <w:b w:val="false"/>
          <w:bCs w:val="false"/>
          <w:i w:val="false"/>
          <w:iCs w:val="false"/>
          <w:caps w:val="false"/>
          <w:color w:val="374151"/>
          <w:sz w:val="21"/>
          <w:szCs w:val="21"/>
        </w:rPr>
        <w:t xml:space="preserve">Referencia rápida de las porciones en que se divide la cuota de una obligación financiera.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Porción</w:t>
            </w:r>
          </w:p>
        </w:tc>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representa</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 contable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Capital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Abono que reduce la deuda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Disminuye el pasivo de la obligación financiera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Intereses</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Costo del dinero en el período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financiero del mes</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Póliza y seguro de deudor</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Cobertura exigida por el banco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del período, cuenta propia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Comisiones y estudio</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Cargos administrativos del banco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bancario del período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todas las porciones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Debe igualar exactamente la salida de dinero del banco</w:t>
            </w:r>
          </w:p>
        </w:tc>
      </w:tr>
    </w:tbl>
    <w:p>
      <w:pPr>
        <w:spacing w:after="200"/>
      </w:pPr>
    </w:p>
    <w:p>
      <w:pPr>
        <w:spacing w:after="60" w:line="240"/>
        <w:jc w:val="center"/>
      </w:pPr>
      <w:r>
        <w:rPr>
          <w:rFonts w:ascii="Calibri" w:cs="Calibri" w:eastAsia="Calibri" w:hAnsi="Calibri"/>
          <w:b w:val="false"/>
          <w:bCs w:val="false"/>
          <w:i/>
          <w:iCs/>
          <w:caps w:val="false"/>
          <w:color w:val="64748B"/>
          <w:sz w:val="18"/>
          <w:szCs w:val="18"/>
        </w:rPr>
        <w:t xml:space="preserve">Documento preparado por Cristian Bernal — Contador · IES</w:t>
      </w:r>
    </w:p>
    <w:p>
      <w:pPr>
        <w:spacing w:after="0" w:line="240"/>
        <w:jc w:val="center"/>
      </w:pPr>
      <w:r>
        <w:rPr>
          <w:rFonts w:ascii="Calibri" w:cs="Calibri" w:eastAsia="Calibri" w:hAnsi="Calibri"/>
          <w:b w:val="false"/>
          <w:bCs w:val="false"/>
          <w:i/>
          <w:iCs/>
          <w:caps w:val="false"/>
          <w:color w:val="64748B"/>
          <w:sz w:val="18"/>
          <w:szCs w:val="18"/>
        </w:rPr>
        <w:t xml:space="preserve">10 de agosto de 2026</w:t>
      </w:r>
    </w:p>
    <w:sectPr>
      <w:headerReference w:type="default" r:id="rId7"/>
      <w:footerReference w:type="default" r:id="rId8"/>
      <w:pgSz w:w="11906" w:h="16838" w:orient="portrait"/>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Uso interno 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Manual de Procesos Contables — Equipo completo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Procesos Contables — Manual completo del equipo</dc:title>
  <dc:creator>IES — Intelligent Electronic Solutions</dc:creator>
  <dc:description>Responsabilidades por persona, puntos de cruce y ciclo mensual</dc:description>
  <cp:lastModifiedBy>Un-named</cp:lastModifiedBy>
  <cp:revision>1</cp:revision>
  <dcterms:created xsi:type="dcterms:W3CDTF">2026-08-10T22:23:31.586Z</dcterms:created>
  <dcterms:modified xsi:type="dcterms:W3CDTF">2026-08-10T22:23:31.586Z</dcterms:modified>
</cp:coreProperties>
</file>

<file path=docProps/custom.xml><?xml version="1.0" encoding="utf-8"?>
<Properties xmlns="http://schemas.openxmlformats.org/officeDocument/2006/custom-properties" xmlns:vt="http://schemas.openxmlformats.org/officeDocument/2006/docPropsVTypes"/>
</file>