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B3A6B" w:color="auto" w:val="clear"/>
            <w:tcMar>
              <w:top w:type="dxa" w:w="420"/>
              <w:left w:type="dxa" w:w="380"/>
              <w:bottom w:type="dxa" w:w="420"/>
              <w:right w:type="dxa" w:w="380"/>
            </w:tcMar>
          </w:tcPr>
          <w:p>
            <w:pPr>
              <w:spacing w:after="60" w:line="300"/>
            </w:pPr>
            <w:r>
              <w:rPr>
                <w:rFonts w:ascii="Calibri" w:cs="Calibri" w:eastAsia="Calibri" w:hAnsi="Calibri"/>
                <w:b/>
                <w:bCs/>
                <w:i w:val="false"/>
                <w:iCs w:val="false"/>
                <w:caps w:val="false"/>
                <w:color w:val="FFFFFF"/>
                <w:sz w:val="56"/>
                <w:szCs w:val="56"/>
              </w:rPr>
              <w:t xml:space="preserve">IES</w:t>
            </w:r>
          </w:p>
          <w:p>
            <w:pPr>
              <w:spacing w:after="300" w:line="240"/>
            </w:pPr>
            <w:r>
              <w:rPr>
                <w:rFonts w:ascii="Calibri" w:cs="Calibri" w:eastAsia="Calibri" w:hAnsi="Calibri"/>
                <w:b w:val="false"/>
                <w:bCs w:val="false"/>
                <w:i w:val="false"/>
                <w:iCs w:val="false"/>
                <w:caps w:val="false"/>
                <w:color w:val="C9D8EE"/>
                <w:spacing w:val="20"/>
                <w:sz w:val="20"/>
                <w:szCs w:val="20"/>
              </w:rPr>
              <w:t xml:space="preserve">Intelligent Electronic Solutions</w:t>
            </w:r>
          </w:p>
          <w:p>
            <w:pPr>
              <w:spacing w:after="130" w:line="340"/>
            </w:pPr>
            <w:r>
              <w:rPr>
                <w:rFonts w:ascii="Calibri" w:cs="Calibri" w:eastAsia="Calibri" w:hAnsi="Calibri"/>
                <w:b/>
                <w:bCs/>
                <w:i w:val="false"/>
                <w:iCs w:val="false"/>
                <w:caps w:val="false"/>
                <w:color w:val="FFFFFF"/>
                <w:sz w:val="40"/>
                <w:szCs w:val="40"/>
              </w:rPr>
              <w:t xml:space="preserve">Manual de Procesos Contables</w:t>
            </w:r>
          </w:p>
          <w:p>
            <w:pPr>
              <w:spacing w:after="90" w:line="300"/>
            </w:pPr>
            <w:r>
              <w:rPr>
                <w:rFonts w:ascii="Calibri" w:cs="Calibri" w:eastAsia="Calibri" w:hAnsi="Calibri"/>
                <w:b w:val="false"/>
                <w:bCs w:val="false"/>
                <w:i w:val="false"/>
                <w:iCs w:val="false"/>
                <w:caps w:val="false"/>
                <w:color w:val="C9D8EE"/>
                <w:sz w:val="26"/>
                <w:szCs w:val="26"/>
              </w:rPr>
              <w:t xml:space="preserve">Manual completo del equipo</w:t>
            </w:r>
          </w:p>
          <w:p>
            <w:pPr>
              <w:spacing w:after="0" w:line="260"/>
            </w:pPr>
            <w:r>
              <w:rPr>
                <w:rFonts w:ascii="Calibri" w:cs="Calibri" w:eastAsia="Calibri" w:hAnsi="Calibri"/>
                <w:b w:val="false"/>
                <w:bCs w:val="false"/>
                <w:i/>
                <w:iCs/>
                <w:caps w:val="false"/>
                <w:color w:val="9FB8DA"/>
                <w:sz w:val="20"/>
                <w:szCs w:val="20"/>
              </w:rPr>
              <w:t xml:space="preserve">Responsabilidades por persona, puntos de cruce y ciclo mensual</w:t>
            </w:r>
          </w:p>
        </w:tc>
      </w:tr>
    </w:tbl>
    <w:p>
      <w:pPr>
        <w:spacing w:after="20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6672"/>
      </w:tblGrid>
      <w:tr>
        <w:trPr>
          <w:tblHeader/>
        </w:trPr>
        <w:tc>
          <w:tcPr>
            <w:tcW w:type="dxa" w:w="24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Campo</w:t>
            </w:r>
          </w:p>
        </w:tc>
        <w:tc>
          <w:tcPr>
            <w:tcW w:type="dxa" w:w="66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Detalle</w:t>
            </w:r>
          </w:p>
        </w:tc>
      </w:tr>
      <w:tr>
        <w:tc>
          <w:tcPr>
            <w:tcW w:type="dxa" w:w="2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Alcance</w:t>
            </w:r>
          </w:p>
        </w:tc>
        <w:tc>
          <w:tcPr>
            <w:tcW w:type="dxa" w:w="6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Los cinco roles del ciclo contable mensual: Facturación, Automatización, Tesorería, Auxiliar Contable y Contaduría</w:t>
            </w:r>
          </w:p>
        </w:tc>
      </w:tr>
      <w:tr>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Preparado por</w:t>
            </w:r>
          </w:p>
        </w:tc>
        <w:tc>
          <w:tcPr>
            <w:tcW w:type="dxa" w:w="66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 Bernal — Contador</w:t>
            </w:r>
          </w:p>
        </w:tc>
      </w:tr>
      <w:tr>
        <w:tc>
          <w:tcPr>
            <w:tcW w:type="dxa" w:w="2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Sistema</w:t>
            </w:r>
          </w:p>
        </w:tc>
        <w:tc>
          <w:tcPr>
            <w:tcW w:type="dxa" w:w="6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Siigo ERP · DIAN · RADIAN</w:t>
            </w:r>
          </w:p>
        </w:tc>
      </w:tr>
      <w:tr>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Fecha</w:t>
            </w:r>
          </w:p>
        </w:tc>
        <w:tc>
          <w:tcPr>
            <w:tcW w:type="dxa" w:w="66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11 de agosto de 2026</w:t>
            </w:r>
          </w:p>
        </w:tc>
      </w:tr>
      <w:tr>
        <w:tc>
          <w:tcPr>
            <w:tcW w:type="dxa" w:w="2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Vigencia</w:t>
            </w:r>
          </w:p>
        </w:tc>
        <w:tc>
          <w:tcPr>
            <w:tcW w:type="dxa" w:w="6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Ciclo contable mensual — aplica todos los meses del año</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B3A6B"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   </w:t>
            </w:r>
            <w:r>
              <w:rPr>
                <w:rFonts w:ascii="Calibri" w:cs="Calibri" w:eastAsia="Calibri" w:hAnsi="Calibri"/>
                <w:b/>
                <w:bCs/>
                <w:i w:val="false"/>
                <w:iCs w:val="false"/>
                <w:caps/>
                <w:color w:val="FFFFFF"/>
                <w:spacing w:val="14"/>
                <w:sz w:val="22"/>
                <w:szCs w:val="22"/>
              </w:rPr>
              <w:t xml:space="preserve">Contenido</w:t>
            </w:r>
          </w:p>
        </w:tc>
      </w:tr>
    </w:tbl>
    <w:p>
      <w:pPr>
        <w:spacing w:after="11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900"/>
        <w:gridCol w:w="4400"/>
        <w:gridCol w:w="3772"/>
      </w:tblGrid>
      <w:tr>
        <w:trPr>
          <w:tblHeader/>
        </w:trPr>
        <w:tc>
          <w:tcPr>
            <w:tcW w:type="dxa" w:w="9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Sección</w:t>
            </w:r>
          </w:p>
        </w:tc>
        <w:tc>
          <w:tcPr>
            <w:tcW w:type="dxa" w:w="44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Tema</w:t>
            </w:r>
          </w:p>
        </w:tc>
        <w:tc>
          <w:tcPr>
            <w:tcW w:type="dxa" w:w="37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Qué encuentra aquí</w:t>
            </w:r>
          </w:p>
        </w:tc>
      </w:tr>
      <w:tr>
        <w:tc>
          <w:tcPr>
            <w:tcW w:type="dxa" w:w="9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w:t>
            </w:r>
          </w:p>
        </w:tc>
        <w:tc>
          <w:tcPr>
            <w:tcW w:type="dxa" w:w="4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Propósito y mapa general</w:t>
            </w:r>
          </w:p>
        </w:tc>
        <w:tc>
          <w:tcPr>
            <w:tcW w:type="dxa" w:w="37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La cadena del mes y las reglas que gobiernan el proceso</w:t>
            </w:r>
          </w:p>
        </w:tc>
      </w:tr>
      <w:tr>
        <w:tc>
          <w:tcPr>
            <w:tcW w:type="dxa" w:w="9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w:t>
            </w:r>
          </w:p>
        </w:tc>
        <w:tc>
          <w:tcPr>
            <w:tcW w:type="dxa" w:w="4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Beatriz · Insumos de facturación</w:t>
            </w:r>
          </w:p>
        </w:tc>
        <w:tc>
          <w:tcPr>
            <w:tcW w:type="dxa" w:w="37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Punto de partida del ciclo y lectura comercial del informe</w:t>
            </w:r>
          </w:p>
        </w:tc>
      </w:tr>
      <w:tr>
        <w:tc>
          <w:tcPr>
            <w:tcW w:type="dxa" w:w="9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3</w:t>
            </w:r>
          </w:p>
        </w:tc>
        <w:tc>
          <w:tcPr>
            <w:tcW w:type="dxa" w:w="4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Edgar Metaute · Automatización y Gerencia</w:t>
            </w:r>
          </w:p>
        </w:tc>
        <w:tc>
          <w:tcPr>
            <w:tcW w:type="dxa" w:w="37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Emisión electrónica, definición de viáticos y feedback del informe</w:t>
            </w:r>
          </w:p>
        </w:tc>
      </w:tr>
      <w:tr>
        <w:tc>
          <w:tcPr>
            <w:tcW w:type="dxa" w:w="9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4</w:t>
            </w:r>
          </w:p>
        </w:tc>
        <w:tc>
          <w:tcPr>
            <w:tcW w:type="dxa" w:w="4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 Sanches · Tesorería</w:t>
            </w:r>
          </w:p>
        </w:tc>
        <w:tc>
          <w:tcPr>
            <w:tcW w:type="dxa" w:w="37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Registro del dinero, pagos avanzados y desembolsos críticos</w:t>
            </w:r>
          </w:p>
        </w:tc>
      </w:tr>
      <w:tr>
        <w:tc>
          <w:tcPr>
            <w:tcW w:type="dxa" w:w="9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5</w:t>
            </w:r>
          </w:p>
        </w:tc>
        <w:tc>
          <w:tcPr>
            <w:tcW w:type="dxa" w:w="4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S. Amador · Auxiliar Contable</w:t>
            </w:r>
          </w:p>
        </w:tc>
        <w:tc>
          <w:tcPr>
            <w:tcW w:type="dxa" w:w="37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Causaciones, las dos conciliaciones, RADIAN y archivo plano</w:t>
            </w:r>
          </w:p>
        </w:tc>
      </w:tr>
      <w:tr>
        <w:tc>
          <w:tcPr>
            <w:tcW w:type="dxa" w:w="9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6</w:t>
            </w:r>
          </w:p>
        </w:tc>
        <w:tc>
          <w:tcPr>
            <w:tcW w:type="dxa" w:w="4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 Bernal · Contaduría</w:t>
            </w:r>
          </w:p>
        </w:tc>
        <w:tc>
          <w:tcPr>
            <w:tcW w:type="dxa" w:w="37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Cierre, estados financieros, dashboard y proceso con socios</w:t>
            </w:r>
          </w:p>
        </w:tc>
      </w:tr>
      <w:tr>
        <w:tc>
          <w:tcPr>
            <w:tcW w:type="dxa" w:w="9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7</w:t>
            </w:r>
          </w:p>
        </w:tc>
        <w:tc>
          <w:tcPr>
            <w:tcW w:type="dxa" w:w="4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Puntos de cruce del equipo</w:t>
            </w:r>
          </w:p>
        </w:tc>
        <w:tc>
          <w:tcPr>
            <w:tcW w:type="dxa" w:w="37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Los 11 momentos donde una persona depende de otra</w:t>
            </w:r>
          </w:p>
        </w:tc>
      </w:tr>
      <w:tr>
        <w:tc>
          <w:tcPr>
            <w:tcW w:type="dxa" w:w="9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8</w:t>
            </w:r>
          </w:p>
        </w:tc>
        <w:tc>
          <w:tcPr>
            <w:tcW w:type="dxa" w:w="4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Cronograma mensual</w:t>
            </w:r>
          </w:p>
        </w:tc>
        <w:tc>
          <w:tcPr>
            <w:tcW w:type="dxa" w:w="37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El mes completo con los cinco roles en paralelo</w:t>
            </w:r>
          </w:p>
        </w:tc>
      </w:tr>
      <w:tr>
        <w:tc>
          <w:tcPr>
            <w:tcW w:type="dxa" w:w="9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9</w:t>
            </w:r>
          </w:p>
        </w:tc>
        <w:tc>
          <w:tcPr>
            <w:tcW w:type="dxa" w:w="4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Documentos clave</w:t>
            </w:r>
          </w:p>
        </w:tc>
        <w:tc>
          <w:tcPr>
            <w:tcW w:type="dxa" w:w="37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Glosario y descomposición de un pago de crédito</w:t>
            </w:r>
          </w:p>
        </w:tc>
      </w:tr>
    </w:tbl>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Convenciones del documento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Cada sección de persona abre con su compromiso de inicio a fin, seguido de la tabla de procesos con fechas y documento.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El bloque "Riesgo si no se cumple" señala qué se rompe aguas abajo cuando esa responsabilidad se retrasa.</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Los rangos de días son días calendario del mes. "Todo el mes" significa del día 1 al último día, sea 28, 30 o 31.</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Las fechas coinciden exactamente con las de la aplicación de seguimiento y con el calendario en Excel.</w:t>
      </w:r>
    </w:p>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B3A6B"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1   </w:t>
            </w:r>
            <w:r>
              <w:rPr>
                <w:rFonts w:ascii="Calibri" w:cs="Calibri" w:eastAsia="Calibri" w:hAnsi="Calibri"/>
                <w:b/>
                <w:bCs/>
                <w:i w:val="false"/>
                <w:iCs w:val="false"/>
                <w:caps/>
                <w:color w:val="FFFFFF"/>
                <w:spacing w:val="14"/>
                <w:sz w:val="22"/>
                <w:szCs w:val="22"/>
              </w:rPr>
              <w:t xml:space="preserve">Propósito y mapa general</w:t>
            </w:r>
          </w:p>
        </w:tc>
      </w:tr>
    </w:tbl>
    <w:p>
      <w:pPr>
        <w:spacing w:after="110"/>
      </w:pPr>
    </w:p>
    <w:p>
      <w:pPr>
        <w:spacing w:after="95" w:before="0" w:line="264"/>
      </w:pPr>
      <w:r>
        <w:rPr>
          <w:rFonts w:ascii="Calibri" w:cs="Calibri" w:eastAsia="Calibri" w:hAnsi="Calibri"/>
          <w:b w:val="false"/>
          <w:bCs w:val="false"/>
          <w:i w:val="false"/>
          <w:iCs w:val="false"/>
          <w:caps w:val="false"/>
          <w:color w:val="374151"/>
          <w:sz w:val="21"/>
          <w:szCs w:val="21"/>
        </w:rPr>
        <w:t xml:space="preserve">Este manual describe el ciclo contable mensual completo de IES: qué hace cada persona, en qué fecha del mes lo hace, con qué documento lo soporta y en qué momento su trabajo se convierte en el insumo de otra persona.</w:t>
      </w:r>
    </w:p>
    <w:p>
      <w:pPr>
        <w:spacing w:after="95" w:before="0" w:line="264"/>
      </w:pPr>
      <w:r>
        <w:rPr>
          <w:rFonts w:ascii="Calibri" w:cs="Calibri" w:eastAsia="Calibri" w:hAnsi="Calibri"/>
          <w:b w:val="false"/>
          <w:bCs w:val="false"/>
          <w:i w:val="false"/>
          <w:iCs w:val="false"/>
          <w:caps w:val="false"/>
          <w:color w:val="374151"/>
          <w:sz w:val="21"/>
          <w:szCs w:val="21"/>
        </w:rPr>
        <w:t xml:space="preserve">El proceso es una cadena. Arranca en el área comercial con los insumos de facturación, pasa por la emisión electrónica, sigue con el registro del dinero en Tesorería y la causación del Auxiliar Contable, y cierra en Contaduría con los estados financieros y el informe a socios. Cuando un eslabón se retrasa, el efecto no se queda en esa persona: se traslada al cierre del mes.</w:t>
      </w:r>
    </w:p>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La cadena del mes</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1500"/>
        <w:gridCol w:w="2400"/>
        <w:gridCol w:w="5172"/>
      </w:tblGrid>
      <w:tr>
        <w:trPr>
          <w:tblHeader/>
        </w:trPr>
        <w:tc>
          <w:tcPr>
            <w:tcW w:type="dxa" w:w="15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Orden</w:t>
            </w:r>
          </w:p>
        </w:tc>
        <w:tc>
          <w:tcPr>
            <w:tcW w:type="dxa" w:w="24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Persona</w:t>
            </w:r>
          </w:p>
        </w:tc>
        <w:tc>
          <w:tcPr>
            <w:tcW w:type="dxa" w:w="51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Su aporte a la cadena</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w:t>
            </w:r>
          </w:p>
        </w:tc>
        <w:tc>
          <w:tcPr>
            <w:tcW w:type="dxa" w:w="2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Beatriz</w:t>
            </w:r>
          </w:p>
        </w:tc>
        <w:tc>
          <w:tcPr>
            <w:tcW w:type="dxa" w:w="51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Entrega el insumo de facturación hacia el día 27, con corte al cierre del período.</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w:t>
            </w:r>
          </w:p>
        </w:tc>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Edgar Metaute</w:t>
            </w:r>
          </w:p>
        </w:tc>
        <w:tc>
          <w:tcPr>
            <w:tcW w:type="dxa" w:w="51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Monta el archivo plano los días 29 y 30 y emite las facturas electrónicas los días 1 al 3.</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3</w:t>
            </w:r>
          </w:p>
        </w:tc>
        <w:tc>
          <w:tcPr>
            <w:tcW w:type="dxa" w:w="2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 Sanches</w:t>
            </w:r>
          </w:p>
        </w:tc>
        <w:tc>
          <w:tcPr>
            <w:tcW w:type="dxa" w:w="51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Cierra y valida el mes anterior en los días 1 a 5, y desde el día 6 registra lo que entra y ejecuta lo que sale.</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4</w:t>
            </w:r>
          </w:p>
        </w:tc>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S. Amador</w:t>
            </w:r>
          </w:p>
        </w:tc>
        <w:tc>
          <w:tcPr>
            <w:tcW w:type="dxa" w:w="51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Causa, concilia y deja todo soportado contablemente.</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5</w:t>
            </w:r>
          </w:p>
        </w:tc>
        <w:tc>
          <w:tcPr>
            <w:tcW w:type="dxa" w:w="2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 Bernal</w:t>
            </w:r>
          </w:p>
        </w:tc>
        <w:tc>
          <w:tcPr>
            <w:tcW w:type="dxa" w:w="51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Valida, construye los estados financieros y entrega el informe.</w:t>
            </w:r>
          </w:p>
        </w:tc>
      </w:tr>
    </w:tbl>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Reglas que gobiernan todo el proceso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Ningún desembolso se ejecuta sin causación previa y sin soporte documental válido.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Cuando hay orden de pago sin soporte, el registro va a Anticipos Cuenta 13 y queda pendiente de legalización.</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El Documento Soporte del exterior solo se genera contra el invoice. No sirve cotización, contrato ni proyecto.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El informe a socios no sale sin los comentarios comerciales de Beatriz ni sin el feedback de Gerencia.</w:t>
      </w:r>
    </w:p>
    <w:p>
      <w:pPr>
        <w:spacing w:after="110"/>
      </w:pPr>
    </w:p>
    <w:tbl>
      <w:tblPr>
        <w:tblW w:type="dxa" w:w="9072"/>
        <w:tblBorders>
          <w:top w:val="single" w:color="2D5AA0" w:sz="2"/>
          <w:left w:val="single" w:color="2D5AA0" w:sz="18"/>
          <w:bottom w:val="single" w:color="2D5AA0" w:sz="2"/>
          <w:right w:val="single" w:color="2D5AA0" w:sz="2"/>
          <w:insideH w:val="none" w:color="auto" w:sz="0"/>
          <w:insideV w:val="none" w:color="auto" w:sz="0"/>
        </w:tblBorders>
      </w:tblPr>
      <w:tblGrid>
        <w:gridCol w:w="9072"/>
      </w:tblGrid>
      <w:tr>
        <w:tc>
          <w:tcPr>
            <w:tcW w:type="dxa" w:w="9072"/>
            <w:shd w:fill="ECF2FA" w:color="auto" w:val="clear"/>
            <w:tcMar>
              <w:top w:type="dxa" w:w="110"/>
              <w:left w:type="dxa" w:w="210"/>
              <w:bottom w:type="dxa" w:w="110"/>
              <w:right w:type="dxa" w:w="210"/>
            </w:tcMar>
          </w:tcPr>
          <w:p>
            <w:pPr>
              <w:spacing w:after="62" w:line="230"/>
            </w:pPr>
            <w:r>
              <w:rPr>
                <w:rFonts w:ascii="Calibri" w:cs="Calibri" w:eastAsia="Calibri" w:hAnsi="Calibri"/>
                <w:b/>
                <w:bCs/>
                <w:i w:val="false"/>
                <w:iCs w:val="false"/>
                <w:caps/>
                <w:color w:val="1B3A6B"/>
                <w:spacing w:val="16"/>
                <w:sz w:val="19"/>
                <w:szCs w:val="19"/>
              </w:rPr>
              <w:t xml:space="preserve">Sobre los meses de IVA</w:t>
            </w:r>
          </w:p>
          <w:p>
            <w:pPr>
              <w:spacing w:after="0" w:line="262"/>
            </w:pPr>
            <w:r>
              <w:rPr>
                <w:rFonts w:ascii="Calibri" w:cs="Calibri" w:eastAsia="Calibri" w:hAnsi="Calibri"/>
                <w:b w:val="false"/>
                <w:bCs w:val="false"/>
                <w:i w:val="false"/>
                <w:iCs w:val="false"/>
                <w:caps w:val="false"/>
                <w:color w:val="374151"/>
                <w:sz w:val="20"/>
                <w:szCs w:val="20"/>
              </w:rPr>
              <w:t xml:space="preserve">La declaración bimestral de IVA aplica en enero, marzo, mayo, julio, septiembre y noviembre. En esos meses el Contador tiene una tarea adicional entre los días 15 y 21. El resto del ciclo es idéntico todos los meses.</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0D6866" w:color="auto" w:val="clear"/>
            <w:tcMar>
              <w:top w:type="dxa" w:w="125"/>
              <w:left w:type="dxa" w:w="210"/>
              <w:bottom w:type="dxa" w:w="125"/>
              <w:right w:type="dxa" w:w="210"/>
            </w:tcMar>
          </w:tcPr>
          <w:p>
            <w:pPr>
              <w:spacing w:after="70" w:line="220"/>
            </w:pPr>
            <w:r>
              <w:rPr>
                <w:rFonts w:ascii="Calibri" w:cs="Calibri" w:eastAsia="Calibri" w:hAnsi="Calibri"/>
                <w:b/>
                <w:bCs/>
                <w:i w:val="false"/>
                <w:iCs w:val="false"/>
                <w:caps/>
                <w:color w:val="B3D6D5"/>
                <w:spacing w:val="24"/>
                <w:sz w:val="17"/>
                <w:szCs w:val="17"/>
              </w:rPr>
              <w:t xml:space="preserve">Sección 2</w:t>
            </w:r>
          </w:p>
          <w:p>
            <w:pPr>
              <w:spacing w:after="40" w:line="260"/>
            </w:pPr>
            <w:r>
              <w:rPr>
                <w:rFonts w:ascii="Calibri" w:cs="Calibri" w:eastAsia="Calibri" w:hAnsi="Calibri"/>
                <w:b/>
                <w:bCs/>
                <w:i w:val="false"/>
                <w:iCs w:val="false"/>
                <w:caps w:val="false"/>
                <w:color w:val="FFFFFF"/>
                <w:sz w:val="28"/>
                <w:szCs w:val="28"/>
              </w:rPr>
              <w:t xml:space="preserve">Beatriz</w:t>
            </w:r>
          </w:p>
          <w:p>
            <w:pPr>
              <w:spacing w:after="0" w:line="220"/>
            </w:pPr>
            <w:r>
              <w:rPr>
                <w:rFonts w:ascii="Calibri" w:cs="Calibri" w:eastAsia="Calibri" w:hAnsi="Calibri"/>
                <w:b w:val="false"/>
                <w:bCs w:val="false"/>
                <w:i w:val="false"/>
                <w:iCs w:val="false"/>
                <w:caps/>
                <w:color w:val="FFFFFF"/>
                <w:spacing w:val="20"/>
                <w:sz w:val="19"/>
                <w:szCs w:val="19"/>
              </w:rPr>
              <w:t xml:space="preserve">Insumos Facturación</w:t>
            </w:r>
          </w:p>
        </w:tc>
      </w:tr>
    </w:tbl>
    <w:p>
      <w:pPr>
        <w:spacing w:after="120"/>
      </w:pPr>
    </w:p>
    <w:p>
      <w:pPr>
        <w:spacing w:after="95" w:before="0" w:line="264"/>
      </w:pPr>
      <w:r>
        <w:rPr>
          <w:rFonts w:ascii="Calibri" w:cs="Calibri" w:eastAsia="Calibri" w:hAnsi="Calibri"/>
          <w:b w:val="false"/>
          <w:bCs w:val="false"/>
          <w:i w:val="false"/>
          <w:iCs w:val="false"/>
          <w:caps w:val="false"/>
          <w:color w:val="374151"/>
          <w:sz w:val="21"/>
          <w:szCs w:val="21"/>
        </w:rPr>
        <w:t xml:space="preserve">El área comercial interviene en dos momentos puntuales del ciclo. El primero es la entrega del insumo de facturación hacia el día 27: sin él no hay archivo plano ni factura electrónica el día 1. El segundo es el análisis de variación de ingresos entre los días 9 y 12, que explica por qué la facturación se movió como se movió frente al mes anterior.</w:t>
      </w:r>
    </w:p>
    <w:tbl>
      <w:tblPr>
        <w:tblW w:type="dxa" w:w="9072"/>
        <w:tblBorders>
          <w:top w:val="single" w:color="0D6866" w:sz="2"/>
          <w:left w:val="single" w:color="0D6866" w:sz="18"/>
          <w:bottom w:val="single" w:color="0D6866" w:sz="2"/>
          <w:right w:val="single" w:color="0D6866" w:sz="2"/>
          <w:insideH w:val="none" w:color="auto" w:sz="0"/>
          <w:insideV w:val="none" w:color="auto" w:sz="0"/>
        </w:tblBorders>
      </w:tblPr>
      <w:tblGrid>
        <w:gridCol w:w="9072"/>
      </w:tblGrid>
      <w:tr>
        <w:tc>
          <w:tcPr>
            <w:tcW w:type="dxa" w:w="9072"/>
            <w:shd w:fill="EBF5F5" w:color="auto" w:val="clear"/>
            <w:tcMar>
              <w:top w:type="dxa" w:w="110"/>
              <w:left w:type="dxa" w:w="210"/>
              <w:bottom w:type="dxa" w:w="110"/>
              <w:right w:type="dxa" w:w="210"/>
            </w:tcMar>
          </w:tcPr>
          <w:p>
            <w:pPr>
              <w:spacing w:after="62" w:line="230"/>
            </w:pPr>
            <w:r>
              <w:rPr>
                <w:rFonts w:ascii="Calibri" w:cs="Calibri" w:eastAsia="Calibri" w:hAnsi="Calibri"/>
                <w:b/>
                <w:bCs/>
                <w:i w:val="false"/>
                <w:iCs w:val="false"/>
                <w:caps/>
                <w:color w:val="0D6866"/>
                <w:spacing w:val="16"/>
                <w:sz w:val="19"/>
                <w:szCs w:val="19"/>
              </w:rPr>
              <w:t xml:space="preserve">Compromiso de inicio a fin</w:t>
            </w:r>
          </w:p>
          <w:p>
            <w:pPr>
              <w:spacing w:after="0" w:line="262"/>
            </w:pPr>
            <w:r>
              <w:rPr>
                <w:rFonts w:ascii="Calibri" w:cs="Calibri" w:eastAsia="Calibri" w:hAnsi="Calibri"/>
                <w:b w:val="false"/>
                <w:bCs w:val="false"/>
                <w:i w:val="false"/>
                <w:iCs w:val="false"/>
                <w:caps w:val="false"/>
                <w:color w:val="374151"/>
                <w:sz w:val="20"/>
                <w:szCs w:val="20"/>
              </w:rPr>
              <w:t xml:space="preserve">Entregar el insumo de facturación hacia el día 27 para que la facturación del día 1 salga sin demoras, y sentarse con el Contador entre los días 9 y 12 para explicar la variación de ingresos que se reporta a socios.</w:t>
            </w:r>
          </w:p>
        </w:tc>
      </w:tr>
    </w:tbl>
    <w:p>
      <w:pPr>
        <w:pBdr>
          <w:bottom w:val="single" w:color="CBD5E1" w:sz="6" w:space="6"/>
        </w:pBdr>
        <w:spacing w:after="80" w:before="200" w:line="250"/>
      </w:pPr>
      <w:r>
        <w:rPr>
          <w:rFonts w:ascii="Calibri" w:cs="Calibri" w:eastAsia="Calibri" w:hAnsi="Calibri"/>
          <w:b/>
          <w:bCs/>
          <w:i w:val="false"/>
          <w:iCs w:val="false"/>
          <w:caps w:val="false"/>
          <w:color w:val="0D6866"/>
          <w:sz w:val="23"/>
          <w:szCs w:val="23"/>
        </w:rPr>
        <w:t xml:space="preserve">Procesos a cargo</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1500"/>
        <w:gridCol w:w="4300"/>
        <w:gridCol w:w="3272"/>
      </w:tblGrid>
      <w:tr>
        <w:trPr>
          <w:tblHeader/>
        </w:trPr>
        <w:tc>
          <w:tcPr>
            <w:tcW w:type="dxa" w:w="1500"/>
            <w:shd w:fill="0D6866"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Días</w:t>
            </w:r>
          </w:p>
        </w:tc>
        <w:tc>
          <w:tcPr>
            <w:tcW w:type="dxa" w:w="4300"/>
            <w:shd w:fill="0D6866"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Proceso</w:t>
            </w:r>
          </w:p>
        </w:tc>
        <w:tc>
          <w:tcPr>
            <w:tcW w:type="dxa" w:w="3272"/>
            <w:shd w:fill="0D6866"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Documento</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9 al 12</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Análisis de variación de ingresos — sesión con el Contador</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26 al 28</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Entrega del insumo de facturación — cierre del período</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bl>
    <w:p>
      <w:pPr>
        <w:pBdr>
          <w:bottom w:val="single" w:color="CBD5E1" w:sz="6" w:space="6"/>
        </w:pBdr>
        <w:spacing w:after="80" w:before="200" w:line="250"/>
      </w:pPr>
      <w:r>
        <w:rPr>
          <w:rFonts w:ascii="Calibri" w:cs="Calibri" w:eastAsia="Calibri" w:hAnsi="Calibri"/>
          <w:b/>
          <w:bCs/>
          <w:i w:val="false"/>
          <w:iCs w:val="false"/>
          <w:caps w:val="false"/>
          <w:color w:val="0D6866"/>
          <w:sz w:val="23"/>
          <w:szCs w:val="23"/>
        </w:rPr>
        <w:t xml:space="preserve">Detalle de cada proceso</w:t>
      </w:r>
    </w:p>
    <w:p>
      <w:pPr>
        <w:spacing w:after="58" w:before="150" w:line="215"/>
      </w:pPr>
      <w:r>
        <w:rPr>
          <w:rFonts w:ascii="Calibri" w:cs="Calibri" w:eastAsia="Calibri" w:hAnsi="Calibri"/>
          <w:b/>
          <w:bCs/>
          <w:i w:val="false"/>
          <w:iCs w:val="false"/>
          <w:caps/>
          <w:color w:val="0D6866"/>
          <w:spacing w:val="24"/>
          <w:sz w:val="17"/>
          <w:szCs w:val="17"/>
        </w:rPr>
        <w:t xml:space="preserve">Entrega del insumo de facturación · Días 26 al 28</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Consolidar las cantidades, valores y tipos del período con corte al cierre.</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Entregar hacia el día 27, para que Luis arme el archivo plano y Edgar lo procese en Siigo.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La facturación del día 1 del mes siguiente depende directamente de esta entrega. Si llega tarde, toda la cadena se corre.</w:t>
      </w:r>
    </w:p>
    <w:p>
      <w:pPr>
        <w:spacing w:after="58" w:before="150" w:line="215"/>
      </w:pPr>
      <w:r>
        <w:rPr>
          <w:rFonts w:ascii="Calibri" w:cs="Calibri" w:eastAsia="Calibri" w:hAnsi="Calibri"/>
          <w:b/>
          <w:bCs/>
          <w:i w:val="false"/>
          <w:iCs w:val="false"/>
          <w:caps/>
          <w:color w:val="0D6866"/>
          <w:spacing w:val="24"/>
          <w:sz w:val="17"/>
          <w:szCs w:val="17"/>
        </w:rPr>
        <w:t xml:space="preserve">Análisis de variación de ingresos · Días 9 al 12</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Sentarse con el Contador para revisar el informe de ingresos que va a socios.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Explicar qué variaciones hubo en la facturación frente al mes anterior y a qué se deben.</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Identificar clientes nuevos o perdidos, cambios de volumen y operaciones atípicas del período.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Aportar la proyección comercial del mes en curso.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Estos comentarios se incorporan al informe antes de que pase a Gerencia.</w:t>
      </w:r>
    </w:p>
    <w:p>
      <w:pPr>
        <w:pBdr>
          <w:bottom w:val="single" w:color="CBD5E1" w:sz="6" w:space="6"/>
        </w:pBdr>
        <w:spacing w:after="80" w:before="200" w:line="250"/>
      </w:pPr>
      <w:r>
        <w:rPr>
          <w:rFonts w:ascii="Calibri" w:cs="Calibri" w:eastAsia="Calibri" w:hAnsi="Calibri"/>
          <w:b/>
          <w:bCs/>
          <w:i w:val="false"/>
          <w:iCs w:val="false"/>
          <w:caps w:val="false"/>
          <w:color w:val="0D6866"/>
          <w:sz w:val="23"/>
          <w:szCs w:val="23"/>
        </w:rPr>
        <w:t xml:space="preserve">Riesgo si no se cumple</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3400"/>
        <w:gridCol w:w="5672"/>
      </w:tblGrid>
      <w:tr>
        <w:trPr>
          <w:tblHeader/>
        </w:trPr>
        <w:tc>
          <w:tcPr>
            <w:tcW w:type="dxa" w:w="3400"/>
            <w:shd w:fill="0D6866"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Situación</w:t>
            </w:r>
          </w:p>
        </w:tc>
        <w:tc>
          <w:tcPr>
            <w:tcW w:type="dxa" w:w="5672"/>
            <w:shd w:fill="0D6866"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Qué se rompe aguas abajo</w:t>
            </w:r>
          </w:p>
        </w:tc>
      </w:tr>
      <w:tr>
        <w:tc>
          <w:tcPr>
            <w:tcW w:type="dxa" w:w="3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Insumo de facturación tardío</w:t>
            </w:r>
          </w:p>
        </w:tc>
        <w:tc>
          <w:tcPr>
            <w:tcW w:type="dxa" w:w="5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Edgar no puede emitir la FE en los días 1 a 5 y toda la facturación del mes se corre</w:t>
            </w:r>
          </w:p>
        </w:tc>
      </w:tr>
      <w:tr>
        <w:tc>
          <w:tcPr>
            <w:tcW w:type="dxa" w:w="3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Insumo incompleto o con valores errados</w:t>
            </w:r>
          </w:p>
        </w:tc>
        <w:tc>
          <w:tcPr>
            <w:tcW w:type="dxa" w:w="56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La factura sale mal emitida y hay que anularla ante la DIAN</w:t>
            </w:r>
          </w:p>
        </w:tc>
      </w:tr>
      <w:tr>
        <w:tc>
          <w:tcPr>
            <w:tcW w:type="dxa" w:w="3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No asistir a la sesión del informe</w:t>
            </w:r>
          </w:p>
        </w:tc>
        <w:tc>
          <w:tcPr>
            <w:tcW w:type="dxa" w:w="5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El informe llega a Gerencia y a socios sin la explicación comercial de las cifras</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78350F" w:color="auto" w:val="clear"/>
            <w:tcMar>
              <w:top w:type="dxa" w:w="125"/>
              <w:left w:type="dxa" w:w="210"/>
              <w:bottom w:type="dxa" w:w="125"/>
              <w:right w:type="dxa" w:w="210"/>
            </w:tcMar>
          </w:tcPr>
          <w:p>
            <w:pPr>
              <w:spacing w:after="70" w:line="220"/>
            </w:pPr>
            <w:r>
              <w:rPr>
                <w:rFonts w:ascii="Calibri" w:cs="Calibri" w:eastAsia="Calibri" w:hAnsi="Calibri"/>
                <w:b/>
                <w:bCs/>
                <w:i w:val="false"/>
                <w:iCs w:val="false"/>
                <w:caps/>
                <w:color w:val="DCC5AC"/>
                <w:spacing w:val="24"/>
                <w:sz w:val="17"/>
                <w:szCs w:val="17"/>
              </w:rPr>
              <w:t xml:space="preserve">Sección 3</w:t>
            </w:r>
          </w:p>
          <w:p>
            <w:pPr>
              <w:spacing w:after="40" w:line="260"/>
            </w:pPr>
            <w:r>
              <w:rPr>
                <w:rFonts w:ascii="Calibri" w:cs="Calibri" w:eastAsia="Calibri" w:hAnsi="Calibri"/>
                <w:b/>
                <w:bCs/>
                <w:i w:val="false"/>
                <w:iCs w:val="false"/>
                <w:caps w:val="false"/>
                <w:color w:val="FFFFFF"/>
                <w:sz w:val="28"/>
                <w:szCs w:val="28"/>
              </w:rPr>
              <w:t xml:space="preserve">Edgar Metaute</w:t>
            </w:r>
          </w:p>
          <w:p>
            <w:pPr>
              <w:spacing w:after="0" w:line="220"/>
            </w:pPr>
            <w:r>
              <w:rPr>
                <w:rFonts w:ascii="Calibri" w:cs="Calibri" w:eastAsia="Calibri" w:hAnsi="Calibri"/>
                <w:b w:val="false"/>
                <w:bCs w:val="false"/>
                <w:i w:val="false"/>
                <w:iCs w:val="false"/>
                <w:caps/>
                <w:color w:val="FFFFFF"/>
                <w:spacing w:val="20"/>
                <w:sz w:val="19"/>
                <w:szCs w:val="19"/>
              </w:rPr>
              <w:t xml:space="preserve">Automatización / Siigo</w:t>
            </w:r>
          </w:p>
        </w:tc>
      </w:tr>
    </w:tbl>
    <w:p>
      <w:pPr>
        <w:spacing w:after="120"/>
      </w:pPr>
    </w:p>
    <w:p>
      <w:pPr>
        <w:spacing w:after="95" w:before="0" w:line="264"/>
      </w:pPr>
      <w:r>
        <w:rPr>
          <w:rFonts w:ascii="Calibri" w:cs="Calibri" w:eastAsia="Calibri" w:hAnsi="Calibri"/>
          <w:b w:val="false"/>
          <w:bCs w:val="false"/>
          <w:i w:val="false"/>
          <w:iCs w:val="false"/>
          <w:caps w:val="false"/>
          <w:color w:val="374151"/>
          <w:sz w:val="21"/>
          <w:szCs w:val="21"/>
        </w:rPr>
        <w:t xml:space="preserve">Esta posición combina dos funciones distintas: la operación de facturación electrónica en Siigo y la función de Gerencia. Como operación, convierte los insumos comerciales en facturas emitidas a la DIAN. Como Gerencia, toma dos decisiones que el equipo contable no puede tomar solo: qué gastos de tarjeta son viáticos, y qué ajustes necesita el informe antes de llegar a los socios.</w:t>
      </w:r>
    </w:p>
    <w:tbl>
      <w:tblPr>
        <w:tblW w:type="dxa" w:w="9072"/>
        <w:tblBorders>
          <w:top w:val="single" w:color="78350F" w:sz="2"/>
          <w:left w:val="single" w:color="78350F" w:sz="18"/>
          <w:bottom w:val="single" w:color="78350F" w:sz="2"/>
          <w:right w:val="single" w:color="78350F" w:sz="2"/>
          <w:insideH w:val="none" w:color="auto" w:sz="0"/>
          <w:insideV w:val="none" w:color="auto" w:sz="0"/>
        </w:tblBorders>
      </w:tblPr>
      <w:tblGrid>
        <w:gridCol w:w="9072"/>
      </w:tblGrid>
      <w:tr>
        <w:tc>
          <w:tcPr>
            <w:tcW w:type="dxa" w:w="9072"/>
            <w:shd w:fill="FAF3EC" w:color="auto" w:val="clear"/>
            <w:tcMar>
              <w:top w:type="dxa" w:w="110"/>
              <w:left w:type="dxa" w:w="210"/>
              <w:bottom w:type="dxa" w:w="110"/>
              <w:right w:type="dxa" w:w="210"/>
            </w:tcMar>
          </w:tcPr>
          <w:p>
            <w:pPr>
              <w:spacing w:after="62" w:line="230"/>
            </w:pPr>
            <w:r>
              <w:rPr>
                <w:rFonts w:ascii="Calibri" w:cs="Calibri" w:eastAsia="Calibri" w:hAnsi="Calibri"/>
                <w:b/>
                <w:bCs/>
                <w:i w:val="false"/>
                <w:iCs w:val="false"/>
                <w:caps/>
                <w:color w:val="78350F"/>
                <w:spacing w:val="16"/>
                <w:sz w:val="19"/>
                <w:szCs w:val="19"/>
              </w:rPr>
              <w:t xml:space="preserve">Compromiso de inicio a fin</w:t>
            </w:r>
          </w:p>
          <w:p>
            <w:pPr>
              <w:spacing w:after="0" w:line="262"/>
            </w:pPr>
            <w:r>
              <w:rPr>
                <w:rFonts w:ascii="Calibri" w:cs="Calibri" w:eastAsia="Calibri" w:hAnsi="Calibri"/>
                <w:b w:val="false"/>
                <w:bCs w:val="false"/>
                <w:i w:val="false"/>
                <w:iCs w:val="false"/>
                <w:caps w:val="false"/>
                <w:color w:val="374151"/>
                <w:sz w:val="20"/>
                <w:szCs w:val="20"/>
              </w:rPr>
              <w:t xml:space="preserve">Emitir la facturación electrónica en los primeros días del mes, definir los viáticos de la tarjeta de crédito para que Luis pueda cerrar su conciliación, dar feedback al informe antes de que llegue a los socios, y procesar el archivo plano de Luis al cierre para que la facturación del día 1 salga a tiempo.</w:t>
            </w:r>
          </w:p>
        </w:tc>
      </w:tr>
    </w:tbl>
    <w:p>
      <w:pPr>
        <w:pBdr>
          <w:bottom w:val="single" w:color="CBD5E1" w:sz="6" w:space="6"/>
        </w:pBdr>
        <w:spacing w:after="80" w:before="200" w:line="250"/>
      </w:pPr>
      <w:r>
        <w:rPr>
          <w:rFonts w:ascii="Calibri" w:cs="Calibri" w:eastAsia="Calibri" w:hAnsi="Calibri"/>
          <w:b/>
          <w:bCs/>
          <w:i w:val="false"/>
          <w:iCs w:val="false"/>
          <w:caps w:val="false"/>
          <w:color w:val="78350F"/>
          <w:sz w:val="23"/>
          <w:szCs w:val="23"/>
        </w:rPr>
        <w:t xml:space="preserve">Procesos a cargo</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1500"/>
        <w:gridCol w:w="4300"/>
        <w:gridCol w:w="3272"/>
      </w:tblGrid>
      <w:tr>
        <w:trPr>
          <w:tblHeader/>
        </w:trPr>
        <w:tc>
          <w:tcPr>
            <w:tcW w:type="dxa" w:w="1500"/>
            <w:shd w:fill="78350F"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Días</w:t>
            </w:r>
          </w:p>
        </w:tc>
        <w:tc>
          <w:tcPr>
            <w:tcW w:type="dxa" w:w="4300"/>
            <w:shd w:fill="78350F"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Proceso</w:t>
            </w:r>
          </w:p>
        </w:tc>
        <w:tc>
          <w:tcPr>
            <w:tcW w:type="dxa" w:w="3272"/>
            <w:shd w:fill="78350F"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Documento</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 al 3</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Organización del archivo plano en Siigo</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 al 3</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Emisión de facturas electrónicas — Siigo → DIAN / RADIAN</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FE</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6 al 10</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Validación gastos TDC — definir viáticos</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TDC</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13 al 14</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Feedback del informe — sesión con el Contador</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29 al 30</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Recepción y montaje del archivo plano — cierre de mes</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bl>
    <w:p>
      <w:pPr>
        <w:pBdr>
          <w:bottom w:val="single" w:color="CBD5E1" w:sz="6" w:space="6"/>
        </w:pBdr>
        <w:spacing w:after="80" w:before="200" w:line="250"/>
      </w:pPr>
      <w:r>
        <w:rPr>
          <w:rFonts w:ascii="Calibri" w:cs="Calibri" w:eastAsia="Calibri" w:hAnsi="Calibri"/>
          <w:b/>
          <w:bCs/>
          <w:i w:val="false"/>
          <w:iCs w:val="false"/>
          <w:caps w:val="false"/>
          <w:color w:val="78350F"/>
          <w:sz w:val="23"/>
          <w:szCs w:val="23"/>
        </w:rPr>
        <w:t xml:space="preserve">Detalle de cada proceso</w:t>
      </w:r>
    </w:p>
    <w:p>
      <w:pPr>
        <w:spacing w:after="58" w:before="150" w:line="215"/>
      </w:pPr>
      <w:r>
        <w:rPr>
          <w:rFonts w:ascii="Calibri" w:cs="Calibri" w:eastAsia="Calibri" w:hAnsi="Calibri"/>
          <w:b/>
          <w:bCs/>
          <w:i w:val="false"/>
          <w:iCs w:val="false"/>
          <w:caps/>
          <w:color w:val="78350F"/>
          <w:spacing w:val="24"/>
          <w:sz w:val="17"/>
          <w:szCs w:val="17"/>
        </w:rPr>
        <w:t xml:space="preserve">Montaje del archivo plano · Días 29 y 30</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Recibir de Luis el archivo plano con el insumo de Beatriz ya incorporado.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Montarlo en Siigo para que la emisión salga entre los días 1 y 3 del mes siguiente.</w:t>
      </w:r>
    </w:p>
    <w:p>
      <w:pPr>
        <w:spacing w:after="58" w:before="150" w:line="215"/>
      </w:pPr>
      <w:r>
        <w:rPr>
          <w:rFonts w:ascii="Calibri" w:cs="Calibri" w:eastAsia="Calibri" w:hAnsi="Calibri"/>
          <w:b/>
          <w:bCs/>
          <w:i w:val="false"/>
          <w:iCs w:val="false"/>
          <w:caps/>
          <w:color w:val="78350F"/>
          <w:spacing w:val="24"/>
          <w:sz w:val="17"/>
          <w:szCs w:val="17"/>
        </w:rPr>
        <w:t xml:space="preserve">Emisión de facturas electrónicas · Días 1 al 3</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Organizar en Siigo el archivo plano y emitir las facturas hacia DIAN y RADIAN.</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Es una tarea concentrada en tres días, no distribuida a lo largo del mes.</w:t>
      </w:r>
    </w:p>
    <w:p>
      <w:pPr>
        <w:spacing w:after="58" w:before="150" w:line="215"/>
      </w:pPr>
      <w:r>
        <w:rPr>
          <w:rFonts w:ascii="Calibri" w:cs="Calibri" w:eastAsia="Calibri" w:hAnsi="Calibri"/>
          <w:b/>
          <w:bCs/>
          <w:i w:val="false"/>
          <w:iCs w:val="false"/>
          <w:caps/>
          <w:color w:val="78350F"/>
          <w:spacing w:val="24"/>
          <w:sz w:val="17"/>
          <w:szCs w:val="17"/>
        </w:rPr>
        <w:t xml:space="preserve">Validación de gastos de tarjeta · Días 6 al 10</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Recibir de Luis los gastos no regulares del extracto de tarjeta de crédito.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Definir cuáles corresponden a viáticos y cuáles no.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Devolver la definición en dos o tres días: sin ella la conciliación de tarjeta no cierra, y esa conciliación es insumo del cierre del mes.</w:t>
      </w:r>
    </w:p>
    <w:p>
      <w:pPr>
        <w:spacing w:after="58" w:before="150" w:line="215"/>
      </w:pPr>
      <w:r>
        <w:rPr>
          <w:rFonts w:ascii="Calibri" w:cs="Calibri" w:eastAsia="Calibri" w:hAnsi="Calibri"/>
          <w:b/>
          <w:bCs/>
          <w:i w:val="false"/>
          <w:iCs w:val="false"/>
          <w:caps/>
          <w:color w:val="78350F"/>
          <w:spacing w:val="24"/>
          <w:sz w:val="17"/>
          <w:szCs w:val="17"/>
        </w:rPr>
        <w:t xml:space="preserve">Feedback del informe · Días 13 al 14</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Revisar el informe con el Contador antes de que pase a los socios.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Plantear dudas e inquietudes sobre las cifras.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Proponer mejoras al contenido y a la presentación.</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El feedback se incorpora antes de la entrega del día 15.</w:t>
      </w:r>
    </w:p>
    <w:p>
      <w:pPr>
        <w:pBdr>
          <w:bottom w:val="single" w:color="CBD5E1" w:sz="6" w:space="6"/>
        </w:pBdr>
        <w:spacing w:after="80" w:before="200" w:line="250"/>
      </w:pPr>
      <w:r>
        <w:rPr>
          <w:rFonts w:ascii="Calibri" w:cs="Calibri" w:eastAsia="Calibri" w:hAnsi="Calibri"/>
          <w:b/>
          <w:bCs/>
          <w:i w:val="false"/>
          <w:iCs w:val="false"/>
          <w:caps w:val="false"/>
          <w:color w:val="78350F"/>
          <w:sz w:val="23"/>
          <w:szCs w:val="23"/>
        </w:rPr>
        <w:t xml:space="preserve">Riesgo si no se cumple</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3400"/>
        <w:gridCol w:w="5672"/>
      </w:tblGrid>
      <w:tr>
        <w:trPr>
          <w:tblHeader/>
        </w:trPr>
        <w:tc>
          <w:tcPr>
            <w:tcW w:type="dxa" w:w="3400"/>
            <w:shd w:fill="78350F"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Situación</w:t>
            </w:r>
          </w:p>
        </w:tc>
        <w:tc>
          <w:tcPr>
            <w:tcW w:type="dxa" w:w="5672"/>
            <w:shd w:fill="78350F"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Qué se rompe aguas abajo</w:t>
            </w:r>
          </w:p>
        </w:tc>
      </w:tr>
      <w:tr>
        <w:tc>
          <w:tcPr>
            <w:tcW w:type="dxa" w:w="3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FE no emitida en los primeros días</w:t>
            </w:r>
          </w:p>
        </w:tc>
        <w:tc>
          <w:tcPr>
            <w:tcW w:type="dxa" w:w="5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No hay cartera que cobrar y el recaudo del mes arranca tarde</w:t>
            </w:r>
          </w:p>
        </w:tc>
      </w:tr>
      <w:tr>
        <w:tc>
          <w:tcPr>
            <w:tcW w:type="dxa" w:w="3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Viáticos sin definir</w:t>
            </w:r>
          </w:p>
        </w:tc>
        <w:tc>
          <w:tcPr>
            <w:tcW w:type="dxa" w:w="56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no cierra la conciliación de tarjeta y el cierre contable queda abierto</w:t>
            </w:r>
          </w:p>
        </w:tc>
      </w:tr>
      <w:tr>
        <w:tc>
          <w:tcPr>
            <w:tcW w:type="dxa" w:w="3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Feedback del informe fuera de fecha</w:t>
            </w:r>
          </w:p>
        </w:tc>
        <w:tc>
          <w:tcPr>
            <w:tcW w:type="dxa" w:w="5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El informe llega a los socios sin la revisión de Gerencia</w:t>
            </w:r>
          </w:p>
        </w:tc>
      </w:tr>
      <w:tr>
        <w:tc>
          <w:tcPr>
            <w:tcW w:type="dxa" w:w="3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Archivo plano sin procesar</w:t>
            </w:r>
          </w:p>
        </w:tc>
        <w:tc>
          <w:tcPr>
            <w:tcW w:type="dxa" w:w="56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La facturación del día 1 del mes siguiente no sale</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B6B45" w:color="auto" w:val="clear"/>
            <w:tcMar>
              <w:top w:type="dxa" w:w="125"/>
              <w:left w:type="dxa" w:w="210"/>
              <w:bottom w:type="dxa" w:w="125"/>
              <w:right w:type="dxa" w:w="210"/>
            </w:tcMar>
          </w:tcPr>
          <w:p>
            <w:pPr>
              <w:spacing w:after="70" w:line="220"/>
            </w:pPr>
            <w:r>
              <w:rPr>
                <w:rFonts w:ascii="Calibri" w:cs="Calibri" w:eastAsia="Calibri" w:hAnsi="Calibri"/>
                <w:b/>
                <w:bCs/>
                <w:i w:val="false"/>
                <w:iCs w:val="false"/>
                <w:caps/>
                <w:color w:val="B9D6C6"/>
                <w:spacing w:val="24"/>
                <w:sz w:val="17"/>
                <w:szCs w:val="17"/>
              </w:rPr>
              <w:t xml:space="preserve">Sección 4</w:t>
            </w:r>
          </w:p>
          <w:p>
            <w:pPr>
              <w:spacing w:after="40" w:line="260"/>
            </w:pPr>
            <w:r>
              <w:rPr>
                <w:rFonts w:ascii="Calibri" w:cs="Calibri" w:eastAsia="Calibri" w:hAnsi="Calibri"/>
                <w:b/>
                <w:bCs/>
                <w:i w:val="false"/>
                <w:iCs w:val="false"/>
                <w:caps w:val="false"/>
                <w:color w:val="FFFFFF"/>
                <w:sz w:val="28"/>
                <w:szCs w:val="28"/>
              </w:rPr>
              <w:t xml:space="preserve">Isnardi Sanches</w:t>
            </w:r>
          </w:p>
          <w:p>
            <w:pPr>
              <w:spacing w:after="0" w:line="220"/>
            </w:pPr>
            <w:r>
              <w:rPr>
                <w:rFonts w:ascii="Calibri" w:cs="Calibri" w:eastAsia="Calibri" w:hAnsi="Calibri"/>
                <w:b w:val="false"/>
                <w:bCs w:val="false"/>
                <w:i w:val="false"/>
                <w:iCs w:val="false"/>
                <w:caps/>
                <w:color w:val="FFFFFF"/>
                <w:spacing w:val="20"/>
                <w:sz w:val="19"/>
                <w:szCs w:val="19"/>
              </w:rPr>
              <w:t xml:space="preserve">Tesorera</w:t>
            </w:r>
          </w:p>
        </w:tc>
      </w:tr>
    </w:tbl>
    <w:p>
      <w:pPr>
        <w:spacing w:after="120"/>
      </w:pPr>
    </w:p>
    <w:p>
      <w:pPr>
        <w:spacing w:after="95" w:before="0" w:line="264"/>
      </w:pPr>
      <w:r>
        <w:rPr>
          <w:rFonts w:ascii="Calibri" w:cs="Calibri" w:eastAsia="Calibri" w:hAnsi="Calibri"/>
          <w:b w:val="false"/>
          <w:bCs w:val="false"/>
          <w:i w:val="false"/>
          <w:iCs w:val="false"/>
          <w:caps w:val="false"/>
          <w:color w:val="374151"/>
          <w:sz w:val="21"/>
          <w:szCs w:val="21"/>
        </w:rPr>
        <w:t xml:space="preserve">Tesorería responde por el dinero en movimiento. Todo lo que entra a caja o bancos y todo lo que sale hacia proveedores, empleados o entidades pasa por esta posición. Su registro es la fuente que después alimenta la conciliación bancaria y el estado de cartera.</w:t>
      </w:r>
    </w:p>
    <w:tbl>
      <w:tblPr>
        <w:tblW w:type="dxa" w:w="9072"/>
        <w:tblBorders>
          <w:top w:val="single" w:color="1B6B45" w:sz="2"/>
          <w:left w:val="single" w:color="1B6B45" w:sz="18"/>
          <w:bottom w:val="single" w:color="1B6B45" w:sz="2"/>
          <w:right w:val="single" w:color="1B6B45" w:sz="2"/>
          <w:insideH w:val="none" w:color="auto" w:sz="0"/>
          <w:insideV w:val="none" w:color="auto" w:sz="0"/>
        </w:tblBorders>
      </w:tblPr>
      <w:tblGrid>
        <w:gridCol w:w="9072"/>
      </w:tblGrid>
      <w:tr>
        <w:tc>
          <w:tcPr>
            <w:tcW w:type="dxa" w:w="9072"/>
            <w:shd w:fill="EDF7F1" w:color="auto" w:val="clear"/>
            <w:tcMar>
              <w:top w:type="dxa" w:w="110"/>
              <w:left w:type="dxa" w:w="210"/>
              <w:bottom w:type="dxa" w:w="110"/>
              <w:right w:type="dxa" w:w="210"/>
            </w:tcMar>
          </w:tcPr>
          <w:p>
            <w:pPr>
              <w:spacing w:after="62" w:line="230"/>
            </w:pPr>
            <w:r>
              <w:rPr>
                <w:rFonts w:ascii="Calibri" w:cs="Calibri" w:eastAsia="Calibri" w:hAnsi="Calibri"/>
                <w:b/>
                <w:bCs/>
                <w:i w:val="false"/>
                <w:iCs w:val="false"/>
                <w:caps/>
                <w:color w:val="1B6B45"/>
                <w:spacing w:val="16"/>
                <w:sz w:val="19"/>
                <w:szCs w:val="19"/>
              </w:rPr>
              <w:t xml:space="preserve">Compromiso de inicio a fin</w:t>
            </w:r>
          </w:p>
          <w:p>
            <w:pPr>
              <w:spacing w:after="0" w:line="262"/>
            </w:pPr>
            <w:r>
              <w:rPr>
                <w:rFonts w:ascii="Calibri" w:cs="Calibri" w:eastAsia="Calibri" w:hAnsi="Calibri"/>
                <w:b w:val="false"/>
                <w:bCs w:val="false"/>
                <w:i w:val="false"/>
                <w:iCs w:val="false"/>
                <w:caps w:val="false"/>
                <w:color w:val="374151"/>
                <w:sz w:val="20"/>
                <w:szCs w:val="20"/>
              </w:rPr>
              <w:t xml:space="preserve">Desde el día 1 hasta el último día del mes, mantener actualizado el registro de cobros y pagos en Siigo, descomponer correctamente los pagos de créditos, y ejecutar en fecha los tres desembolsos críticos: seguridad social, nómina de primera quincena y nómina de segunda quincena.</w:t>
            </w:r>
          </w:p>
        </w:tc>
      </w:tr>
    </w:tbl>
    <w:p>
      <w:pPr>
        <w:pBdr>
          <w:bottom w:val="single" w:color="CBD5E1" w:sz="6" w:space="6"/>
        </w:pBdr>
        <w:spacing w:after="80" w:before="200" w:line="250"/>
      </w:pPr>
      <w:r>
        <w:rPr>
          <w:rFonts w:ascii="Calibri" w:cs="Calibri" w:eastAsia="Calibri" w:hAnsi="Calibri"/>
          <w:b/>
          <w:bCs/>
          <w:i w:val="false"/>
          <w:iCs w:val="false"/>
          <w:caps w:val="false"/>
          <w:color w:val="1B6B45"/>
          <w:sz w:val="23"/>
          <w:szCs w:val="23"/>
        </w:rPr>
        <w:t xml:space="preserve">Procesos a cargo</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1500"/>
        <w:gridCol w:w="4300"/>
        <w:gridCol w:w="3272"/>
      </w:tblGrid>
      <w:tr>
        <w:trPr>
          <w:tblHeader/>
        </w:trPr>
        <w:tc>
          <w:tcPr>
            <w:tcW w:type="dxa" w:w="1500"/>
            <w:shd w:fill="1B6B45"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Días</w:t>
            </w:r>
          </w:p>
        </w:tc>
        <w:tc>
          <w:tcPr>
            <w:tcW w:type="dxa" w:w="4300"/>
            <w:shd w:fill="1B6B45"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Proceso</w:t>
            </w:r>
          </w:p>
        </w:tc>
        <w:tc>
          <w:tcPr>
            <w:tcW w:type="dxa" w:w="3272"/>
            <w:shd w:fill="1B6B45"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Documento</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 al 5</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Validación de bancos y caja del mes anterior — con Luis</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6 al 31</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RC — Cobros diarios en caja y bancos</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RC</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6 al 31</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RP — Pagos a proveedores · Anticipos Cta. 13</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RP</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6 al 31</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Pagos avanzados — créditos y obligaciones financieras</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13 al 15</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Pago seguridad social a entidades</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14 al 16</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Desembolso nómina 1ª quincena</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29 al 31</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Desembolso nómina 2ª quincena</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bl>
    <w:p>
      <w:pPr>
        <w:pBdr>
          <w:bottom w:val="single" w:color="CBD5E1" w:sz="6" w:space="6"/>
        </w:pBdr>
        <w:spacing w:after="80" w:before="200" w:line="250"/>
      </w:pPr>
      <w:r>
        <w:rPr>
          <w:rFonts w:ascii="Calibri" w:cs="Calibri" w:eastAsia="Calibri" w:hAnsi="Calibri"/>
          <w:b/>
          <w:bCs/>
          <w:i w:val="false"/>
          <w:iCs w:val="false"/>
          <w:caps w:val="false"/>
          <w:color w:val="1B6B45"/>
          <w:sz w:val="23"/>
          <w:szCs w:val="23"/>
        </w:rPr>
        <w:t xml:space="preserve">Detalle de cada proceso</w:t>
      </w:r>
    </w:p>
    <w:p>
      <w:pPr>
        <w:spacing w:after="58" w:before="150" w:line="215"/>
      </w:pPr>
      <w:r>
        <w:rPr>
          <w:rFonts w:ascii="Calibri" w:cs="Calibri" w:eastAsia="Calibri" w:hAnsi="Calibri"/>
          <w:b/>
          <w:bCs/>
          <w:i w:val="false"/>
          <w:iCs w:val="false"/>
          <w:caps/>
          <w:color w:val="1B6B45"/>
          <w:spacing w:val="24"/>
          <w:sz w:val="17"/>
          <w:szCs w:val="17"/>
        </w:rPr>
        <w:t xml:space="preserve">Validación del mes anterior · Días 1 al 5</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Sentarse con Luis a revisar y validar los movimientos de bancos y caja del mes anterior.</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Confirmar que cada cobro quedó aplicado a su factura y que cada pago tiene su soporte.</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Esta validación es la base sobre la que Luis arranca la conciliación bancaria a partir del día 3.</w:t>
      </w:r>
    </w:p>
    <w:p>
      <w:pPr>
        <w:spacing w:after="58" w:before="150" w:line="215"/>
      </w:pPr>
      <w:r>
        <w:rPr>
          <w:rFonts w:ascii="Calibri" w:cs="Calibri" w:eastAsia="Calibri" w:hAnsi="Calibri"/>
          <w:b/>
          <w:bCs/>
          <w:i w:val="false"/>
          <w:iCs w:val="false"/>
          <w:caps/>
          <w:color w:val="1B6B45"/>
          <w:spacing w:val="24"/>
          <w:sz w:val="17"/>
          <w:szCs w:val="17"/>
        </w:rPr>
        <w:t xml:space="preserve">RC — Recibo de Caja · Desde el día 6</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Registrar en Siigo cada cobro recibido de cliente, el mismo día en que ingresa.</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Seleccionar dentro del recibo las facturas específicas que ese pago cubre. No dejar cobros sin aplicar.</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Descargar la cartera del cliente después de aplicar el recibo.</w:t>
      </w:r>
    </w:p>
    <w:p>
      <w:pPr>
        <w:spacing w:after="58" w:before="150" w:line="215"/>
      </w:pPr>
      <w:r>
        <w:rPr>
          <w:rFonts w:ascii="Calibri" w:cs="Calibri" w:eastAsia="Calibri" w:hAnsi="Calibri"/>
          <w:b/>
          <w:bCs/>
          <w:i w:val="false"/>
          <w:iCs w:val="false"/>
          <w:caps/>
          <w:color w:val="1B6B45"/>
          <w:spacing w:val="24"/>
          <w:sz w:val="17"/>
          <w:szCs w:val="17"/>
        </w:rPr>
        <w:t xml:space="preserve">RP — Pagos a proveedores · Desde el día 6</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Procesar los pagos únicamente contra la CXP Cuenta 23 que Luis haya causado previamente.</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Verificar que proveedor, valor y documento soporte coincidan con la causación.</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Si hay orden de pago sin soporte, registrar como Anticipo en Cuenta 13 y reportarlo para legalización.</w:t>
      </w:r>
    </w:p>
    <w:p>
      <w:pPr>
        <w:spacing w:after="58" w:before="150" w:line="215"/>
      </w:pPr>
      <w:r>
        <w:rPr>
          <w:rFonts w:ascii="Calibri" w:cs="Calibri" w:eastAsia="Calibri" w:hAnsi="Calibri"/>
          <w:b/>
          <w:bCs/>
          <w:i w:val="false"/>
          <w:iCs w:val="false"/>
          <w:caps/>
          <w:color w:val="1B6B45"/>
          <w:spacing w:val="24"/>
          <w:sz w:val="17"/>
          <w:szCs w:val="17"/>
        </w:rPr>
        <w:t xml:space="preserve">Pagos avanzados — créditos · Desde el día 6</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Abono a CAPITAL: reduce el saldo de la obligación financiera.</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INTERESES cobrados: gasto financiero del período, no reducen la deuda.</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GASTOS BANCARIOS: póliza, seguro de deudor, comisiones y estudio de crédito, cada concepto a su cuenta.</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La suma de capital + intereses + gastos debe igualar exactamente la salida de dinero del banco.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Nunca cargar la cuota completa a una sola cuenta: distorsiona el saldo de la deuda y el gasto del mes.</w:t>
      </w:r>
    </w:p>
    <w:p>
      <w:pPr>
        <w:spacing w:after="58" w:before="150" w:line="215"/>
      </w:pPr>
      <w:r>
        <w:rPr>
          <w:rFonts w:ascii="Calibri" w:cs="Calibri" w:eastAsia="Calibri" w:hAnsi="Calibri"/>
          <w:b/>
          <w:bCs/>
          <w:i w:val="false"/>
          <w:iCs w:val="false"/>
          <w:caps/>
          <w:color w:val="1B6B45"/>
          <w:spacing w:val="24"/>
          <w:sz w:val="17"/>
          <w:szCs w:val="17"/>
        </w:rPr>
        <w:t xml:space="preserve">Seguridad social · Días 13 al 15</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Recibir de Luis el soporte de causación del mes anterior.</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Pagar a salud, pensión, ARL y caja de compensación dentro de la fecha límite.</w:t>
      </w:r>
    </w:p>
    <w:p>
      <w:pPr>
        <w:spacing w:after="58" w:before="150" w:line="215"/>
      </w:pPr>
      <w:r>
        <w:rPr>
          <w:rFonts w:ascii="Calibri" w:cs="Calibri" w:eastAsia="Calibri" w:hAnsi="Calibri"/>
          <w:b/>
          <w:bCs/>
          <w:i w:val="false"/>
          <w:iCs w:val="false"/>
          <w:caps/>
          <w:color w:val="1B6B45"/>
          <w:spacing w:val="24"/>
          <w:sz w:val="17"/>
          <w:szCs w:val="17"/>
        </w:rPr>
        <w:t xml:space="preserve">Nómina · Días 14 al 16 y 29 al cierre</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Primera quincena: desembolsar entre los días 14 y 16 con las deducciones validadas por Luis.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Segunda quincena: desembolsar entre el día 29 y el cierre.</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No ejecutar el desembolso si las deducciones —préstamos, embargos y novedades— no han sido validadas.</w:t>
      </w:r>
    </w:p>
    <w:p>
      <w:pPr>
        <w:pBdr>
          <w:bottom w:val="single" w:color="CBD5E1" w:sz="6" w:space="6"/>
        </w:pBdr>
        <w:spacing w:after="80" w:before="200" w:line="250"/>
      </w:pPr>
      <w:r>
        <w:rPr>
          <w:rFonts w:ascii="Calibri" w:cs="Calibri" w:eastAsia="Calibri" w:hAnsi="Calibri"/>
          <w:b/>
          <w:bCs/>
          <w:i w:val="false"/>
          <w:iCs w:val="false"/>
          <w:caps w:val="false"/>
          <w:color w:val="1B6B45"/>
          <w:sz w:val="23"/>
          <w:szCs w:val="23"/>
        </w:rPr>
        <w:t xml:space="preserve">Riesgo si no se cumple</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3400"/>
        <w:gridCol w:w="5672"/>
      </w:tblGrid>
      <w:tr>
        <w:trPr>
          <w:tblHeader/>
        </w:trPr>
        <w:tc>
          <w:tcPr>
            <w:tcW w:type="dxa" w:w="3400"/>
            <w:shd w:fill="1B6B45"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Situación</w:t>
            </w:r>
          </w:p>
        </w:tc>
        <w:tc>
          <w:tcPr>
            <w:tcW w:type="dxa" w:w="5672"/>
            <w:shd w:fill="1B6B45"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Qué se rompe aguas abajo</w:t>
            </w:r>
          </w:p>
        </w:tc>
      </w:tr>
      <w:tr>
        <w:tc>
          <w:tcPr>
            <w:tcW w:type="dxa" w:w="3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Cobros sin aplicar a factura</w:t>
            </w:r>
          </w:p>
        </w:tc>
        <w:tc>
          <w:tcPr>
            <w:tcW w:type="dxa" w:w="5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La cartera queda inflada y la conciliación de Luis no cierra</w:t>
            </w:r>
          </w:p>
        </w:tc>
      </w:tr>
      <w:tr>
        <w:tc>
          <w:tcPr>
            <w:tcW w:type="dxa" w:w="3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Pago sin CXP causada</w:t>
            </w:r>
          </w:p>
        </w:tc>
        <w:tc>
          <w:tcPr>
            <w:tcW w:type="dxa" w:w="56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El gasto queda sin soporte contable y sin trazabilidad</w:t>
            </w:r>
          </w:p>
        </w:tc>
      </w:tr>
      <w:tr>
        <w:tc>
          <w:tcPr>
            <w:tcW w:type="dxa" w:w="3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Cuota de crédito cargada a una sola cuenta</w:t>
            </w:r>
          </w:p>
        </w:tc>
        <w:tc>
          <w:tcPr>
            <w:tcW w:type="dxa" w:w="5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Se distorsiona el saldo de la deuda y el gasto financiero del mes</w:t>
            </w:r>
          </w:p>
        </w:tc>
      </w:tr>
      <w:tr>
        <w:tc>
          <w:tcPr>
            <w:tcW w:type="dxa" w:w="3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Desembolso de nómina o seguridad social tardío</w:t>
            </w:r>
          </w:p>
        </w:tc>
        <w:tc>
          <w:tcPr>
            <w:tcW w:type="dxa" w:w="56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Incumplimiento con fecha de ley y sanción</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E3A8A" w:color="auto" w:val="clear"/>
            <w:tcMar>
              <w:top w:type="dxa" w:w="125"/>
              <w:left w:type="dxa" w:w="210"/>
              <w:bottom w:type="dxa" w:w="125"/>
              <w:right w:type="dxa" w:w="210"/>
            </w:tcMar>
          </w:tcPr>
          <w:p>
            <w:pPr>
              <w:spacing w:after="70" w:line="220"/>
            </w:pPr>
            <w:r>
              <w:rPr>
                <w:rFonts w:ascii="Calibri" w:cs="Calibri" w:eastAsia="Calibri" w:hAnsi="Calibri"/>
                <w:b/>
                <w:bCs/>
                <w:i w:val="false"/>
                <w:iCs w:val="false"/>
                <w:caps/>
                <w:color w:val="BCCCEC"/>
                <w:spacing w:val="24"/>
                <w:sz w:val="17"/>
                <w:szCs w:val="17"/>
              </w:rPr>
              <w:t xml:space="preserve">Sección 5</w:t>
            </w:r>
          </w:p>
          <w:p>
            <w:pPr>
              <w:spacing w:after="40" w:line="260"/>
            </w:pPr>
            <w:r>
              <w:rPr>
                <w:rFonts w:ascii="Calibri" w:cs="Calibri" w:eastAsia="Calibri" w:hAnsi="Calibri"/>
                <w:b/>
                <w:bCs/>
                <w:i w:val="false"/>
                <w:iCs w:val="false"/>
                <w:caps w:val="false"/>
                <w:color w:val="FFFFFF"/>
                <w:sz w:val="28"/>
                <w:szCs w:val="28"/>
              </w:rPr>
              <w:t xml:space="preserve">Luis Amador</w:t>
            </w:r>
          </w:p>
          <w:p>
            <w:pPr>
              <w:spacing w:after="0" w:line="220"/>
            </w:pPr>
            <w:r>
              <w:rPr>
                <w:rFonts w:ascii="Calibri" w:cs="Calibri" w:eastAsia="Calibri" w:hAnsi="Calibri"/>
                <w:b w:val="false"/>
                <w:bCs w:val="false"/>
                <w:i w:val="false"/>
                <w:iCs w:val="false"/>
                <w:caps/>
                <w:color w:val="FFFFFF"/>
                <w:spacing w:val="20"/>
                <w:sz w:val="19"/>
                <w:szCs w:val="19"/>
              </w:rPr>
              <w:t xml:space="preserve">Aux. Contable</w:t>
            </w:r>
          </w:p>
        </w:tc>
      </w:tr>
    </w:tbl>
    <w:p>
      <w:pPr>
        <w:spacing w:after="120"/>
      </w:pPr>
    </w:p>
    <w:p>
      <w:pPr>
        <w:spacing w:after="95" w:before="0" w:line="264"/>
      </w:pPr>
      <w:r>
        <w:rPr>
          <w:rFonts w:ascii="Calibri" w:cs="Calibri" w:eastAsia="Calibri" w:hAnsi="Calibri"/>
          <w:b w:val="false"/>
          <w:bCs w:val="false"/>
          <w:i w:val="false"/>
          <w:iCs w:val="false"/>
          <w:caps w:val="false"/>
          <w:color w:val="374151"/>
          <w:sz w:val="21"/>
          <w:szCs w:val="21"/>
        </w:rPr>
        <w:t xml:space="preserve">El Auxiliar Contable convierte los hechos económicos en registros contables soportados. Es la posición con mayor carga de causación del equipo y la que produce los insumos que Tesorería necesita para pagar y que el Contador necesita para cerrar el mes.</w:t>
      </w:r>
    </w:p>
    <w:tbl>
      <w:tblPr>
        <w:tblW w:type="dxa" w:w="9072"/>
        <w:tblBorders>
          <w:top w:val="single" w:color="1E3A8A" w:sz="2"/>
          <w:left w:val="single" w:color="1E3A8A" w:sz="18"/>
          <w:bottom w:val="single" w:color="1E3A8A" w:sz="2"/>
          <w:right w:val="single" w:color="1E3A8A" w:sz="2"/>
          <w:insideH w:val="none" w:color="auto" w:sz="0"/>
          <w:insideV w:val="none" w:color="auto" w:sz="0"/>
        </w:tblBorders>
      </w:tblPr>
      <w:tblGrid>
        <w:gridCol w:w="9072"/>
      </w:tblGrid>
      <w:tr>
        <w:tc>
          <w:tcPr>
            <w:tcW w:type="dxa" w:w="9072"/>
            <w:shd w:fill="EDF1FB" w:color="auto" w:val="clear"/>
            <w:tcMar>
              <w:top w:type="dxa" w:w="110"/>
              <w:left w:type="dxa" w:w="210"/>
              <w:bottom w:type="dxa" w:w="110"/>
              <w:right w:type="dxa" w:w="210"/>
            </w:tcMar>
          </w:tcPr>
          <w:p>
            <w:pPr>
              <w:spacing w:after="62" w:line="230"/>
            </w:pPr>
            <w:r>
              <w:rPr>
                <w:rFonts w:ascii="Calibri" w:cs="Calibri" w:eastAsia="Calibri" w:hAnsi="Calibri"/>
                <w:b/>
                <w:bCs/>
                <w:i w:val="false"/>
                <w:iCs w:val="false"/>
                <w:caps/>
                <w:color w:val="1E3A8A"/>
                <w:spacing w:val="16"/>
                <w:sz w:val="19"/>
                <w:szCs w:val="19"/>
              </w:rPr>
              <w:t xml:space="preserve">Compromiso de inicio a fin</w:t>
            </w:r>
          </w:p>
          <w:p>
            <w:pPr>
              <w:spacing w:after="0" w:line="262"/>
            </w:pPr>
            <w:r>
              <w:rPr>
                <w:rFonts w:ascii="Calibri" w:cs="Calibri" w:eastAsia="Calibri" w:hAnsi="Calibri"/>
                <w:b w:val="false"/>
                <w:bCs w:val="false"/>
                <w:i w:val="false"/>
                <w:iCs w:val="false"/>
                <w:caps w:val="false"/>
                <w:color w:val="374151"/>
                <w:sz w:val="20"/>
                <w:szCs w:val="20"/>
              </w:rPr>
              <w:t xml:space="preserve">Abrir el mes cerrando lo pendiente del anterior y terminarlo entregando el archivo plano que permite facturar el día 1 del mes siguiente. Entre esos dos extremos responde por las dos conciliaciones —banco y tarjeta—, la causación de nómina y seguridad social, el RADIAN y el Documento Soporte.</w:t>
            </w:r>
          </w:p>
        </w:tc>
      </w:tr>
    </w:tbl>
    <w:p>
      <w:pPr>
        <w:pBdr>
          <w:bottom w:val="single" w:color="CBD5E1" w:sz="6" w:space="6"/>
        </w:pBdr>
        <w:spacing w:after="80" w:before="200" w:line="250"/>
      </w:pPr>
      <w:r>
        <w:rPr>
          <w:rFonts w:ascii="Calibri" w:cs="Calibri" w:eastAsia="Calibri" w:hAnsi="Calibri"/>
          <w:b/>
          <w:bCs/>
          <w:i w:val="false"/>
          <w:iCs w:val="false"/>
          <w:caps w:val="false"/>
          <w:color w:val="1E3A8A"/>
          <w:sz w:val="23"/>
          <w:szCs w:val="23"/>
        </w:rPr>
        <w:t xml:space="preserve">Procesos a cargo</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1500"/>
        <w:gridCol w:w="4300"/>
        <w:gridCol w:w="3272"/>
      </w:tblGrid>
      <w:tr>
        <w:trPr>
          <w:tblHeader/>
        </w:trPr>
        <w:tc>
          <w:tcPr>
            <w:tcW w:type="dxa" w:w="1500"/>
            <w:shd w:fill="1E3A8A"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Días</w:t>
            </w:r>
          </w:p>
        </w:tc>
        <w:tc>
          <w:tcPr>
            <w:tcW w:type="dxa" w:w="4300"/>
            <w:shd w:fill="1E3A8A"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Proceso</w:t>
            </w:r>
          </w:p>
        </w:tc>
        <w:tc>
          <w:tcPr>
            <w:tcW w:type="dxa" w:w="3272"/>
            <w:shd w:fill="1E3A8A"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Documento</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 al 2</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Revisión pendientes del mes anterior</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 al 5</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Validación de bancos y caja del mes anterior — con Isnardi</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Todo el mes</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Documento Soporte — invoice proveedores del exterior</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DS</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3 al 9</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Conciliación bancaria — extractos y libro</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6 al 10</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Conciliación tarjeta de crédito — validación de gastos con Edgar</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TDC</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10 al 13</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Seguridad social — causación y envío a Tesorería</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10 al 14</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Nómina 1ª quincena — proyección, causación y deducciones</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15 al 25</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RADIAN — Validación + revisión período del mes</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RADIAN</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22 al 30</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Causaciones — FE / DS · Invoice exterior → CXP 23 · Cierre mes</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CXP 23</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25 al 29</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Nómina 2ª quincena — proyección, causación y deducciones</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26 al 31</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Archivo plano — facturación día 1 próximo mes</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bl>
    <w:p>
      <w:pPr>
        <w:pBdr>
          <w:bottom w:val="single" w:color="CBD5E1" w:sz="6" w:space="6"/>
        </w:pBdr>
        <w:spacing w:after="80" w:before="200" w:line="250"/>
      </w:pPr>
      <w:r>
        <w:rPr>
          <w:rFonts w:ascii="Calibri" w:cs="Calibri" w:eastAsia="Calibri" w:hAnsi="Calibri"/>
          <w:b/>
          <w:bCs/>
          <w:i w:val="false"/>
          <w:iCs w:val="false"/>
          <w:caps w:val="false"/>
          <w:color w:val="1E3A8A"/>
          <w:sz w:val="23"/>
          <w:szCs w:val="23"/>
        </w:rPr>
        <w:t xml:space="preserve">Detalle de cada proceso</w:t>
      </w:r>
    </w:p>
    <w:p>
      <w:pPr>
        <w:spacing w:after="58" w:before="150" w:line="215"/>
      </w:pPr>
      <w:r>
        <w:rPr>
          <w:rFonts w:ascii="Calibri" w:cs="Calibri" w:eastAsia="Calibri" w:hAnsi="Calibri"/>
          <w:b/>
          <w:bCs/>
          <w:i w:val="false"/>
          <w:iCs w:val="false"/>
          <w:caps/>
          <w:color w:val="1E3A8A"/>
          <w:spacing w:val="24"/>
          <w:sz w:val="17"/>
          <w:szCs w:val="17"/>
        </w:rPr>
        <w:t xml:space="preserve">Apertura del mes · Días 1 al 5</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Validar con Isnardi los movimientos de bancos y caja del mes anterior antes de conciliar.</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Revisar las causaciones que quedaron sin cerrar en el mes anterior.</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Revisar el RADIAN de los últimos días del mes anterior, que suelen quedar fuera del corte.</w:t>
      </w:r>
    </w:p>
    <w:p>
      <w:pPr>
        <w:spacing w:after="58" w:before="150" w:line="215"/>
      </w:pPr>
      <w:r>
        <w:rPr>
          <w:rFonts w:ascii="Calibri" w:cs="Calibri" w:eastAsia="Calibri" w:hAnsi="Calibri"/>
          <w:b/>
          <w:bCs/>
          <w:i w:val="false"/>
          <w:iCs w:val="false"/>
          <w:caps/>
          <w:color w:val="1E3A8A"/>
          <w:spacing w:val="24"/>
          <w:sz w:val="17"/>
          <w:szCs w:val="17"/>
        </w:rPr>
        <w:t xml:space="preserve">Conciliación bancaria · Días 3 al 9</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Los extractos llegan entre los días 3 y 6. La conciliación arranca apenas llega el primero.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Cruzar extracto bancario contra libro contable.</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Generar el documento formal para que el Contador valide los saldos entre los días 7 y 9.</w:t>
      </w:r>
    </w:p>
    <w:p>
      <w:pPr>
        <w:spacing w:after="58" w:before="150" w:line="215"/>
      </w:pPr>
      <w:r>
        <w:rPr>
          <w:rFonts w:ascii="Calibri" w:cs="Calibri" w:eastAsia="Calibri" w:hAnsi="Calibri"/>
          <w:b/>
          <w:bCs/>
          <w:i w:val="false"/>
          <w:iCs w:val="false"/>
          <w:caps/>
          <w:color w:val="1E3A8A"/>
          <w:spacing w:val="24"/>
          <w:sz w:val="17"/>
          <w:szCs w:val="17"/>
        </w:rPr>
        <w:t xml:space="preserve">Conciliación de tarjeta de crédito · Desde el día 6</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El extracto de la TDC llega aproximadamente el día 6.</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Separar los gastos regulares del mes de los que no lo son.</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Pasar los no regulares a Edgar Metaute para que defina cuáles son viáticos.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Con esa definición, clasificar y cerrar la conciliación. No se puede dar por cerrada con gastos sin definir.</w:t>
      </w:r>
    </w:p>
    <w:p>
      <w:pPr>
        <w:spacing w:after="58" w:before="150" w:line="215"/>
      </w:pPr>
      <w:r>
        <w:rPr>
          <w:rFonts w:ascii="Calibri" w:cs="Calibri" w:eastAsia="Calibri" w:hAnsi="Calibri"/>
          <w:b/>
          <w:bCs/>
          <w:i w:val="false"/>
          <w:iCs w:val="false"/>
          <w:caps/>
          <w:color w:val="1E3A8A"/>
          <w:spacing w:val="24"/>
          <w:sz w:val="17"/>
          <w:szCs w:val="17"/>
        </w:rPr>
        <w:t xml:space="preserve">Seguridad social y nómina · Días 10 al 14</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Causar la seguridad social del mes anterior y compartir el soporte con Tesorería.</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Proyectar y causar la nómina de la primera quincena.</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Validar préstamos, embargos y novedades antes de entregar a Tesorería.</w:t>
      </w:r>
    </w:p>
    <w:p>
      <w:pPr>
        <w:spacing w:after="58" w:before="150" w:line="215"/>
      </w:pPr>
      <w:r>
        <w:rPr>
          <w:rFonts w:ascii="Calibri" w:cs="Calibri" w:eastAsia="Calibri" w:hAnsi="Calibri"/>
          <w:b/>
          <w:bCs/>
          <w:i w:val="false"/>
          <w:iCs w:val="false"/>
          <w:caps/>
          <w:color w:val="1E3A8A"/>
          <w:spacing w:val="24"/>
          <w:sz w:val="17"/>
          <w:szCs w:val="17"/>
        </w:rPr>
        <w:t xml:space="preserve">RADIAN · Días 15 al 25</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Días 15 a 21: cruzar las facturas emitidas contra lo reportado en RADIAN.</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Días 20 a 25: revisión del período y coordinación del visto bueno con el Contador.</w:t>
      </w:r>
    </w:p>
    <w:p>
      <w:pPr>
        <w:spacing w:after="58" w:before="150" w:line="215"/>
      </w:pPr>
      <w:r>
        <w:rPr>
          <w:rFonts w:ascii="Calibri" w:cs="Calibri" w:eastAsia="Calibri" w:hAnsi="Calibri"/>
          <w:b/>
          <w:bCs/>
          <w:i w:val="false"/>
          <w:iCs w:val="false"/>
          <w:caps/>
          <w:color w:val="1E3A8A"/>
          <w:spacing w:val="24"/>
          <w:sz w:val="17"/>
          <w:szCs w:val="17"/>
        </w:rPr>
        <w:t xml:space="preserve">Causaciones y cierre · Días 22 al 30</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Días 22 a 25: causar los documentos nacionales del período.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Días 25 a 30: revisión conjunta con el Contador de todos los invoice del exterior recibidos en el mes.</w:t>
      </w:r>
    </w:p>
    <w:p>
      <w:pPr>
        <w:spacing w:after="58" w:before="150" w:line="215"/>
      </w:pPr>
      <w:r>
        <w:rPr>
          <w:rFonts w:ascii="Calibri" w:cs="Calibri" w:eastAsia="Calibri" w:hAnsi="Calibri"/>
          <w:b/>
          <w:bCs/>
          <w:i w:val="false"/>
          <w:iCs w:val="false"/>
          <w:caps/>
          <w:color w:val="1E3A8A"/>
          <w:spacing w:val="24"/>
          <w:sz w:val="17"/>
          <w:szCs w:val="17"/>
        </w:rPr>
        <w:t xml:space="preserve">Documento Soporte del exterior · Todo el mes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A medida que llega cada invoice, generar el DS en Siigo, causar el gasto y crear la CXP Cuenta 23.</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Únicamente el invoice es soporte válido.</w:t>
      </w:r>
    </w:p>
    <w:p>
      <w:pPr>
        <w:spacing w:after="58" w:before="150" w:line="215"/>
      </w:pPr>
      <w:r>
        <w:rPr>
          <w:rFonts w:ascii="Calibri" w:cs="Calibri" w:eastAsia="Calibri" w:hAnsi="Calibri"/>
          <w:b/>
          <w:bCs/>
          <w:i w:val="false"/>
          <w:iCs w:val="false"/>
          <w:caps/>
          <w:color w:val="1E3A8A"/>
          <w:spacing w:val="24"/>
          <w:sz w:val="17"/>
          <w:szCs w:val="17"/>
        </w:rPr>
        <w:t xml:space="preserve">Archivo plano · Días 26 al cierre</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Con el RADIAN revisado y el visto bueno del Contador, generar el archivo plano.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Entregarlo a Edgar a tiempo para que la facturación del día 1 no se retrase.</w:t>
      </w:r>
    </w:p>
    <w:p>
      <w:pPr>
        <w:pBdr>
          <w:bottom w:val="single" w:color="CBD5E1" w:sz="6" w:space="6"/>
        </w:pBdr>
        <w:spacing w:after="80" w:before="200" w:line="250"/>
      </w:pPr>
      <w:r>
        <w:rPr>
          <w:rFonts w:ascii="Calibri" w:cs="Calibri" w:eastAsia="Calibri" w:hAnsi="Calibri"/>
          <w:b/>
          <w:bCs/>
          <w:i w:val="false"/>
          <w:iCs w:val="false"/>
          <w:caps w:val="false"/>
          <w:color w:val="1E3A8A"/>
          <w:sz w:val="23"/>
          <w:szCs w:val="23"/>
        </w:rPr>
        <w:t xml:space="preserve">Riesgo si no se cumple</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3400"/>
        <w:gridCol w:w="5672"/>
      </w:tblGrid>
      <w:tr>
        <w:trPr>
          <w:tblHeader/>
        </w:trPr>
        <w:tc>
          <w:tcPr>
            <w:tcW w:type="dxa" w:w="3400"/>
            <w:shd w:fill="1E3A8A"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Situación</w:t>
            </w:r>
          </w:p>
        </w:tc>
        <w:tc>
          <w:tcPr>
            <w:tcW w:type="dxa" w:w="5672"/>
            <w:shd w:fill="1E3A8A"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Qué se rompe aguas abajo</w:t>
            </w:r>
          </w:p>
        </w:tc>
      </w:tr>
      <w:tr>
        <w:tc>
          <w:tcPr>
            <w:tcW w:type="dxa" w:w="3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Pendientes del mes anterior sin cerrar</w:t>
            </w:r>
          </w:p>
        </w:tc>
        <w:tc>
          <w:tcPr>
            <w:tcW w:type="dxa" w:w="5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La conciliación del día 3 parte de cifras incompletas</w:t>
            </w:r>
          </w:p>
        </w:tc>
      </w:tr>
      <w:tr>
        <w:tc>
          <w:tcPr>
            <w:tcW w:type="dxa" w:w="3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CXP sin causar</w:t>
            </w:r>
          </w:p>
        </w:tc>
        <w:tc>
          <w:tcPr>
            <w:tcW w:type="dxa" w:w="56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Tesorería no puede pagar al proveedor</w:t>
            </w:r>
          </w:p>
        </w:tc>
      </w:tr>
      <w:tr>
        <w:tc>
          <w:tcPr>
            <w:tcW w:type="dxa" w:w="3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Causación de nómina tardía</w:t>
            </w:r>
          </w:p>
        </w:tc>
        <w:tc>
          <w:tcPr>
            <w:tcW w:type="dxa" w:w="5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El desembolso de Tesorería se corre y se incumple la fecha</w:t>
            </w:r>
          </w:p>
        </w:tc>
      </w:tr>
      <w:tr>
        <w:tc>
          <w:tcPr>
            <w:tcW w:type="dxa" w:w="3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RADIAN sin validar</w:t>
            </w:r>
          </w:p>
        </w:tc>
        <w:tc>
          <w:tcPr>
            <w:tcW w:type="dxa" w:w="56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No se puede generar el archivo plano y se frena la facturación del día 1</w:t>
            </w:r>
          </w:p>
        </w:tc>
      </w:tr>
      <w:tr>
        <w:tc>
          <w:tcPr>
            <w:tcW w:type="dxa" w:w="3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Invoice del exterior sin DS</w:t>
            </w:r>
          </w:p>
        </w:tc>
        <w:tc>
          <w:tcPr>
            <w:tcW w:type="dxa" w:w="5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El gasto queda sin soporte válido ante la DIAN</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5B21B6" w:color="auto" w:val="clear"/>
            <w:tcMar>
              <w:top w:type="dxa" w:w="125"/>
              <w:left w:type="dxa" w:w="210"/>
              <w:bottom w:type="dxa" w:w="125"/>
              <w:right w:type="dxa" w:w="210"/>
            </w:tcMar>
          </w:tcPr>
          <w:p>
            <w:pPr>
              <w:spacing w:after="70" w:line="220"/>
            </w:pPr>
            <w:r>
              <w:rPr>
                <w:rFonts w:ascii="Calibri" w:cs="Calibri" w:eastAsia="Calibri" w:hAnsi="Calibri"/>
                <w:b/>
                <w:bCs/>
                <w:i w:val="false"/>
                <w:iCs w:val="false"/>
                <w:caps/>
                <w:color w:val="CFBCEA"/>
                <w:spacing w:val="24"/>
                <w:sz w:val="17"/>
                <w:szCs w:val="17"/>
              </w:rPr>
              <w:t xml:space="preserve">Sección 6</w:t>
            </w:r>
          </w:p>
          <w:p>
            <w:pPr>
              <w:spacing w:after="40" w:line="260"/>
            </w:pPr>
            <w:r>
              <w:rPr>
                <w:rFonts w:ascii="Calibri" w:cs="Calibri" w:eastAsia="Calibri" w:hAnsi="Calibri"/>
                <w:b/>
                <w:bCs/>
                <w:i w:val="false"/>
                <w:iCs w:val="false"/>
                <w:caps w:val="false"/>
                <w:color w:val="FFFFFF"/>
                <w:sz w:val="28"/>
                <w:szCs w:val="28"/>
              </w:rPr>
              <w:t xml:space="preserve">Cristian Bernal</w:t>
            </w:r>
          </w:p>
          <w:p>
            <w:pPr>
              <w:spacing w:after="0" w:line="220"/>
            </w:pPr>
            <w:r>
              <w:rPr>
                <w:rFonts w:ascii="Calibri" w:cs="Calibri" w:eastAsia="Calibri" w:hAnsi="Calibri"/>
                <w:b w:val="false"/>
                <w:bCs w:val="false"/>
                <w:i w:val="false"/>
                <w:iCs w:val="false"/>
                <w:caps/>
                <w:color w:val="FFFFFF"/>
                <w:spacing w:val="20"/>
                <w:sz w:val="19"/>
                <w:szCs w:val="19"/>
              </w:rPr>
              <w:t xml:space="preserve">Contador</w:t>
            </w:r>
          </w:p>
        </w:tc>
      </w:tr>
    </w:tbl>
    <w:p>
      <w:pPr>
        <w:spacing w:after="120"/>
      </w:pPr>
    </w:p>
    <w:p>
      <w:pPr>
        <w:spacing w:after="95" w:before="0" w:line="264"/>
      </w:pPr>
      <w:r>
        <w:rPr>
          <w:rFonts w:ascii="Calibri" w:cs="Calibri" w:eastAsia="Calibri" w:hAnsi="Calibri"/>
          <w:b w:val="false"/>
          <w:bCs w:val="false"/>
          <w:i w:val="false"/>
          <w:iCs w:val="false"/>
          <w:caps w:val="false"/>
          <w:color w:val="374151"/>
          <w:sz w:val="21"/>
          <w:szCs w:val="21"/>
        </w:rPr>
        <w:t xml:space="preserve">Contaduría valida el trabajo de todo el equipo y lo transforma en información para decidir. Concentra su carga entre los días 10 y 14, porque ahí convergen el cierre contable, los cinco insumos del informe y las dos sesiones de revisión. Es la posición con la ventana más apretada del ciclo.</w:t>
      </w:r>
    </w:p>
    <w:tbl>
      <w:tblPr>
        <w:tblW w:type="dxa" w:w="9072"/>
        <w:tblBorders>
          <w:top w:val="single" w:color="5B21B6" w:sz="2"/>
          <w:left w:val="single" w:color="5B21B6" w:sz="18"/>
          <w:bottom w:val="single" w:color="5B21B6" w:sz="2"/>
          <w:right w:val="single" w:color="5B21B6" w:sz="2"/>
          <w:insideH w:val="none" w:color="auto" w:sz="0"/>
          <w:insideV w:val="none" w:color="auto" w:sz="0"/>
        </w:tblBorders>
      </w:tblPr>
      <w:tblGrid>
        <w:gridCol w:w="9072"/>
      </w:tblGrid>
      <w:tr>
        <w:tc>
          <w:tcPr>
            <w:tcW w:type="dxa" w:w="9072"/>
            <w:shd w:fill="F3EEFB" w:color="auto" w:val="clear"/>
            <w:tcMar>
              <w:top w:type="dxa" w:w="110"/>
              <w:left w:type="dxa" w:w="210"/>
              <w:bottom w:type="dxa" w:w="110"/>
              <w:right w:type="dxa" w:w="210"/>
            </w:tcMar>
          </w:tcPr>
          <w:p>
            <w:pPr>
              <w:spacing w:after="62" w:line="230"/>
            </w:pPr>
            <w:r>
              <w:rPr>
                <w:rFonts w:ascii="Calibri" w:cs="Calibri" w:eastAsia="Calibri" w:hAnsi="Calibri"/>
                <w:b/>
                <w:bCs/>
                <w:i w:val="false"/>
                <w:iCs w:val="false"/>
                <w:caps/>
                <w:color w:val="5B21B6"/>
                <w:spacing w:val="16"/>
                <w:sz w:val="19"/>
                <w:szCs w:val="19"/>
              </w:rPr>
              <w:t xml:space="preserve">Compromiso de inicio a fin</w:t>
            </w:r>
          </w:p>
          <w:p>
            <w:pPr>
              <w:spacing w:after="0" w:line="262"/>
            </w:pPr>
            <w:r>
              <w:rPr>
                <w:rFonts w:ascii="Calibri" w:cs="Calibri" w:eastAsia="Calibri" w:hAnsi="Calibri"/>
                <w:b w:val="false"/>
                <w:bCs w:val="false"/>
                <w:i w:val="false"/>
                <w:iCs w:val="false"/>
                <w:caps w:val="false"/>
                <w:color w:val="374151"/>
                <w:sz w:val="20"/>
                <w:szCs w:val="20"/>
              </w:rPr>
              <w:t xml:space="preserve">Validar los saldos del equipo, ejecutar el cierre contable, construir los estados financieros y el dashboard, incorporar la lectura comercial y el feedback de Gerencia, y llevar el informe al proceso con socios antes del día 20.</w:t>
            </w:r>
          </w:p>
        </w:tc>
      </w:tr>
    </w:tbl>
    <w:p>
      <w:pPr>
        <w:pBdr>
          <w:bottom w:val="single" w:color="CBD5E1" w:sz="6" w:space="6"/>
        </w:pBdr>
        <w:spacing w:after="80" w:before="200" w:line="250"/>
      </w:pPr>
      <w:r>
        <w:rPr>
          <w:rFonts w:ascii="Calibri" w:cs="Calibri" w:eastAsia="Calibri" w:hAnsi="Calibri"/>
          <w:b/>
          <w:bCs/>
          <w:i w:val="false"/>
          <w:iCs w:val="false"/>
          <w:caps w:val="false"/>
          <w:color w:val="5B21B6"/>
          <w:sz w:val="23"/>
          <w:szCs w:val="23"/>
        </w:rPr>
        <w:t xml:space="preserve">Procesos a cargo</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1500"/>
        <w:gridCol w:w="4300"/>
        <w:gridCol w:w="3272"/>
      </w:tblGrid>
      <w:tr>
        <w:trPr>
          <w:tblHeader/>
        </w:trPr>
        <w:tc>
          <w:tcPr>
            <w:tcW w:type="dxa" w:w="1500"/>
            <w:shd w:fill="5B21B6"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Días</w:t>
            </w:r>
          </w:p>
        </w:tc>
        <w:tc>
          <w:tcPr>
            <w:tcW w:type="dxa" w:w="4300"/>
            <w:shd w:fill="5B21B6"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Proceso</w:t>
            </w:r>
          </w:p>
        </w:tc>
        <w:tc>
          <w:tcPr>
            <w:tcW w:type="dxa" w:w="3272"/>
            <w:shd w:fill="5B21B6"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Documento</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 al 9</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Acompañamiento conciliación + validación saldos</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9 al 12</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Flujo de efectivo — descarga, organización y validación</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9 al 12</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Sesión con Beatriz — variación de ingresos para socios</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10 al 11</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Cartera por vigencias y por tercero desplegable</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10 al 13</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Validación seguridad social antes del desembolso</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10 al 14</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Cierre contable + retención en la fuente</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11 al 12</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Análisis de recaudo del mes</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12 al 13</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EESF — desarrollo y validación contra Siigo</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12 al 13</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Estado de Resultados — desarrollo y validación contra Siigo</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13 al 14</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Sesión con Edgar — feedback del informe antes de socios</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13 al 15</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Dashboard integral — construcción y entrega a Don Edgar</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15 al 20</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Proceso con socios — revisión, análisis y cierre</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15 al 21</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Declaración IVA bimestral</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w:t>
            </w:r>
          </w:p>
        </w:tc>
      </w:tr>
      <w:tr>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20 al 25</w:t>
            </w:r>
          </w:p>
        </w:tc>
        <w:tc>
          <w:tcPr>
            <w:tcW w:type="dxa" w:w="4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RADIAN período del mes — validación contable</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RADIAN</w:t>
            </w:r>
          </w:p>
        </w:tc>
      </w:tr>
      <w:tr>
        <w:tc>
          <w:tcPr>
            <w:tcW w:type="dxa" w:w="1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25 al 31</w:t>
            </w:r>
          </w:p>
        </w:tc>
        <w:tc>
          <w:tcPr>
            <w:tcW w:type="dxa" w:w="4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Visto bueno Documento Soporte — invoice proveedores del exterior</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DS</w:t>
            </w:r>
          </w:p>
        </w:tc>
      </w:tr>
    </w:tbl>
    <w:p>
      <w:pPr>
        <w:spacing w:after="60" w:before="0" w:line="264"/>
      </w:pPr>
      <w:r>
        <w:rPr>
          <w:rFonts w:ascii="Calibri" w:cs="Calibri" w:eastAsia="Calibri" w:hAnsi="Calibri"/>
          <w:b w:val="false"/>
          <w:bCs w:val="false"/>
          <w:i/>
          <w:iCs/>
          <w:caps w:val="false"/>
          <w:color w:val="64748B"/>
          <w:sz w:val="18"/>
          <w:szCs w:val="18"/>
        </w:rPr>
        <w:t xml:space="preserve">En los meses sin declaración de IVA son 14 tareas; en los meses del bimestre, 15.</w:t>
      </w:r>
    </w:p>
    <w:p>
      <w:pPr>
        <w:pBdr>
          <w:bottom w:val="single" w:color="CBD5E1" w:sz="6" w:space="6"/>
        </w:pBdr>
        <w:spacing w:after="80" w:before="200" w:line="250"/>
      </w:pPr>
      <w:r>
        <w:rPr>
          <w:rFonts w:ascii="Calibri" w:cs="Calibri" w:eastAsia="Calibri" w:hAnsi="Calibri"/>
          <w:b/>
          <w:bCs/>
          <w:i w:val="false"/>
          <w:iCs w:val="false"/>
          <w:caps w:val="false"/>
          <w:color w:val="5B21B6"/>
          <w:sz w:val="23"/>
          <w:szCs w:val="23"/>
        </w:rPr>
        <w:t xml:space="preserve">Detalle de cada proceso</w:t>
      </w:r>
    </w:p>
    <w:p>
      <w:pPr>
        <w:spacing w:after="58" w:before="150" w:line="215"/>
      </w:pPr>
      <w:r>
        <w:rPr>
          <w:rFonts w:ascii="Calibri" w:cs="Calibri" w:eastAsia="Calibri" w:hAnsi="Calibri"/>
          <w:b/>
          <w:bCs/>
          <w:i w:val="false"/>
          <w:iCs w:val="false"/>
          <w:caps/>
          <w:color w:val="5B21B6"/>
          <w:spacing w:val="24"/>
          <w:sz w:val="17"/>
          <w:szCs w:val="17"/>
        </w:rPr>
        <w:t xml:space="preserve">Acompañamiento y validación · Días 1 al 9</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Acompañar la conciliación bancaria de Luis y validar los saldos finales entre los días 7 y 9.</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Dar el visto bueno contable al documento formal de conciliación.</w:t>
      </w:r>
    </w:p>
    <w:p>
      <w:pPr>
        <w:spacing w:after="58" w:before="150" w:line="215"/>
      </w:pPr>
      <w:r>
        <w:rPr>
          <w:rFonts w:ascii="Calibri" w:cs="Calibri" w:eastAsia="Calibri" w:hAnsi="Calibri"/>
          <w:b/>
          <w:bCs/>
          <w:i w:val="false"/>
          <w:iCs w:val="false"/>
          <w:caps/>
          <w:color w:val="5B21B6"/>
          <w:spacing w:val="24"/>
          <w:sz w:val="17"/>
          <w:szCs w:val="17"/>
        </w:rPr>
        <w:t xml:space="preserve">Cierre contable · Días 10 al 14</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Ejecutar el cierre contable del mes anterior.</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Liquidar la retención en la fuente. Vence entre los días 15 y 21.</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Validar la nómina y la seguridad social causadas por Luis antes del desembolso de Tesorería.</w:t>
      </w:r>
    </w:p>
    <w:p>
      <w:pPr>
        <w:spacing w:after="58" w:before="150" w:line="215"/>
      </w:pPr>
      <w:r>
        <w:rPr>
          <w:rFonts w:ascii="Calibri" w:cs="Calibri" w:eastAsia="Calibri" w:hAnsi="Calibri"/>
          <w:b/>
          <w:bCs/>
          <w:i w:val="false"/>
          <w:iCs w:val="false"/>
          <w:caps/>
          <w:color w:val="5B21B6"/>
          <w:spacing w:val="24"/>
          <w:sz w:val="17"/>
          <w:szCs w:val="17"/>
        </w:rPr>
        <w:t xml:space="preserve">Insumos del informe · Días 9 al 13</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Flujo de efectivo (9 al 12): descargar de Siigo, organizar por actividades y validar contra libro mayor.</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Cartera por vigencias (10 al 11): corriente, +30, +60, +90 días y años anteriores.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Análisis de recaudo (11 al 12): cuánto se cobró y de qué antigüedad proviene.</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EESF y Estado de Resultados (12 al 13): desarrollar y validar al centavo contra Siigo.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Los cinco son insumo del dashboard: deben estar cerrados antes del día 13.</w:t>
      </w:r>
    </w:p>
    <w:p>
      <w:pPr>
        <w:spacing w:after="58" w:before="150" w:line="215"/>
      </w:pPr>
      <w:r>
        <w:rPr>
          <w:rFonts w:ascii="Calibri" w:cs="Calibri" w:eastAsia="Calibri" w:hAnsi="Calibri"/>
          <w:b/>
          <w:bCs/>
          <w:i w:val="false"/>
          <w:iCs w:val="false"/>
          <w:caps/>
          <w:color w:val="5B21B6"/>
          <w:spacing w:val="24"/>
          <w:sz w:val="17"/>
          <w:szCs w:val="17"/>
        </w:rPr>
        <w:t xml:space="preserve">Las dos sesiones de revisión · Días 10 al 14</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Con Beatriz (10 al 12): recibir e incorporar los comentarios comerciales al informe.</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Con Edgar (13 al 14): recibir dudas, inquietudes y propuestas de mejora antes de que el informe llegue a los socios.</w:t>
      </w:r>
    </w:p>
    <w:p>
      <w:pPr>
        <w:spacing w:after="58" w:before="150" w:line="215"/>
      </w:pPr>
      <w:r>
        <w:rPr>
          <w:rFonts w:ascii="Calibri" w:cs="Calibri" w:eastAsia="Calibri" w:hAnsi="Calibri"/>
          <w:b/>
          <w:bCs/>
          <w:i w:val="false"/>
          <w:iCs w:val="false"/>
          <w:caps/>
          <w:color w:val="5B21B6"/>
          <w:spacing w:val="24"/>
          <w:sz w:val="17"/>
          <w:szCs w:val="17"/>
        </w:rPr>
        <w:t xml:space="preserve">Dashboard y socios · Días 13 al 20</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Construir el dashboard ejecutivo con todos los insumos validados y los comentarios incorporados.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Día 15: entregar a Don Edgar.</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Días 15 al 20: acompañar el proceso completo con socios. Fecha límite: día 20.</w:t>
      </w:r>
    </w:p>
    <w:p>
      <w:pPr>
        <w:spacing w:after="58" w:before="150" w:line="215"/>
      </w:pPr>
      <w:r>
        <w:rPr>
          <w:rFonts w:ascii="Calibri" w:cs="Calibri" w:eastAsia="Calibri" w:hAnsi="Calibri"/>
          <w:b/>
          <w:bCs/>
          <w:i w:val="false"/>
          <w:iCs w:val="false"/>
          <w:caps/>
          <w:color w:val="5B21B6"/>
          <w:spacing w:val="24"/>
          <w:sz w:val="17"/>
          <w:szCs w:val="17"/>
        </w:rPr>
        <w:t xml:space="preserve">RADIAN y cierre del ciclo · Días 20 al fin de mes</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Validar contablemente el RADIAN del período y dar el visto bueno para que Luis genere el archivo plano.</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Revisión conjunta con Luis de los invoice del exterior: verificar que cada uno tenga su DS y su causación en CXP 23.</w:t>
      </w:r>
    </w:p>
    <w:p>
      <w:pPr>
        <w:pStyle w:val="ListParagraph"/>
        <w:numPr>
          <w:ilvl w:val="0"/>
          <w:numId w:val="2"/>
        </w:numPr>
        <w:spacing w:after="45" w:line="248"/>
      </w:pPr>
      <w:r>
        <w:rPr>
          <w:rFonts w:ascii="Calibri" w:cs="Calibri" w:eastAsia="Calibri" w:hAnsi="Calibri"/>
          <w:b w:val="false"/>
          <w:bCs w:val="false"/>
          <w:i w:val="false"/>
          <w:iCs w:val="false"/>
          <w:caps w:val="false"/>
          <w:color w:val="374151"/>
          <w:sz w:val="20"/>
          <w:szCs w:val="20"/>
        </w:rPr>
        <w:t xml:space="preserve">En meses de IVA (enero, marzo, mayo, julio, septiembre y noviembre): preparar y presentar la declaración bimestral entre los días 15 y 21.</w:t>
      </w:r>
    </w:p>
    <w:p>
      <w:pPr>
        <w:pBdr>
          <w:bottom w:val="single" w:color="CBD5E1" w:sz="6" w:space="6"/>
        </w:pBdr>
        <w:spacing w:after="80" w:before="200" w:line="250"/>
      </w:pPr>
      <w:r>
        <w:rPr>
          <w:rFonts w:ascii="Calibri" w:cs="Calibri" w:eastAsia="Calibri" w:hAnsi="Calibri"/>
          <w:b/>
          <w:bCs/>
          <w:i w:val="false"/>
          <w:iCs w:val="false"/>
          <w:caps w:val="false"/>
          <w:color w:val="5B21B6"/>
          <w:sz w:val="23"/>
          <w:szCs w:val="23"/>
        </w:rPr>
        <w:t xml:space="preserve">Riesgo si no se cumple</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3400"/>
        <w:gridCol w:w="5672"/>
      </w:tblGrid>
      <w:tr>
        <w:trPr>
          <w:tblHeader/>
        </w:trPr>
        <w:tc>
          <w:tcPr>
            <w:tcW w:type="dxa" w:w="3400"/>
            <w:shd w:fill="5B21B6"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Situación</w:t>
            </w:r>
          </w:p>
        </w:tc>
        <w:tc>
          <w:tcPr>
            <w:tcW w:type="dxa" w:w="5672"/>
            <w:shd w:fill="5B21B6"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Qué se rompe aguas abajo</w:t>
            </w:r>
          </w:p>
        </w:tc>
      </w:tr>
      <w:tr>
        <w:tc>
          <w:tcPr>
            <w:tcW w:type="dxa" w:w="3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Saldos de conciliación sin validar</w:t>
            </w:r>
          </w:p>
        </w:tc>
        <w:tc>
          <w:tcPr>
            <w:tcW w:type="dxa" w:w="5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El cierre contable arranca sobre cifras no confirmadas</w:t>
            </w:r>
          </w:p>
        </w:tc>
      </w:tr>
      <w:tr>
        <w:tc>
          <w:tcPr>
            <w:tcW w:type="dxa" w:w="3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Insumos del informe incompletos al día 13</w:t>
            </w:r>
          </w:p>
        </w:tc>
        <w:tc>
          <w:tcPr>
            <w:tcW w:type="dxa" w:w="56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El dashboard no se puede construir y la entrega del 15 se cae</w:t>
            </w:r>
          </w:p>
        </w:tc>
      </w:tr>
      <w:tr>
        <w:tc>
          <w:tcPr>
            <w:tcW w:type="dxa" w:w="3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Retención en la fuente sin liquidar</w:t>
            </w:r>
          </w:p>
        </w:tc>
        <w:tc>
          <w:tcPr>
            <w:tcW w:type="dxa" w:w="56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Se incumple el vencimiento de los días 15 a 21</w:t>
            </w:r>
          </w:p>
        </w:tc>
      </w:tr>
      <w:tr>
        <w:tc>
          <w:tcPr>
            <w:tcW w:type="dxa" w:w="3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Visto bueno del RADIAN tardío</w:t>
            </w:r>
          </w:p>
        </w:tc>
        <w:tc>
          <w:tcPr>
            <w:tcW w:type="dxa" w:w="56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no genera el archivo plano y Edgar no factura el día 1</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B3A6B"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7   </w:t>
            </w:r>
            <w:r>
              <w:rPr>
                <w:rFonts w:ascii="Calibri" w:cs="Calibri" w:eastAsia="Calibri" w:hAnsi="Calibri"/>
                <w:b/>
                <w:bCs/>
                <w:i w:val="false"/>
                <w:iCs w:val="false"/>
                <w:caps/>
                <w:color w:val="FFFFFF"/>
                <w:spacing w:val="14"/>
                <w:sz w:val="22"/>
                <w:szCs w:val="22"/>
              </w:rPr>
              <w:t xml:space="preserve">Puntos de cruce del equipo</w:t>
            </w:r>
          </w:p>
        </w:tc>
      </w:tr>
    </w:tbl>
    <w:p>
      <w:pPr>
        <w:spacing w:after="110"/>
      </w:pPr>
    </w:p>
    <w:p>
      <w:pPr>
        <w:spacing w:after="95" w:before="0" w:line="264"/>
      </w:pPr>
      <w:r>
        <w:rPr>
          <w:rFonts w:ascii="Calibri" w:cs="Calibri" w:eastAsia="Calibri" w:hAnsi="Calibri"/>
          <w:b w:val="false"/>
          <w:bCs w:val="false"/>
          <w:i w:val="false"/>
          <w:iCs w:val="false"/>
          <w:caps w:val="false"/>
          <w:color w:val="374151"/>
          <w:sz w:val="21"/>
          <w:szCs w:val="21"/>
        </w:rPr>
        <w:t xml:space="preserve">Estos son los momentos del mes en que el trabajo de una persona es la condición para que otra pueda avanzar. Son los puntos donde conviene vigilar el cumplimiento, porque un retraso aquí no se queda en una posición: se traslada al cierre del mes.</w:t>
      </w:r>
    </w:p>
    <w:p>
      <w:pPr>
        <w:spacing w:after="10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500"/>
        <w:gridCol w:w="2300"/>
        <w:gridCol w:w="3136"/>
        <w:gridCol w:w="3136"/>
      </w:tblGrid>
      <w:tr>
        <w:trPr>
          <w:tblHeader/>
        </w:trPr>
        <w:tc>
          <w:tcPr>
            <w:tcW w:type="dxa" w:w="5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w:t>
            </w:r>
          </w:p>
        </w:tc>
        <w:tc>
          <w:tcPr>
            <w:tcW w:type="dxa" w:w="23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Punto de cruce</w:t>
            </w:r>
          </w:p>
        </w:tc>
        <w:tc>
          <w:tcPr>
            <w:tcW w:type="dxa" w:w="313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Quién entrega</w:t>
            </w:r>
          </w:p>
        </w:tc>
        <w:tc>
          <w:tcPr>
            <w:tcW w:type="dxa" w:w="3136"/>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Quién recibe y ejecuta</w:t>
            </w:r>
          </w:p>
        </w:tc>
      </w:tr>
      <w:tr>
        <w:tc>
          <w:tcPr>
            <w:tcW w:type="dxa" w:w="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w:t>
            </w:r>
          </w:p>
        </w:tc>
        <w:tc>
          <w:tcPr>
            <w:tcW w:type="dxa" w:w="2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Insumo de facturación</w:t>
            </w:r>
          </w:p>
        </w:tc>
        <w:tc>
          <w:tcPr>
            <w:tcW w:type="dxa" w:w="313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Beatriz — entrega hacia el día 27</w:t>
            </w:r>
          </w:p>
        </w:tc>
        <w:tc>
          <w:tcPr>
            <w:tcW w:type="dxa" w:w="313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y Edgar — arman el archivo y emiten la FE el día 1</w:t>
            </w:r>
          </w:p>
        </w:tc>
      </w:tr>
      <w:tr>
        <w:tc>
          <w:tcPr>
            <w:tcW w:type="dxa" w:w="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w:t>
            </w:r>
          </w:p>
        </w:tc>
        <w:tc>
          <w:tcPr>
            <w:tcW w:type="dxa" w:w="2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Pago a proveedores</w:t>
            </w:r>
          </w:p>
        </w:tc>
        <w:tc>
          <w:tcPr>
            <w:tcW w:type="dxa" w:w="313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 causa la CXP Cuenta 23</w:t>
            </w:r>
          </w:p>
        </w:tc>
        <w:tc>
          <w:tcPr>
            <w:tcW w:type="dxa" w:w="313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 — paga y registra el RP</w:t>
            </w:r>
          </w:p>
        </w:tc>
      </w:tr>
      <w:tr>
        <w:tc>
          <w:tcPr>
            <w:tcW w:type="dxa" w:w="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3</w:t>
            </w:r>
          </w:p>
        </w:tc>
        <w:tc>
          <w:tcPr>
            <w:tcW w:type="dxa" w:w="2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Invoice del exterior</w:t>
            </w:r>
          </w:p>
        </w:tc>
        <w:tc>
          <w:tcPr>
            <w:tcW w:type="dxa" w:w="313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 genera el DS y crea la CXP 23</w:t>
            </w:r>
          </w:p>
        </w:tc>
        <w:tc>
          <w:tcPr>
            <w:tcW w:type="dxa" w:w="313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 — ejecuta el pago</w:t>
            </w:r>
          </w:p>
        </w:tc>
      </w:tr>
      <w:tr>
        <w:tc>
          <w:tcPr>
            <w:tcW w:type="dxa" w:w="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4</w:t>
            </w:r>
          </w:p>
        </w:tc>
        <w:tc>
          <w:tcPr>
            <w:tcW w:type="dxa" w:w="2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Seguridad social</w:t>
            </w:r>
          </w:p>
        </w:tc>
        <w:tc>
          <w:tcPr>
            <w:tcW w:type="dxa" w:w="313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 causa y entrega soporte (10–13)</w:t>
            </w:r>
          </w:p>
        </w:tc>
        <w:tc>
          <w:tcPr>
            <w:tcW w:type="dxa" w:w="313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 — paga a entidades (13–15)</w:t>
            </w:r>
          </w:p>
        </w:tc>
      </w:tr>
      <w:tr>
        <w:tc>
          <w:tcPr>
            <w:tcW w:type="dxa" w:w="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5</w:t>
            </w:r>
          </w:p>
        </w:tc>
        <w:tc>
          <w:tcPr>
            <w:tcW w:type="dxa" w:w="2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Nómina 1ª quincena</w:t>
            </w:r>
          </w:p>
        </w:tc>
        <w:tc>
          <w:tcPr>
            <w:tcW w:type="dxa" w:w="313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 causa y valida deducciones (10–14)</w:t>
            </w:r>
          </w:p>
        </w:tc>
        <w:tc>
          <w:tcPr>
            <w:tcW w:type="dxa" w:w="313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 — desembolsa (14–16)</w:t>
            </w:r>
          </w:p>
        </w:tc>
      </w:tr>
      <w:tr>
        <w:tc>
          <w:tcPr>
            <w:tcW w:type="dxa" w:w="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6</w:t>
            </w:r>
          </w:p>
        </w:tc>
        <w:tc>
          <w:tcPr>
            <w:tcW w:type="dxa" w:w="2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Nómina 2ª quincena</w:t>
            </w:r>
          </w:p>
        </w:tc>
        <w:tc>
          <w:tcPr>
            <w:tcW w:type="dxa" w:w="313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 causa y valida deducciones (25–29)</w:t>
            </w:r>
          </w:p>
        </w:tc>
        <w:tc>
          <w:tcPr>
            <w:tcW w:type="dxa" w:w="313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 — desembolsa (29–cierre)</w:t>
            </w:r>
          </w:p>
        </w:tc>
      </w:tr>
      <w:tr>
        <w:tc>
          <w:tcPr>
            <w:tcW w:type="dxa" w:w="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7</w:t>
            </w:r>
          </w:p>
        </w:tc>
        <w:tc>
          <w:tcPr>
            <w:tcW w:type="dxa" w:w="2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Conciliación bancaria</w:t>
            </w:r>
          </w:p>
        </w:tc>
        <w:tc>
          <w:tcPr>
            <w:tcW w:type="dxa" w:w="313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 — RC y RP registrados en el mes</w:t>
            </w:r>
          </w:p>
        </w:tc>
        <w:tc>
          <w:tcPr>
            <w:tcW w:type="dxa" w:w="313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 concilia contra extracto (3–9)</w:t>
            </w:r>
          </w:p>
        </w:tc>
      </w:tr>
      <w:tr>
        <w:tc>
          <w:tcPr>
            <w:tcW w:type="dxa" w:w="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8</w:t>
            </w:r>
          </w:p>
        </w:tc>
        <w:tc>
          <w:tcPr>
            <w:tcW w:type="dxa" w:w="2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Tarjeta de crédito</w:t>
            </w:r>
          </w:p>
        </w:tc>
        <w:tc>
          <w:tcPr>
            <w:tcW w:type="dxa" w:w="313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 escala los gastos no regulares</w:t>
            </w:r>
          </w:p>
        </w:tc>
        <w:tc>
          <w:tcPr>
            <w:tcW w:type="dxa" w:w="313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Edgar — define viáticos (6–10)</w:t>
            </w:r>
          </w:p>
        </w:tc>
      </w:tr>
      <w:tr>
        <w:tc>
          <w:tcPr>
            <w:tcW w:type="dxa" w:w="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9</w:t>
            </w:r>
          </w:p>
        </w:tc>
        <w:tc>
          <w:tcPr>
            <w:tcW w:type="dxa" w:w="2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Variación de ingresos</w:t>
            </w:r>
          </w:p>
        </w:tc>
        <w:tc>
          <w:tcPr>
            <w:tcW w:type="dxa" w:w="313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Beatriz — explica el cambio vs. mes anterior (9–12)</w:t>
            </w:r>
          </w:p>
        </w:tc>
        <w:tc>
          <w:tcPr>
            <w:tcW w:type="dxa" w:w="313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 — incorpora al informe de socios</w:t>
            </w:r>
          </w:p>
        </w:tc>
      </w:tr>
      <w:tr>
        <w:tc>
          <w:tcPr>
            <w:tcW w:type="dxa" w:w="5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10</w:t>
            </w:r>
          </w:p>
        </w:tc>
        <w:tc>
          <w:tcPr>
            <w:tcW w:type="dxa" w:w="23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Feedback del informe</w:t>
            </w:r>
          </w:p>
        </w:tc>
        <w:tc>
          <w:tcPr>
            <w:tcW w:type="dxa" w:w="313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Edgar — dudas y mejoras (13–14)</w:t>
            </w:r>
          </w:p>
        </w:tc>
        <w:tc>
          <w:tcPr>
            <w:tcW w:type="dxa" w:w="3136"/>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 — ajusta antes de socios</w:t>
            </w:r>
          </w:p>
        </w:tc>
      </w:tr>
      <w:tr>
        <w:tc>
          <w:tcPr>
            <w:tcW w:type="dxa" w:w="5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11</w:t>
            </w:r>
          </w:p>
        </w:tc>
        <w:tc>
          <w:tcPr>
            <w:tcW w:type="dxa" w:w="23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Archivo plano</w:t>
            </w:r>
          </w:p>
        </w:tc>
        <w:tc>
          <w:tcPr>
            <w:tcW w:type="dxa" w:w="313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 genera con visto bueno (26–cierre)</w:t>
            </w:r>
          </w:p>
        </w:tc>
        <w:tc>
          <w:tcPr>
            <w:tcW w:type="dxa" w:w="3136"/>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Edgar — procesa para facturar el día 1</w:t>
            </w:r>
          </w:p>
        </w:tc>
      </w:tr>
    </w:tbl>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Los tres cruces de fecha límite externa</w:t>
      </w:r>
    </w:p>
    <w:p>
      <w:pPr>
        <w:spacing w:after="95" w:before="0" w:line="264"/>
      </w:pPr>
      <w:r>
        <w:rPr>
          <w:rFonts w:ascii="Calibri" w:cs="Calibri" w:eastAsia="Calibri" w:hAnsi="Calibri"/>
          <w:b w:val="false"/>
          <w:bCs w:val="false"/>
          <w:i w:val="false"/>
          <w:iCs w:val="false"/>
          <w:caps w:val="false"/>
          <w:color w:val="374151"/>
          <w:sz w:val="21"/>
          <w:szCs w:val="21"/>
        </w:rPr>
        <w:t xml:space="preserve">Los cruces 4, 5 y 6 no admiten aplazamiento: seguridad social y nómina tienen fecha de ley. La secuencia es siempre la misma y no se puede invertir — primero Luis causa y valida, después Tesorería desembolsa. Un retraso en la causación se traduce automáticamente en un desembolso tardío.</w:t>
      </w:r>
    </w:p>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Los dos cruces que dependen de Gerencia</w:t>
      </w:r>
    </w:p>
    <w:p>
      <w:pPr>
        <w:spacing w:after="95" w:before="0" w:line="264"/>
      </w:pPr>
      <w:r>
        <w:rPr>
          <w:rFonts w:ascii="Calibri" w:cs="Calibri" w:eastAsia="Calibri" w:hAnsi="Calibri"/>
          <w:b w:val="false"/>
          <w:bCs w:val="false"/>
          <w:i w:val="false"/>
          <w:iCs w:val="false"/>
          <w:caps w:val="false"/>
          <w:color w:val="374151"/>
          <w:sz w:val="21"/>
          <w:szCs w:val="21"/>
        </w:rPr>
        <w:t xml:space="preserve">Los cruces 8 y 10 salen del equipo contable y requieren una decisión de Gerencia. En el primero, un gasto de tarjeta puede ser viático o gasto corriente, y esa distinción no se deduce del extracto: depende del contexto del viaje, que solo conoce Gerencia. En el segundo, el informe no debería llegar a los socios sin que Gerencia lo haya revisado antes.</w:t>
      </w:r>
    </w:p>
    <w:p>
      <w:pPr>
        <w:spacing w:after="90"/>
      </w:pPr>
    </w:p>
    <w:tbl>
      <w:tblPr>
        <w:tblW w:type="dxa" w:w="9072"/>
        <w:tblBorders>
          <w:top w:val="single" w:color="B45309" w:sz="2"/>
          <w:left w:val="single" w:color="B45309" w:sz="18"/>
          <w:bottom w:val="single" w:color="B45309" w:sz="2"/>
          <w:right w:val="single" w:color="B45309" w:sz="2"/>
          <w:insideH w:val="none" w:color="auto" w:sz="0"/>
          <w:insideV w:val="none" w:color="auto" w:sz="0"/>
        </w:tblBorders>
      </w:tblPr>
      <w:tblGrid>
        <w:gridCol w:w="9072"/>
      </w:tblGrid>
      <w:tr>
        <w:tc>
          <w:tcPr>
            <w:tcW w:type="dxa" w:w="9072"/>
            <w:shd w:fill="FFFBEB" w:color="auto" w:val="clear"/>
            <w:tcMar>
              <w:top w:type="dxa" w:w="110"/>
              <w:left w:type="dxa" w:w="210"/>
              <w:bottom w:type="dxa" w:w="110"/>
              <w:right w:type="dxa" w:w="210"/>
            </w:tcMar>
          </w:tcPr>
          <w:p>
            <w:pPr>
              <w:spacing w:after="62" w:line="230"/>
            </w:pPr>
            <w:r>
              <w:rPr>
                <w:rFonts w:ascii="Calibri" w:cs="Calibri" w:eastAsia="Calibri" w:hAnsi="Calibri"/>
                <w:b/>
                <w:bCs/>
                <w:i w:val="false"/>
                <w:iCs w:val="false"/>
                <w:caps/>
                <w:color w:val="B45309"/>
                <w:spacing w:val="16"/>
                <w:sz w:val="19"/>
                <w:szCs w:val="19"/>
              </w:rPr>
              <w:t xml:space="preserve">Compromiso de Gerencia</w:t>
            </w:r>
          </w:p>
          <w:p>
            <w:pPr>
              <w:spacing w:after="0" w:line="262"/>
            </w:pPr>
            <w:r>
              <w:rPr>
                <w:rFonts w:ascii="Calibri" w:cs="Calibri" w:eastAsia="Calibri" w:hAnsi="Calibri"/>
                <w:b w:val="false"/>
                <w:bCs w:val="false"/>
                <w:i w:val="false"/>
                <w:iCs w:val="false"/>
                <w:caps w:val="false"/>
                <w:color w:val="374151"/>
                <w:sz w:val="20"/>
                <w:szCs w:val="20"/>
              </w:rPr>
              <w:t xml:space="preserve">Devolver la definición de viáticos dentro de los dos o tres días siguientes a recibir los gastos, para que la conciliación de tarjeta cierre antes del día 10; y dar el feedback del informe entre los días 13 y 14, para no comprometer la entrega del día 15.</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B3A6B"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8   </w:t>
            </w:r>
            <w:r>
              <w:rPr>
                <w:rFonts w:ascii="Calibri" w:cs="Calibri" w:eastAsia="Calibri" w:hAnsi="Calibri"/>
                <w:b/>
                <w:bCs/>
                <w:i w:val="false"/>
                <w:iCs w:val="false"/>
                <w:caps/>
                <w:color w:val="FFFFFF"/>
                <w:spacing w:val="14"/>
                <w:sz w:val="22"/>
                <w:szCs w:val="22"/>
              </w:rPr>
              <w:t xml:space="preserve">Cronograma mensual del equipo</w:t>
            </w:r>
          </w:p>
        </w:tc>
      </w:tr>
    </w:tbl>
    <w:p>
      <w:pPr>
        <w:spacing w:after="110"/>
      </w:pPr>
    </w:p>
    <w:p>
      <w:pPr>
        <w:spacing w:after="95" w:before="0" w:line="264"/>
      </w:pPr>
      <w:r>
        <w:rPr>
          <w:rFonts w:ascii="Calibri" w:cs="Calibri" w:eastAsia="Calibri" w:hAnsi="Calibri"/>
          <w:b w:val="false"/>
          <w:bCs w:val="false"/>
          <w:i w:val="false"/>
          <w:iCs w:val="false"/>
          <w:caps w:val="false"/>
          <w:color w:val="374151"/>
          <w:sz w:val="21"/>
          <w:szCs w:val="21"/>
        </w:rPr>
        <w:t xml:space="preserve">Vista del mes con los cinco roles en paralelo. Las actividades permanentes corren todo el mes y aparecen una sola vez, en la primera fila.</w:t>
      </w:r>
    </w:p>
    <w:p>
      <w:pPr>
        <w:spacing w:after="10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1000"/>
        <w:gridCol w:w="1500"/>
        <w:gridCol w:w="6572"/>
      </w:tblGrid>
      <w:tr>
        <w:trPr>
          <w:tblHeader/>
        </w:trPr>
        <w:tc>
          <w:tcPr>
            <w:tcW w:type="dxa" w:w="10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Días</w:t>
            </w:r>
          </w:p>
        </w:tc>
        <w:tc>
          <w:tcPr>
            <w:tcW w:type="dxa" w:w="15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Persona</w:t>
            </w:r>
          </w:p>
        </w:tc>
        <w:tc>
          <w:tcPr>
            <w:tcW w:type="dxa" w:w="65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Actividad</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9 al 12</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Beatriz</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Sesión con el Contador: variación de ingresos frente al mes anterior</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26 al 28</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Beatriz</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Entrega del insumo de facturación del período</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6 al cierre</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RC de cobros, RP de pagos y descomposición de cuotas de crédito</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Todo el mes</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Documento Soporte de invoice del exterior y CXP Cuenta 23</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 al 5</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Validación con Isnardi y revisión de pendientes del mes anterior</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 al 3</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Edgar</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Emisión de facturas electrónicas hacia DIAN y RADIAN</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 al 5</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 + Luis</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Validación conjunta de bancos y caja del mes anterior</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 al 9</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Acompañamiento de la conciliación y validación de saldos</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3 al 9</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Conciliación bancaria: extractos y libro</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6 al 10</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Conciliación de tarjeta: clasifica y escala a Gerencia</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6 al 10</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Edgar</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Define qué gastos de tarjeta son viáticos</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9 al 12</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Flujo de efectivo</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10 al 11</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Cartera por vigencias</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10 al 13</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Seguridad social: causación y envío a Tesorería</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10 al 14</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Nómina 1ª quincena: proyección, causación y deducciones</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10 al 14</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Cierre contable y retención en la fuente</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11 al 12</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Análisis de recaudo</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12 al 13</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EESF y Estado de Resultados</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13 al 15</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Pago de seguridad social a las entidades</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13 al 15</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Construcción del dashboard. Día 15: entrega a Gerencia</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13 al 14</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Edgar</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Sesión de feedback del informe con el Contador</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14 al 16</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Desembolso de nómina — primera quincena</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15 al 21</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RADIAN: cruce de facturas emitidas</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15 al 21</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Declaración de IVA (solo meses del bimestre)</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15 al 20</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Proceso con socios. Fecha límite: día 20</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20 al 25</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RADIAN: revisión del período y visto bueno</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20 al 25</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Validación contable del RADIAN</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22 al 25</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Causación de documentos nacionales</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25 al 29</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Nómina 2ª quincena: proyección y causación</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25 al 30</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Revisión de invoice del exterior con el Contador</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25 al cierre</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Visto bueno del Documento Soporte</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26 al cierre</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Archivo plano para la facturación del día 1</w:t>
            </w:r>
          </w:p>
        </w:tc>
      </w:tr>
      <w:tr>
        <w:tc>
          <w:tcPr>
            <w:tcW w:type="dxa" w:w="10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29 al 30</w:t>
            </w:r>
          </w:p>
        </w:tc>
        <w:tc>
          <w:tcPr>
            <w:tcW w:type="dxa" w:w="15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Edgar</w:t>
            </w:r>
          </w:p>
        </w:tc>
        <w:tc>
          <w:tcPr>
            <w:tcW w:type="dxa" w:w="65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Recibe y monta el archivo plano en Siigo</w:t>
            </w:r>
          </w:p>
        </w:tc>
      </w:tr>
      <w:tr>
        <w:tc>
          <w:tcPr>
            <w:tcW w:type="dxa" w:w="10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29 al cierre</w:t>
            </w:r>
          </w:p>
        </w:tc>
        <w:tc>
          <w:tcPr>
            <w:tcW w:type="dxa" w:w="15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w:t>
            </w:r>
          </w:p>
        </w:tc>
        <w:tc>
          <w:tcPr>
            <w:tcW w:type="dxa" w:w="65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Desembolso de nómina — segunda quincena</w:t>
            </w:r>
          </w:p>
        </w:tc>
      </w:tr>
    </w:tbl>
    <w:p>
      <w:r>
        <w:br w:type="page"/>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9072"/>
      </w:tblGrid>
      <w:tr>
        <w:tc>
          <w:tcPr>
            <w:tcW w:type="dxa" w:w="9072"/>
            <w:shd w:fill="1B3A6B"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9   </w:t>
            </w:r>
            <w:r>
              <w:rPr>
                <w:rFonts w:ascii="Calibri" w:cs="Calibri" w:eastAsia="Calibri" w:hAnsi="Calibri"/>
                <w:b/>
                <w:bCs/>
                <w:i w:val="false"/>
                <w:iCs w:val="false"/>
                <w:caps/>
                <w:color w:val="FFFFFF"/>
                <w:spacing w:val="14"/>
                <w:sz w:val="22"/>
                <w:szCs w:val="22"/>
              </w:rPr>
              <w:t xml:space="preserve">Documentos clave</w:t>
            </w:r>
          </w:p>
        </w:tc>
      </w:tr>
    </w:tbl>
    <w:p>
      <w:pPr>
        <w:spacing w:after="110"/>
      </w:pP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1300"/>
        <w:gridCol w:w="4400"/>
        <w:gridCol w:w="3372"/>
      </w:tblGrid>
      <w:tr>
        <w:trPr>
          <w:tblHeader/>
        </w:trPr>
        <w:tc>
          <w:tcPr>
            <w:tcW w:type="dxa" w:w="13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Sigla</w:t>
            </w:r>
          </w:p>
        </w:tc>
        <w:tc>
          <w:tcPr>
            <w:tcW w:type="dxa" w:w="4400"/>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Nombre y descripción</w:t>
            </w:r>
          </w:p>
        </w:tc>
        <w:tc>
          <w:tcPr>
            <w:tcW w:type="dxa" w:w="3372"/>
            <w:shd w:fill="1B3A6B"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Responsable</w:t>
            </w:r>
          </w:p>
        </w:tc>
      </w:tr>
      <w:tr>
        <w:tc>
          <w:tcPr>
            <w:tcW w:type="dxa" w:w="13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FE</w:t>
            </w:r>
          </w:p>
        </w:tc>
        <w:tc>
          <w:tcPr>
            <w:tcW w:type="dxa" w:w="4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Factura Electrónica. Documento de venta emitido desde Siigo y reportado a la DIAN.</w:t>
            </w:r>
          </w:p>
        </w:tc>
        <w:tc>
          <w:tcPr>
            <w:tcW w:type="dxa" w:w="33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Edgar</w:t>
            </w:r>
          </w:p>
        </w:tc>
      </w:tr>
      <w:tr>
        <w:tc>
          <w:tcPr>
            <w:tcW w:type="dxa" w:w="13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RC</w:t>
            </w:r>
          </w:p>
        </w:tc>
        <w:tc>
          <w:tcPr>
            <w:tcW w:type="dxa" w:w="4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Recibo de Caja. Registra el cobro recibido de un cliente y las facturas que cubre.</w:t>
            </w:r>
          </w:p>
        </w:tc>
        <w:tc>
          <w:tcPr>
            <w:tcW w:type="dxa" w:w="33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w:t>
            </w:r>
          </w:p>
        </w:tc>
      </w:tr>
      <w:tr>
        <w:tc>
          <w:tcPr>
            <w:tcW w:type="dxa" w:w="13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RP</w:t>
            </w:r>
          </w:p>
        </w:tc>
        <w:tc>
          <w:tcPr>
            <w:tcW w:type="dxa" w:w="4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Recibo de Pago. Registra el pago ejecutado a un proveedor contra la CXP.</w:t>
            </w:r>
          </w:p>
        </w:tc>
        <w:tc>
          <w:tcPr>
            <w:tcW w:type="dxa" w:w="33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w:t>
            </w:r>
          </w:p>
        </w:tc>
      </w:tr>
      <w:tr>
        <w:tc>
          <w:tcPr>
            <w:tcW w:type="dxa" w:w="13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DS</w:t>
            </w:r>
          </w:p>
        </w:tc>
        <w:tc>
          <w:tcPr>
            <w:tcW w:type="dxa" w:w="4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Documento Soporte. Se genera únicamente a partir del invoice del proveedor del exterior.</w:t>
            </w:r>
          </w:p>
        </w:tc>
        <w:tc>
          <w:tcPr>
            <w:tcW w:type="dxa" w:w="33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w:t>
            </w:r>
          </w:p>
        </w:tc>
      </w:tr>
      <w:tr>
        <w:tc>
          <w:tcPr>
            <w:tcW w:type="dxa" w:w="13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CXP 23</w:t>
            </w:r>
          </w:p>
        </w:tc>
        <w:tc>
          <w:tcPr>
            <w:tcW w:type="dxa" w:w="4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Cuenta por Pagar — Cuenta 23. Obligación causada que habilita el pago posterior.</w:t>
            </w:r>
          </w:p>
        </w:tc>
        <w:tc>
          <w:tcPr>
            <w:tcW w:type="dxa" w:w="33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Causa: Luis · Paga: Isnardi</w:t>
            </w:r>
          </w:p>
        </w:tc>
      </w:tr>
      <w:tr>
        <w:tc>
          <w:tcPr>
            <w:tcW w:type="dxa" w:w="13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ANT 13</w:t>
            </w:r>
          </w:p>
        </w:tc>
        <w:tc>
          <w:tcPr>
            <w:tcW w:type="dxa" w:w="4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Anticipo — Cuenta 13. Salida de dinero sin soporte documental, pendiente de legalización.</w:t>
            </w:r>
          </w:p>
        </w:tc>
        <w:tc>
          <w:tcPr>
            <w:tcW w:type="dxa" w:w="33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Isnardi</w:t>
            </w:r>
          </w:p>
        </w:tc>
      </w:tr>
      <w:tr>
        <w:tc>
          <w:tcPr>
            <w:tcW w:type="dxa" w:w="13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RADIAN</w:t>
            </w:r>
          </w:p>
        </w:tc>
        <w:tc>
          <w:tcPr>
            <w:tcW w:type="dxa" w:w="4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Registro de la DIAN donde se validan las facturas electrónicas emitidas.</w:t>
            </w:r>
          </w:p>
        </w:tc>
        <w:tc>
          <w:tcPr>
            <w:tcW w:type="dxa" w:w="33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 V.B.: Cristian</w:t>
            </w:r>
          </w:p>
        </w:tc>
      </w:tr>
      <w:tr>
        <w:tc>
          <w:tcPr>
            <w:tcW w:type="dxa" w:w="13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TDC</w:t>
            </w:r>
          </w:p>
        </w:tc>
        <w:tc>
          <w:tcPr>
            <w:tcW w:type="dxa" w:w="4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Tarjeta de Crédito. Extracto hacia el día 6; su conciliación requiere definición de viáticos.</w:t>
            </w:r>
          </w:p>
        </w:tc>
        <w:tc>
          <w:tcPr>
            <w:tcW w:type="dxa" w:w="33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Luis · Define: Edgar</w:t>
            </w:r>
          </w:p>
        </w:tc>
      </w:tr>
      <w:tr>
        <w:tc>
          <w:tcPr>
            <w:tcW w:type="dxa" w:w="13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EESF</w:t>
            </w:r>
          </w:p>
        </w:tc>
        <w:tc>
          <w:tcPr>
            <w:tcW w:type="dxa" w:w="4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Estado de Situación Financiera. Activo, pasivo y patrimonio validados contra Siigo.</w:t>
            </w:r>
          </w:p>
        </w:tc>
        <w:tc>
          <w:tcPr>
            <w:tcW w:type="dxa" w:w="33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Cristian</w:t>
            </w:r>
          </w:p>
        </w:tc>
      </w:tr>
    </w:tbl>
    <w:p>
      <w:pPr>
        <w:pBdr>
          <w:bottom w:val="single" w:color="CBD5E1" w:sz="6" w:space="6"/>
        </w:pBdr>
        <w:spacing w:after="80" w:before="200" w:line="250"/>
      </w:pPr>
      <w:r>
        <w:rPr>
          <w:rFonts w:ascii="Calibri" w:cs="Calibri" w:eastAsia="Calibri" w:hAnsi="Calibri"/>
          <w:b/>
          <w:bCs/>
          <w:i w:val="false"/>
          <w:iCs w:val="false"/>
          <w:caps w:val="false"/>
          <w:color w:val="1B3A6B"/>
          <w:sz w:val="23"/>
          <w:szCs w:val="23"/>
        </w:rPr>
        <w:t xml:space="preserve">Descomposición de un pago de crédito</w:t>
      </w:r>
    </w:p>
    <w:p>
      <w:pPr>
        <w:spacing w:after="140" w:before="0" w:line="264"/>
      </w:pPr>
      <w:r>
        <w:rPr>
          <w:rFonts w:ascii="Calibri" w:cs="Calibri" w:eastAsia="Calibri" w:hAnsi="Calibri"/>
          <w:b w:val="false"/>
          <w:bCs w:val="false"/>
          <w:i w:val="false"/>
          <w:iCs w:val="false"/>
          <w:caps w:val="false"/>
          <w:color w:val="374151"/>
          <w:sz w:val="21"/>
          <w:szCs w:val="21"/>
        </w:rPr>
        <w:t xml:space="preserve">Referencia rápida de las porciones en que se divide la cuota de una obligación financiera.</w:t>
      </w:r>
    </w:p>
    <w:tbl>
      <w:tblPr>
        <w:tblW w:type="dxa" w:w="9072"/>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3400"/>
        <w:gridCol w:w="3272"/>
      </w:tblGrid>
      <w:tr>
        <w:trPr>
          <w:tblHeader/>
        </w:trPr>
        <w:tc>
          <w:tcPr>
            <w:tcW w:type="dxa" w:w="2400"/>
            <w:shd w:fill="1B6B45"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Porción</w:t>
            </w:r>
          </w:p>
        </w:tc>
        <w:tc>
          <w:tcPr>
            <w:tcW w:type="dxa" w:w="3400"/>
            <w:shd w:fill="1B6B45"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Qué representa</w:t>
            </w:r>
          </w:p>
        </w:tc>
        <w:tc>
          <w:tcPr>
            <w:tcW w:type="dxa" w:w="3272"/>
            <w:shd w:fill="1B6B45" w:color="auto" w:val="clear"/>
            <w:tcMar>
              <w:top w:type="dxa" w:w="78"/>
              <w:left w:type="dxa" w:w="120"/>
              <w:bottom w:type="dxa" w:w="78"/>
              <w:right w:type="dxa" w:w="120"/>
            </w:tcMar>
          </w:tcPr>
          <w:p>
            <w:pPr>
              <w:spacing w:after="0" w:line="230"/>
            </w:pPr>
            <w:r>
              <w:rPr>
                <w:rFonts w:ascii="Calibri" w:cs="Calibri" w:eastAsia="Calibri" w:hAnsi="Calibri"/>
                <w:b/>
                <w:bCs/>
                <w:i w:val="false"/>
                <w:iCs w:val="false"/>
                <w:caps/>
                <w:color w:val="FFFFFF"/>
                <w:spacing w:val="12"/>
                <w:sz w:val="18"/>
                <w:szCs w:val="18"/>
              </w:rPr>
              <w:t xml:space="preserve">Efecto contable</w:t>
            </w:r>
          </w:p>
        </w:tc>
      </w:tr>
      <w:tr>
        <w:tc>
          <w:tcPr>
            <w:tcW w:type="dxa" w:w="2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Capital</w:t>
            </w:r>
          </w:p>
        </w:tc>
        <w:tc>
          <w:tcPr>
            <w:tcW w:type="dxa" w:w="3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Abono que reduce la deuda</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Disminuye el pasivo de la obligación financiera</w:t>
            </w:r>
          </w:p>
        </w:tc>
      </w:tr>
      <w:tr>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Intereses</w:t>
            </w:r>
          </w:p>
        </w:tc>
        <w:tc>
          <w:tcPr>
            <w:tcW w:type="dxa" w:w="3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Costo del dinero en el período</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Gasto financiero del mes</w:t>
            </w:r>
          </w:p>
        </w:tc>
      </w:tr>
      <w:tr>
        <w:tc>
          <w:tcPr>
            <w:tcW w:type="dxa" w:w="2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Póliza y seguro de deudor</w:t>
            </w:r>
          </w:p>
        </w:tc>
        <w:tc>
          <w:tcPr>
            <w:tcW w:type="dxa" w:w="3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Cobertura exigida por el banco</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Gasto del período, cuenta propia</w:t>
            </w:r>
          </w:p>
        </w:tc>
      </w:tr>
      <w:tr>
        <w:tc>
          <w:tcPr>
            <w:tcW w:type="dxa" w:w="2400"/>
            <w:shd w:fill="F5F7FA" w:color="auto" w:val="clear"/>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Comisiones y estudio</w:t>
            </w:r>
          </w:p>
        </w:tc>
        <w:tc>
          <w:tcPr>
            <w:tcW w:type="dxa" w:w="3400"/>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Cargos administrativos del banco</w:t>
            </w:r>
          </w:p>
        </w:tc>
        <w:tc>
          <w:tcPr>
            <w:tcW w:type="dxa" w:w="3272"/>
            <w:shd w:fill="F5F7FA" w:color="auto" w:val="clear"/>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Gasto bancario del período</w:t>
            </w:r>
          </w:p>
        </w:tc>
      </w:tr>
      <w:tr>
        <w:tc>
          <w:tcPr>
            <w:tcW w:type="dxa" w:w="2400"/>
            <w:tcMar>
              <w:top w:type="dxa" w:w="72"/>
              <w:left w:type="dxa" w:w="120"/>
              <w:bottom w:type="dxa" w:w="72"/>
              <w:right w:type="dxa" w:w="120"/>
            </w:tcMar>
          </w:tcPr>
          <w:p>
            <w:pPr>
              <w:spacing w:after="0" w:line="238"/>
            </w:pPr>
            <w:r>
              <w:rPr>
                <w:rFonts w:ascii="Calibri" w:cs="Calibri" w:eastAsia="Calibri" w:hAnsi="Calibri"/>
                <w:b/>
                <w:bCs/>
                <w:i w:val="false"/>
                <w:iCs w:val="false"/>
                <w:caps w:val="false"/>
                <w:color w:val="1A2540"/>
                <w:sz w:val="18"/>
                <w:szCs w:val="18"/>
              </w:rPr>
              <w:t xml:space="preserve">Total</w:t>
            </w:r>
          </w:p>
        </w:tc>
        <w:tc>
          <w:tcPr>
            <w:tcW w:type="dxa" w:w="3400"/>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Suma de todas las porciones</w:t>
            </w:r>
          </w:p>
        </w:tc>
        <w:tc>
          <w:tcPr>
            <w:tcW w:type="dxa" w:w="3272"/>
            <w:tcMar>
              <w:top w:type="dxa" w:w="72"/>
              <w:left w:type="dxa" w:w="120"/>
              <w:bottom w:type="dxa" w:w="72"/>
              <w:right w:type="dxa" w:w="120"/>
            </w:tcMar>
          </w:tcPr>
          <w:p>
            <w:pPr>
              <w:spacing w:after="0" w:line="238"/>
            </w:pPr>
            <w:r>
              <w:rPr>
                <w:rFonts w:ascii="Calibri" w:cs="Calibri" w:eastAsia="Calibri" w:hAnsi="Calibri"/>
                <w:b w:val="false"/>
                <w:bCs w:val="false"/>
                <w:i w:val="false"/>
                <w:iCs w:val="false"/>
                <w:caps w:val="false"/>
                <w:color w:val="374151"/>
                <w:sz w:val="18"/>
                <w:szCs w:val="18"/>
              </w:rPr>
              <w:t xml:space="preserve">Debe igualar exactamente la salida de dinero del banco</w:t>
            </w:r>
          </w:p>
        </w:tc>
      </w:tr>
    </w:tbl>
    <w:p>
      <w:pPr>
        <w:spacing w:after="200"/>
      </w:pPr>
    </w:p>
    <w:p>
      <w:pPr>
        <w:spacing w:after="60" w:line="240"/>
        <w:jc w:val="center"/>
      </w:pPr>
      <w:r>
        <w:rPr>
          <w:rFonts w:ascii="Calibri" w:cs="Calibri" w:eastAsia="Calibri" w:hAnsi="Calibri"/>
          <w:b w:val="false"/>
          <w:bCs w:val="false"/>
          <w:i/>
          <w:iCs/>
          <w:caps w:val="false"/>
          <w:color w:val="64748B"/>
          <w:sz w:val="18"/>
          <w:szCs w:val="18"/>
        </w:rPr>
        <w:t xml:space="preserve">Documento preparado por Cristian Bernal — Contador · IES</w:t>
      </w:r>
    </w:p>
    <w:p>
      <w:pPr>
        <w:spacing w:after="0" w:line="240"/>
        <w:jc w:val="center"/>
      </w:pPr>
      <w:r>
        <w:rPr>
          <w:rFonts w:ascii="Calibri" w:cs="Calibri" w:eastAsia="Calibri" w:hAnsi="Calibri"/>
          <w:b w:val="false"/>
          <w:bCs w:val="false"/>
          <w:i/>
          <w:iCs/>
          <w:caps w:val="false"/>
          <w:color w:val="64748B"/>
          <w:sz w:val="18"/>
          <w:szCs w:val="18"/>
        </w:rPr>
        <w:t xml:space="preserve">11 de agosto de 2026</w:t>
      </w:r>
    </w:p>
    <w:p>
      <w:pPr>
        <w:sectPr>
          <w:headerReference w:type="default" r:id="rId7"/>
          <w:footerReference w:type="default" r:id="rId8"/>
          <w:pgSz w:w="11906" w:h="16838" w:orient="portrait"/>
          <w:pgMar w:top="1417" w:right="1417" w:bottom="1417" w:left="1417" w:header="700" w:footer="700" w:gutter="0"/>
          <w:pgNumType/>
          <w:docGrid w:linePitch="360"/>
        </w:sectPr>
      </w:pPr>
    </w:p>
    <w:tbl>
      <w:tblPr>
        <w:tblW w:type="dxa" w:w="14004"/>
        <w:tblBorders>
          <w:top w:val="none" w:color="auto" w:sz="0"/>
          <w:left w:val="none" w:color="auto" w:sz="0"/>
          <w:bottom w:val="none" w:color="auto" w:sz="0"/>
          <w:right w:val="none" w:color="auto" w:sz="0"/>
          <w:insideH w:val="none" w:color="auto" w:sz="0"/>
          <w:insideV w:val="none" w:color="auto" w:sz="0"/>
        </w:tblBorders>
      </w:tblPr>
      <w:tblGrid>
        <w:gridCol w:w="14004"/>
      </w:tblGrid>
      <w:tr>
        <w:tc>
          <w:tcPr>
            <w:tcW w:type="dxa" w:w="14004"/>
            <w:shd w:fill="1B3A6B" w:color="auto" w:val="clear"/>
            <w:tcMar>
              <w:top w:type="dxa" w:w="95"/>
              <w:left w:type="dxa" w:w="190"/>
              <w:bottom w:type="dxa" w:w="95"/>
              <w:right w:type="dxa" w:w="190"/>
            </w:tcMar>
          </w:tcPr>
          <w:p>
            <w:pPr>
              <w:spacing w:after="0" w:line="240"/>
            </w:pPr>
            <w:r>
              <w:rPr>
                <w:rFonts w:ascii="Calibri" w:cs="Calibri" w:eastAsia="Calibri" w:hAnsi="Calibri"/>
                <w:b/>
                <w:bCs/>
                <w:i w:val="false"/>
                <w:iCs w:val="false"/>
                <w:caps w:val="false"/>
                <w:color w:val="FFFFFF"/>
                <w:sz w:val="22"/>
                <w:szCs w:val="22"/>
              </w:rPr>
              <w:t xml:space="preserve">Anexo A   </w:t>
            </w:r>
            <w:r>
              <w:rPr>
                <w:rFonts w:ascii="Calibri" w:cs="Calibri" w:eastAsia="Calibri" w:hAnsi="Calibri"/>
                <w:b/>
                <w:bCs/>
                <w:i w:val="false"/>
                <w:iCs w:val="false"/>
                <w:caps/>
                <w:color w:val="FFFFFF"/>
                <w:spacing w:val="14"/>
                <w:sz w:val="22"/>
                <w:szCs w:val="22"/>
              </w:rPr>
              <w:t xml:space="preserve">Línea de tiempo del mes</w:t>
            </w:r>
          </w:p>
        </w:tc>
      </w:tr>
    </w:tbl>
    <w:p>
      <w:pPr>
        <w:spacing w:after="90"/>
      </w:pPr>
    </w:p>
    <w:p>
      <w:pPr>
        <w:spacing w:after="110" w:before="0" w:line="264"/>
      </w:pPr>
      <w:r>
        <w:rPr>
          <w:rFonts w:ascii="Calibri" w:cs="Calibri" w:eastAsia="Calibri" w:hAnsi="Calibri"/>
          <w:b w:val="false"/>
          <w:bCs w:val="false"/>
          <w:i w:val="false"/>
          <w:iCs w:val="false"/>
          <w:caps w:val="false"/>
          <w:color w:val="374151"/>
          <w:sz w:val="19"/>
          <w:szCs w:val="19"/>
        </w:rPr>
        <w:t xml:space="preserve">Dónde está cada persona cada día del mes y en qué días su trabajo depende de otro. La banda inferior marca los puntos de cruce: la franja lleva el color de quien entrega y de quien recibe. Las columnas grises son sábados y domingos. Corresponde a un mes de 31 días.</w:t>
      </w:r>
    </w:p>
    <w:tbl>
      <w:tblPr>
        <w:tblW w:type="dxa" w:w="14004"/>
        <w:tblBorders>
          <w:top w:val="single" w:color="CBD5E1" w:sz="2"/>
          <w:left w:val="single" w:color="CBD5E1" w:sz="2"/>
          <w:bottom w:val="single" w:color="CBD5E1" w:sz="2"/>
          <w:right w:val="single" w:color="CBD5E1" w:sz="2"/>
          <w:insideH w:val="single" w:color="E7E5DE" w:sz="1"/>
          <w:insideV w:val="single" w:color="E7E5DE" w:sz="1"/>
        </w:tblBorders>
      </w:tblPr>
      <w:tblGrid>
        <w:gridCol w:w="3805"/>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tblGrid>
      <w:tr>
        <w:trPr>
          <w:tblHeader/>
        </w:trPr>
        <w:tc>
          <w:tcPr>
            <w:tcW w:type="dxa" w:w="3805"/>
            <w:shd w:fill="1B3A6B" w:color="auto" w:val="clear"/>
            <w:tcMar>
              <w:top w:type="dxa" w:w="20"/>
              <w:left w:type="dxa" w:w="60"/>
              <w:bottom w:type="dxa" w:w="20"/>
              <w:right w:type="dxa" w:w="40"/>
            </w:tcMar>
            <w:vAlign w:val="center"/>
          </w:tcPr>
          <w:p>
            <w:pPr>
              <w:spacing w:after="0" w:line="180"/>
              <w:jc w:val="left"/>
            </w:pPr>
            <w:r>
              <w:rPr>
                <w:rFonts w:ascii="Calibri" w:cs="Calibri" w:eastAsia="Calibri" w:hAnsi="Calibri"/>
                <w:b/>
                <w:bCs/>
                <w:i w:val="false"/>
                <w:iCs w:val="false"/>
                <w:caps w:val="false"/>
                <w:color w:val="FFFFFF"/>
                <w:sz w:val="14"/>
                <w:szCs w:val="14"/>
              </w:rPr>
              <w:t xml:space="preserve">Día del mes</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1</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2</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3</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4</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5</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6</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7</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8</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9</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10</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11</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12</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13</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14</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15</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16</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17</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18</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19</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20</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21</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22</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23</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24</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25</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26</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27</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28</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29</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30</w:t>
            </w:r>
          </w:p>
        </w:tc>
        <w:tc>
          <w:tcPr>
            <w:tcW w:type="dxa" w:w="329"/>
            <w:shd w:fill="1B3A6B"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FFFFFF"/>
                <w:sz w:val="12"/>
                <w:szCs w:val="12"/>
              </w:rPr>
              <w:t xml:space="preserve">31</w:t>
            </w:r>
          </w:p>
        </w:tc>
      </w:tr>
      <w:tr>
        <w:trPr>
          <w:tblHeader/>
        </w:trPr>
        <w:tc>
          <w:tcPr>
            <w:tcW w:type="dxa" w:w="3805"/>
            <w:shd w:fill="F5F7FA" w:color="auto" w:val="clear"/>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S</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D</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L</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M</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X</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J</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V</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S</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D</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L</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M</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X</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J</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V</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S</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D</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L</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M</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X</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J</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V</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S</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D</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L</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M</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X</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J</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V</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S</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D</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1"/>
                <w:szCs w:val="11"/>
              </w:rPr>
              <w:t xml:space="preserve">L</w:t>
            </w:r>
          </w:p>
        </w:tc>
      </w:tr>
      <w:tr>
        <w:tc>
          <w:tcPr>
            <w:tcW w:type="dxa" w:w="14004"/>
            <w:gridSpan w:val="32"/>
            <w:shd w:fill="EDA100" w:color="auto" w:val="clear"/>
            <w:tcMar>
              <w:top w:type="dxa" w:w="40"/>
              <w:left w:type="dxa" w:w="60"/>
              <w:bottom w:type="dxa" w:w="40"/>
              <w:right w:type="dxa" w:w="40"/>
            </w:tcMar>
          </w:tcPr>
          <w:p>
            <w:pPr>
              <w:spacing w:after="0" w:line="190"/>
            </w:pPr>
            <w:r>
              <w:rPr>
                <w:rFonts w:ascii="Calibri" w:cs="Calibri" w:eastAsia="Calibri" w:hAnsi="Calibri"/>
                <w:b/>
                <w:bCs/>
                <w:i w:val="false"/>
                <w:iCs w:val="false"/>
                <w:caps w:val="false"/>
                <w:color w:val="FFFFFF"/>
                <w:sz w:val="15"/>
                <w:szCs w:val="15"/>
              </w:rPr>
              <w:t xml:space="preserve">Beatriz   </w:t>
            </w:r>
            <w:r>
              <w:rPr>
                <w:rFonts w:ascii="Calibri" w:cs="Calibri" w:eastAsia="Calibri" w:hAnsi="Calibri"/>
                <w:b w:val="false"/>
                <w:bCs w:val="false"/>
                <w:i w:val="false"/>
                <w:iCs w:val="false"/>
                <w:caps w:val="false"/>
                <w:color w:val="FFFFFF"/>
                <w:sz w:val="13"/>
                <w:szCs w:val="13"/>
              </w:rPr>
              <w:t xml:space="preserve">Insumos Facturación</w:t>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Análisis de variación de ingresos — sesión con el Contador</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DA100"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DA100"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DA100"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DA100"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Entrega del insumo de facturación — cierre del período</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DA100"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DA100"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DA100"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14004"/>
            <w:gridSpan w:val="32"/>
            <w:shd w:fill="E87BA4" w:color="auto" w:val="clear"/>
            <w:tcMar>
              <w:top w:type="dxa" w:w="40"/>
              <w:left w:type="dxa" w:w="60"/>
              <w:bottom w:type="dxa" w:w="40"/>
              <w:right w:type="dxa" w:w="40"/>
            </w:tcMar>
          </w:tcPr>
          <w:p>
            <w:pPr>
              <w:spacing w:after="0" w:line="190"/>
            </w:pPr>
            <w:r>
              <w:rPr>
                <w:rFonts w:ascii="Calibri" w:cs="Calibri" w:eastAsia="Calibri" w:hAnsi="Calibri"/>
                <w:b/>
                <w:bCs/>
                <w:i w:val="false"/>
                <w:iCs w:val="false"/>
                <w:caps w:val="false"/>
                <w:color w:val="FFFFFF"/>
                <w:sz w:val="15"/>
                <w:szCs w:val="15"/>
              </w:rPr>
              <w:t xml:space="preserve">Edgar Metaute   </w:t>
            </w:r>
            <w:r>
              <w:rPr>
                <w:rFonts w:ascii="Calibri" w:cs="Calibri" w:eastAsia="Calibri" w:hAnsi="Calibri"/>
                <w:b w:val="false"/>
                <w:bCs w:val="false"/>
                <w:i w:val="false"/>
                <w:iCs w:val="false"/>
                <w:caps w:val="false"/>
                <w:color w:val="FFFFFF"/>
                <w:sz w:val="13"/>
                <w:szCs w:val="13"/>
              </w:rPr>
              <w:t xml:space="preserve">Automatización / Siigo</w:t>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Organización del archivo plano en Siigo</w:t>
            </w:r>
          </w:p>
        </w:tc>
        <w:tc>
          <w:tcPr>
            <w:tcW w:type="dxa" w:w="329"/>
            <w:shd w:fill="E87BA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87BA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87BA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Emisión de facturas electrónicas — Siigo → DIAN / RADIAN</w:t>
            </w:r>
          </w:p>
        </w:tc>
        <w:tc>
          <w:tcPr>
            <w:tcW w:type="dxa" w:w="329"/>
            <w:shd w:fill="E87BA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87BA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87BA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Validación gastos TDC — definir viáticos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87BA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87BA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87BA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87BA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87BA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Feedback del informe — sesión con el Contador</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87BA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87BA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Recepción y montaje del archivo plano — cierre de mes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87BA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87BA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14004"/>
            <w:gridSpan w:val="32"/>
            <w:shd w:fill="2A78D6" w:color="auto" w:val="clear"/>
            <w:tcMar>
              <w:top w:type="dxa" w:w="40"/>
              <w:left w:type="dxa" w:w="60"/>
              <w:bottom w:type="dxa" w:w="40"/>
              <w:right w:type="dxa" w:w="40"/>
            </w:tcMar>
          </w:tcPr>
          <w:p>
            <w:pPr>
              <w:spacing w:after="0" w:line="190"/>
            </w:pPr>
            <w:r>
              <w:rPr>
                <w:rFonts w:ascii="Calibri" w:cs="Calibri" w:eastAsia="Calibri" w:hAnsi="Calibri"/>
                <w:b/>
                <w:bCs/>
                <w:i w:val="false"/>
                <w:iCs w:val="false"/>
                <w:caps w:val="false"/>
                <w:color w:val="FFFFFF"/>
                <w:sz w:val="15"/>
                <w:szCs w:val="15"/>
              </w:rPr>
              <w:t xml:space="preserve">Isnardi Sanches   </w:t>
            </w:r>
            <w:r>
              <w:rPr>
                <w:rFonts w:ascii="Calibri" w:cs="Calibri" w:eastAsia="Calibri" w:hAnsi="Calibri"/>
                <w:b w:val="false"/>
                <w:bCs w:val="false"/>
                <w:i w:val="false"/>
                <w:iCs w:val="false"/>
                <w:caps w:val="false"/>
                <w:color w:val="FFFFFF"/>
                <w:sz w:val="13"/>
                <w:szCs w:val="13"/>
              </w:rPr>
              <w:t xml:space="preserve">Tesorera</w:t>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Validación de bancos y caja del mes anterior — con Luis</w:t>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RC — Cobros diarios en caja y bancos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RP — Pagos a proveedores · Anticipos Cta. 13</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Pagos avanzados — créditos y obligaciones financieras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Pago seguridad social a entidades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Desembolso nómina 1ª quincena</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Desembolso nómina 2ª quincena</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14004"/>
            <w:gridSpan w:val="32"/>
            <w:shd w:fill="EB6834" w:color="auto" w:val="clear"/>
            <w:tcMar>
              <w:top w:type="dxa" w:w="40"/>
              <w:left w:type="dxa" w:w="60"/>
              <w:bottom w:type="dxa" w:w="40"/>
              <w:right w:type="dxa" w:w="40"/>
            </w:tcMar>
          </w:tcPr>
          <w:p>
            <w:pPr>
              <w:spacing w:after="0" w:line="190"/>
            </w:pPr>
            <w:r>
              <w:rPr>
                <w:rFonts w:ascii="Calibri" w:cs="Calibri" w:eastAsia="Calibri" w:hAnsi="Calibri"/>
                <w:b/>
                <w:bCs/>
                <w:i w:val="false"/>
                <w:iCs w:val="false"/>
                <w:caps w:val="false"/>
                <w:color w:val="FFFFFF"/>
                <w:sz w:val="15"/>
                <w:szCs w:val="15"/>
              </w:rPr>
              <w:t xml:space="preserve">Luis Amador   </w:t>
            </w:r>
            <w:r>
              <w:rPr>
                <w:rFonts w:ascii="Calibri" w:cs="Calibri" w:eastAsia="Calibri" w:hAnsi="Calibri"/>
                <w:b w:val="false"/>
                <w:bCs w:val="false"/>
                <w:i w:val="false"/>
                <w:iCs w:val="false"/>
                <w:caps w:val="false"/>
                <w:color w:val="FFFFFF"/>
                <w:sz w:val="13"/>
                <w:szCs w:val="13"/>
              </w:rPr>
              <w:t xml:space="preserve">Aux. Contable</w:t>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Revisión pendientes del mes anterior</w:t>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Validación de bancos y caja del mes anterior — con Isnardi</w:t>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Documento Soporte — invoice proveedores del exterior</w:t>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Conciliación bancaria — extractos y libro</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Conciliación tarjeta de crédito — validación de gastos con Edgar</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Seguridad social — causación y envío a Tesorería</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Nómina 1ª quincena — proyección, causación y deducciones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RADIAN — Validación + revisión período del mes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Causaciones — FE / DS · Invoice exterior → CXP 23 · Cierre mes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Nómina 2ª quincena — proyección, causación y deducciones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Archivo plano — facturación día 1 próximo mes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14004"/>
            <w:gridSpan w:val="32"/>
            <w:shd w:fill="1BAF7A" w:color="auto" w:val="clear"/>
            <w:tcMar>
              <w:top w:type="dxa" w:w="40"/>
              <w:left w:type="dxa" w:w="60"/>
              <w:bottom w:type="dxa" w:w="40"/>
              <w:right w:type="dxa" w:w="40"/>
            </w:tcMar>
          </w:tcPr>
          <w:p>
            <w:pPr>
              <w:spacing w:after="0" w:line="190"/>
            </w:pPr>
            <w:r>
              <w:rPr>
                <w:rFonts w:ascii="Calibri" w:cs="Calibri" w:eastAsia="Calibri" w:hAnsi="Calibri"/>
                <w:b/>
                <w:bCs/>
                <w:i w:val="false"/>
                <w:iCs w:val="false"/>
                <w:caps w:val="false"/>
                <w:color w:val="FFFFFF"/>
                <w:sz w:val="15"/>
                <w:szCs w:val="15"/>
              </w:rPr>
              <w:t xml:space="preserve">Cristian Bernal   </w:t>
            </w:r>
            <w:r>
              <w:rPr>
                <w:rFonts w:ascii="Calibri" w:cs="Calibri" w:eastAsia="Calibri" w:hAnsi="Calibri"/>
                <w:b w:val="false"/>
                <w:bCs w:val="false"/>
                <w:i w:val="false"/>
                <w:iCs w:val="false"/>
                <w:caps w:val="false"/>
                <w:color w:val="FFFFFF"/>
                <w:sz w:val="13"/>
                <w:szCs w:val="13"/>
              </w:rPr>
              <w:t xml:space="preserve">Contador</w:t>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Acompañamiento conciliación + validación saldos</w:t>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Flujo de efectivo — descarga, organización y validación</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Sesión con Beatriz — variación de ingresos para socios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Cartera por vigencias y por tercero desplegable</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Validación seguridad social antes del desembolso</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Cierre contable + retención en la fuente</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Análisis de recaudo del mes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EESF — desarrollo y validación contra Siigo</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Estado de Resultados — desarrollo y validación contra Siigo</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Sesión con Edgar — feedback del informe antes de socios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Dashboard integral — construcción y entrega a Don Edgar</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Proceso con socios — revisión, análisis y cierre</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RADIAN período del mes — validación contable</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Visto bueno Documento Soporte — invoice proveedores del exterior</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14004"/>
            <w:gridSpan w:val="32"/>
            <w:shd w:fill="1A2540" w:color="auto" w:val="clear"/>
            <w:tcMar>
              <w:top w:type="dxa" w:w="40"/>
              <w:left w:type="dxa" w:w="60"/>
              <w:bottom w:type="dxa" w:w="40"/>
              <w:right w:type="dxa" w:w="40"/>
            </w:tcMar>
          </w:tcPr>
          <w:p>
            <w:pPr>
              <w:spacing w:after="0" w:line="190"/>
            </w:pPr>
            <w:r>
              <w:rPr>
                <w:rFonts w:ascii="Calibri" w:cs="Calibri" w:eastAsia="Calibri" w:hAnsi="Calibri"/>
                <w:b/>
                <w:bCs/>
                <w:i w:val="false"/>
                <w:iCs w:val="false"/>
                <w:caps/>
                <w:color w:val="FFFFFF"/>
                <w:spacing w:val="12"/>
                <w:sz w:val="15"/>
                <w:szCs w:val="15"/>
              </w:rPr>
              <w:t xml:space="preserve">Puntos de cruce entre personas</w:t>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2"/>
                <w:szCs w:val="12"/>
              </w:rPr>
              <w:t xml:space="preserve">Isnardi → Luis  ·  Validación conjunta de bancos y caja del mes anterior</w:t>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2A78D6"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2"/>
                <w:szCs w:val="12"/>
              </w:rPr>
              <w:t xml:space="preserve">Luis → Isnardi  ·  Luis causa la CXP · Isnardi paga contra ella</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2"/>
                <w:szCs w:val="12"/>
              </w:rPr>
              <w:t xml:space="preserve">Luis → Edgar  ·  Luis escala gastos de tarjeta · Edgar define viáticos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2"/>
                <w:szCs w:val="12"/>
              </w:rPr>
              <w:t xml:space="preserve">Luis → Cristian  ·  Luis entrega la conciliación · Cristian valida saldos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2"/>
                <w:szCs w:val="12"/>
              </w:rPr>
              <w:t xml:space="preserve">Beatriz → Cristian  ·  Beatriz explica la variación de ingresos</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DA100"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DA100"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DA100"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DA100"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2"/>
                <w:szCs w:val="12"/>
              </w:rPr>
              <w:t xml:space="preserve">Luis → Cristian  ·  Luis causa seguridad social · Cristian valida</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2"/>
                <w:szCs w:val="12"/>
              </w:rPr>
              <w:t xml:space="preserve">Luis → Isnardi  ·  Soporte de seguridad social · Isnardi paga</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2"/>
                <w:szCs w:val="12"/>
              </w:rPr>
              <w:t xml:space="preserve">Luis → Isnardi  ·  Deducciones validadas · Isnardi desembolsa 1ª quincena</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2"/>
                <w:szCs w:val="12"/>
              </w:rPr>
              <w:t xml:space="preserve">Cristian → Edgar  ·  Cristian presenta el informe · Edgar da feedback</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1BAF7A"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2"/>
                <w:szCs w:val="12"/>
              </w:rPr>
              <w:t xml:space="preserve">Luis → Cristian  ·  RADIAN validado · Cristian da visto bueno</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2"/>
                <w:szCs w:val="12"/>
              </w:rPr>
              <w:t xml:space="preserve">Luis → Cristian  ·  Revisión conjunta de invoice del exterior</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2"/>
                <w:szCs w:val="12"/>
              </w:rPr>
              <w:t xml:space="preserve">Beatriz → Luis  ·  Beatriz entrega el insumo de facturación</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DA100"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DA100"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DA100"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2"/>
                <w:szCs w:val="12"/>
              </w:rPr>
              <w:t xml:space="preserve">Luis → Edgar  ·  Luis entrega el archivo plano · Edgar lo monta</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tcMar>
              <w:top w:type="dxa" w:w="20"/>
              <w:left w:type="dxa" w:w="6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2"/>
                <w:szCs w:val="12"/>
              </w:rPr>
              <w:t xml:space="preserve">Luis → Isnardi  ·  Deducciones validadas · Isnardi desembolsa 2ª quincena</w:t>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FEFEC"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c>
          <w:tcPr>
            <w:tcW w:type="dxa" w:w="329"/>
            <w:shd w:fill="EB6834" w:color="auto" w:val="clear"/>
            <w:tcMar>
              <w:top w:type="dxa" w:w="20"/>
              <w:left w:type="dxa" w:w="40"/>
              <w:bottom w:type="dxa" w:w="20"/>
              <w:right w:type="dxa" w:w="40"/>
            </w:tcMar>
            <w:vAlign w:val="center"/>
          </w:tcPr>
          <w:p>
            <w:pPr>
              <w:spacing w:after="0" w:line="180"/>
              <w:jc w:val="left"/>
            </w:pPr>
            <w:r>
              <w:rPr>
                <w:rFonts w:ascii="Calibri" w:cs="Calibri" w:eastAsia="Calibri" w:hAnsi="Calibri"/>
                <w:b w:val="false"/>
                <w:bCs w:val="false"/>
                <w:i w:val="false"/>
                <w:iCs w:val="false"/>
                <w:caps w:val="false"/>
                <w:color w:val="374151"/>
                <w:sz w:val="13"/>
                <w:szCs w:val="13"/>
              </w:rPr>
              <w:t xml:space="preserve"/>
            </w:r>
          </w:p>
        </w:tc>
      </w:tr>
      <w:tr>
        <w:tc>
          <w:tcPr>
            <w:tcW w:type="dxa" w:w="3805"/>
            <w:shd w:fill="F5F7FA" w:color="auto" w:val="clear"/>
            <w:tcMar>
              <w:top w:type="dxa" w:w="20"/>
              <w:left w:type="dxa" w:w="60"/>
              <w:bottom w:type="dxa" w:w="20"/>
              <w:right w:type="dxa" w:w="40"/>
            </w:tcMar>
            <w:vAlign w:val="center"/>
          </w:tcPr>
          <w:p>
            <w:pPr>
              <w:spacing w:after="0" w:line="180"/>
              <w:jc w:val="left"/>
            </w:pPr>
            <w:r>
              <w:rPr>
                <w:rFonts w:ascii="Calibri" w:cs="Calibri" w:eastAsia="Calibri" w:hAnsi="Calibri"/>
                <w:b/>
                <w:bCs/>
                <w:i w:val="false"/>
                <w:iCs w:val="false"/>
                <w:caps w:val="false"/>
                <w:color w:val="1A2540"/>
                <w:sz w:val="13"/>
                <w:szCs w:val="13"/>
              </w:rPr>
              <w:t xml:space="preserve">Cruces activos ese día</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1</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1</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1</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1</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1</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2</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3</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3</w:t>
            </w:r>
          </w:p>
        </w:tc>
        <w:tc>
          <w:tcPr>
            <w:tcW w:type="dxa" w:w="329"/>
            <w:shd w:fill="FEF2F2"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B91C1C"/>
                <w:sz w:val="12"/>
                <w:szCs w:val="12"/>
              </w:rPr>
              <w:t xml:space="preserve">4</w:t>
            </w:r>
          </w:p>
        </w:tc>
        <w:tc>
          <w:tcPr>
            <w:tcW w:type="dxa" w:w="329"/>
            <w:shd w:fill="FEF2F2"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B91C1C"/>
                <w:sz w:val="12"/>
                <w:szCs w:val="12"/>
              </w:rPr>
              <w:t xml:space="preserve">4</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3</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3</w:t>
            </w:r>
          </w:p>
        </w:tc>
        <w:tc>
          <w:tcPr>
            <w:tcW w:type="dxa" w:w="329"/>
            <w:shd w:fill="FEF2F2"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B91C1C"/>
                <w:sz w:val="12"/>
                <w:szCs w:val="12"/>
              </w:rPr>
              <w:t xml:space="preserve">4</w:t>
            </w:r>
          </w:p>
        </w:tc>
        <w:tc>
          <w:tcPr>
            <w:tcW w:type="dxa" w:w="329"/>
            <w:shd w:fill="FEF2F2"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B91C1C"/>
                <w:sz w:val="12"/>
                <w:szCs w:val="12"/>
              </w:rPr>
              <w:t xml:space="preserve">4</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3</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2</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1</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1</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1</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2</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2</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2</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2</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2</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3</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3</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3</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3</w:t>
            </w:r>
          </w:p>
        </w:tc>
        <w:tc>
          <w:tcPr>
            <w:tcW w:type="dxa" w:w="329"/>
            <w:shd w:fill="FEF2F2"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B91C1C"/>
                <w:sz w:val="12"/>
                <w:szCs w:val="12"/>
              </w:rPr>
              <w:t xml:space="preserve">4</w:t>
            </w:r>
          </w:p>
        </w:tc>
        <w:tc>
          <w:tcPr>
            <w:tcW w:type="dxa" w:w="329"/>
            <w:shd w:fill="FEF2F2" w:color="auto" w:val="clear"/>
            <w:tcMar>
              <w:top w:type="dxa" w:w="20"/>
              <w:left w:type="dxa" w:w="0"/>
              <w:bottom w:type="dxa" w:w="20"/>
              <w:right w:type="dxa" w:w="40"/>
            </w:tcMar>
            <w:vAlign w:val="center"/>
          </w:tcPr>
          <w:p>
            <w:pPr>
              <w:spacing w:after="0" w:line="180"/>
              <w:jc w:val="center"/>
            </w:pPr>
            <w:r>
              <w:rPr>
                <w:rFonts w:ascii="Calibri" w:cs="Calibri" w:eastAsia="Calibri" w:hAnsi="Calibri"/>
                <w:b/>
                <w:bCs/>
                <w:i w:val="false"/>
                <w:iCs w:val="false"/>
                <w:caps w:val="false"/>
                <w:color w:val="B91C1C"/>
                <w:sz w:val="12"/>
                <w:szCs w:val="12"/>
              </w:rPr>
              <w:t xml:space="preserve">4</w:t>
            </w:r>
          </w:p>
        </w:tc>
        <w:tc>
          <w:tcPr>
            <w:tcW w:type="dxa" w:w="329"/>
            <w:shd w:fill="F5F7FA" w:color="auto" w:val="clear"/>
            <w:tcMar>
              <w:top w:type="dxa" w:w="20"/>
              <w:left w:type="dxa" w:w="0"/>
              <w:bottom w:type="dxa" w:w="20"/>
              <w:right w:type="dxa" w:w="40"/>
            </w:tcMar>
            <w:vAlign w:val="center"/>
          </w:tcPr>
          <w:p>
            <w:pPr>
              <w:spacing w:after="0" w:line="180"/>
              <w:jc w:val="center"/>
            </w:pPr>
            <w:r>
              <w:rPr>
                <w:rFonts w:ascii="Calibri" w:cs="Calibri" w:eastAsia="Calibri" w:hAnsi="Calibri"/>
                <w:b w:val="false"/>
                <w:bCs w:val="false"/>
                <w:i w:val="false"/>
                <w:iCs w:val="false"/>
                <w:caps w:val="false"/>
                <w:color w:val="64748B"/>
                <w:sz w:val="12"/>
                <w:szCs w:val="12"/>
              </w:rPr>
              <w:t xml:space="preserve">2</w:t>
            </w:r>
          </w:p>
        </w:tc>
      </w:tr>
    </w:tbl>
    <w:p>
      <w:pPr>
        <w:spacing w:after="110"/>
      </w:pPr>
    </w:p>
    <w:tbl>
      <w:tblPr>
        <w:tblW w:type="dxa" w:w="14004"/>
        <w:tblBorders>
          <w:top w:val="single" w:color="B91C1C" w:sz="2"/>
          <w:left w:val="single" w:color="B91C1C" w:sz="18"/>
          <w:bottom w:val="single" w:color="B91C1C" w:sz="2"/>
          <w:right w:val="single" w:color="B91C1C" w:sz="2"/>
          <w:insideH w:val="none" w:color="auto" w:sz="0"/>
          <w:insideV w:val="none" w:color="auto" w:sz="0"/>
        </w:tblBorders>
      </w:tblPr>
      <w:tblGrid>
        <w:gridCol w:w="14004"/>
      </w:tblGrid>
      <w:tr>
        <w:tc>
          <w:tcPr>
            <w:tcW w:type="dxa" w:w="14004"/>
            <w:shd w:fill="FEF2F2" w:color="auto" w:val="clear"/>
            <w:tcMar>
              <w:top w:type="dxa" w:w="110"/>
              <w:left w:type="dxa" w:w="210"/>
              <w:bottom w:type="dxa" w:w="110"/>
              <w:right w:type="dxa" w:w="210"/>
            </w:tcMar>
          </w:tcPr>
          <w:p>
            <w:pPr>
              <w:spacing w:after="62" w:line="230"/>
            </w:pPr>
            <w:r>
              <w:rPr>
                <w:rFonts w:ascii="Calibri" w:cs="Calibri" w:eastAsia="Calibri" w:hAnsi="Calibri"/>
                <w:b/>
                <w:bCs/>
                <w:i w:val="false"/>
                <w:iCs w:val="false"/>
                <w:caps/>
                <w:color w:val="B91C1C"/>
                <w:spacing w:val="16"/>
                <w:sz w:val="19"/>
                <w:szCs w:val="19"/>
              </w:rPr>
              <w:t xml:space="preserve">Días de mayor interdependencia</w:t>
            </w:r>
          </w:p>
          <w:p>
            <w:pPr>
              <w:spacing w:after="0" w:line="262"/>
            </w:pPr>
            <w:r>
              <w:rPr>
                <w:rFonts w:ascii="Calibri" w:cs="Calibri" w:eastAsia="Calibri" w:hAnsi="Calibri"/>
                <w:b w:val="false"/>
                <w:bCs w:val="false"/>
                <w:i w:val="false"/>
                <w:iCs w:val="false"/>
                <w:caps w:val="false"/>
                <w:color w:val="374151"/>
                <w:sz w:val="20"/>
                <w:szCs w:val="20"/>
              </w:rPr>
              <w:t xml:space="preserve">Los días 9, 10, 13, 14, 29, 30 concentran 4 cruces activos al mismo tiempo, el máximo del mes. Son los días en que más personas dependen unas de otras: un retraso en cualquiera de esas entregas arrastra al resto de la cadena.</w:t>
            </w:r>
          </w:p>
        </w:tc>
      </w:tr>
    </w:tbl>
    <w:sectPr>
      <w:headerReference w:type="default" r:id="rId9"/>
      <w:footerReference w:type="default" r:id="rId10"/>
      <w:pgSz w:w="16838" w:h="11906" w:orient="landscape"/>
      <w:pgMar w:top="1417" w:right="1417" w:bottom="1417" w:left="1417" w:header="70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line="220"/>
      <w:jc w:val="center"/>
    </w:pPr>
    <w:r>
      <w:rPr>
        <w:rFonts w:ascii="Calibri" w:cs="Calibri" w:eastAsia="Calibri" w:hAnsi="Calibri"/>
        <w:b w:val="false"/>
        <w:bCs w:val="false"/>
        <w:i w:val="false"/>
        <w:iCs w:val="false"/>
        <w:caps w:val="false"/>
        <w:color w:val="64748B"/>
        <w:sz w:val="16"/>
        <w:szCs w:val="16"/>
      </w:rPr>
      <w:t xml:space="preserve">Página </w:t>
    </w:r>
    <w:r>
      <w:rPr>
        <w:rFonts w:ascii="Calibri" w:cs="Calibri" w:eastAsia="Calibri" w:hAnsi="Calibri"/>
        <w:b/>
        <w:bCs/>
        <w:color w:val="64748B"/>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64748B"/>
        <w:sz w:val="16"/>
        <w:szCs w:val="16"/>
      </w:rPr>
      <w:t xml:space="preserve"> de </w:t>
    </w:r>
    <w:r>
      <w:rPr>
        <w:rFonts w:ascii="Calibri" w:cs="Calibri" w:eastAsia="Calibri" w:hAnsi="Calibri"/>
        <w:b/>
        <w:bCs/>
        <w:color w:val="64748B"/>
        <w:sz w:val="16"/>
        <w:szCs w:val="16"/>
      </w:rPr>
      <w:fldChar w:fldCharType="begin"/>
      <w:instrText xml:space="preserve">NUMPAGES</w:instrText>
      <w:fldChar w:fldCharType="separate"/>
      <w:fldChar w:fldCharType="end"/>
    </w:r>
    <w:r>
      <w:rPr>
        <w:rFonts w:ascii="Calibri" w:cs="Calibri" w:eastAsia="Calibri" w:hAnsi="Calibri"/>
        <w:b w:val="false"/>
        <w:bCs w:val="false"/>
        <w:i w:val="false"/>
        <w:iCs w:val="false"/>
        <w:caps w:val="false"/>
        <w:color w:val="64748B"/>
        <w:sz w:val="16"/>
        <w:szCs w:val="16"/>
      </w:rPr>
      <w:t xml:space="preserve">   ·   Uso interno IES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line="220"/>
      <w:jc w:val="center"/>
    </w:pPr>
    <w:r>
      <w:rPr>
        <w:rFonts w:ascii="Calibri" w:cs="Calibri" w:eastAsia="Calibri" w:hAnsi="Calibri"/>
        <w:b w:val="false"/>
        <w:bCs w:val="false"/>
        <w:i w:val="false"/>
        <w:iCs w:val="false"/>
        <w:caps w:val="false"/>
        <w:color w:val="64748B"/>
        <w:sz w:val="16"/>
        <w:szCs w:val="16"/>
      </w:rPr>
      <w:t xml:space="preserve">Página </w:t>
    </w:r>
    <w:r>
      <w:rPr>
        <w:rFonts w:ascii="Calibri" w:cs="Calibri" w:eastAsia="Calibri" w:hAnsi="Calibri"/>
        <w:b/>
        <w:bCs/>
        <w:color w:val="64748B"/>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64748B"/>
        <w:sz w:val="16"/>
        <w:szCs w:val="16"/>
      </w:rPr>
      <w:t xml:space="preserve">   ·   Uso interno 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60" w:line="220"/>
    </w:pPr>
    <w:r>
      <w:rPr>
        <w:rFonts w:ascii="Calibri" w:cs="Calibri" w:eastAsia="Calibri" w:hAnsi="Calibri"/>
        <w:b/>
        <w:bCs/>
        <w:i w:val="false"/>
        <w:iCs w:val="false"/>
        <w:caps w:val="false"/>
        <w:color w:val="1B3A6B"/>
        <w:spacing w:val="20"/>
        <w:sz w:val="16"/>
        <w:szCs w:val="16"/>
      </w:rPr>
      <w:t xml:space="preserve">IES</w:t>
    </w:r>
    <w:r>
      <w:rPr>
        <w:rFonts w:ascii="Calibri" w:cs="Calibri" w:eastAsia="Calibri" w:hAnsi="Calibri"/>
        <w:b w:val="false"/>
        <w:bCs w:val="false"/>
        <w:i w:val="false"/>
        <w:iCs w:val="false"/>
        <w:caps w:val="false"/>
        <w:color w:val="64748B"/>
        <w:sz w:val="16"/>
        <w:szCs w:val="16"/>
      </w:rPr>
      <w:t xml:space="preserve">   ·   Manual de Procesos Contables — Equipo completo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60" w:line="220"/>
    </w:pPr>
    <w:r>
      <w:rPr>
        <w:rFonts w:ascii="Calibri" w:cs="Calibri" w:eastAsia="Calibri" w:hAnsi="Calibri"/>
        <w:b/>
        <w:bCs/>
        <w:i w:val="false"/>
        <w:iCs w:val="false"/>
        <w:caps w:val="false"/>
        <w:color w:val="1B3A6B"/>
        <w:spacing w:val="20"/>
        <w:sz w:val="16"/>
        <w:szCs w:val="16"/>
      </w:rPr>
      <w:t xml:space="preserve">IES</w:t>
    </w:r>
    <w:r>
      <w:rPr>
        <w:rFonts w:ascii="Calibri" w:cs="Calibri" w:eastAsia="Calibri" w:hAnsi="Calibri"/>
        <w:b w:val="false"/>
        <w:bCs w:val="false"/>
        <w:i w:val="false"/>
        <w:iCs w:val="false"/>
        <w:caps w:val="false"/>
        <w:color w:val="64748B"/>
        <w:sz w:val="16"/>
        <w:szCs w:val="16"/>
      </w:rPr>
      <w:t xml:space="preserve">   ·   Anexo A — Línea de tiempo del 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Calibri" w:cs="Calibri" w:eastAsia="Calibri" w:hAnsi="Calibri"/>
        <w:color w:val="2D5AA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Procesos Contables — Manual completo del equipo</dc:title>
  <dc:creator>IES — Intelligent Electronic Solutions</dc:creator>
  <dc:description>Responsabilidades por persona, puntos de cruce y ciclo mensual</dc:description>
  <cp:lastModifiedBy>Un-named</cp:lastModifiedBy>
  <cp:revision>1</cp:revision>
  <dcterms:created xsi:type="dcterms:W3CDTF">2026-08-11T10:05:52.923Z</dcterms:created>
  <dcterms:modified xsi:type="dcterms:W3CDTF">2026-08-11T10:05:52.923Z</dcterms:modified>
</cp:coreProperties>
</file>

<file path=docProps/custom.xml><?xml version="1.0" encoding="utf-8"?>
<Properties xmlns="http://schemas.openxmlformats.org/officeDocument/2006/custom-properties" xmlns:vt="http://schemas.openxmlformats.org/officeDocument/2006/docPropsVTypes"/>
</file>