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DC150B"/>
          <w:sz w:val="80"/>
          <w:szCs w:val="80"/>
        </w:rPr>
        <w:t xml:space="preserve">TiDB Cloud</w:t>
      </w:r>
    </w:p>
    <w:p>
      <w:pPr>
        <w:spacing w:after="80" w:before="0"/>
        <w:jc w:val="center"/>
      </w:pPr>
      <w:r>
        <w:rPr>
          <w:rFonts w:ascii="Arial" w:cs="Arial" w:eastAsia="Arial" w:hAnsi="Arial"/>
          <w:b/>
          <w:bCs/>
          <w:color w:val="1A1A2E"/>
          <w:sz w:val="48"/>
          <w:szCs w:val="48"/>
        </w:rPr>
        <w:t xml:space="preserve">Pitch &amp; Demo Scripts</w:t>
      </w:r>
    </w:p>
    <w:p>
      <w:pPr>
        <w:spacing w:after="80" w:before="0"/>
        <w:jc w:val="center"/>
      </w:pPr>
      <w:r>
        <w:rPr>
          <w:rFonts w:ascii="Arial" w:cs="Arial" w:eastAsia="Arial" w:hAnsi="Arial"/>
          <w:i/>
          <w:iCs/>
          <w:color w:val="6B7280"/>
          <w:sz w:val="30"/>
          <w:szCs w:val="30"/>
        </w:rPr>
        <w:t xml:space="preserve">The Database for the Agent Era</w:t>
      </w:r>
    </w:p>
    <w:p>
      <w:pPr>
        <w:pBdr>
          <w:bottom w:val="single" w:color="DC150B" w:sz="6" w:space="1"/>
        </w:pBdr>
        <w:spacing w:after="200" w:before="200"/>
      </w:pPr>
      <w:r>
        <w:t xml:space="preserve"/>
      </w:r>
    </w:p>
    <w:p>
      <w:pPr>
        <w:spacing w:after="40" w:before="120"/>
        <w:jc w:val="center"/>
      </w:pPr>
      <w:r>
        <w:rPr>
          <w:rFonts w:ascii="Arial" w:cs="Arial" w:eastAsia="Arial" w:hAnsi="Arial"/>
          <w:color w:val="6B7280"/>
          <w:sz w:val="20"/>
          <w:szCs w:val="20"/>
        </w:rPr>
        <w:t xml:space="preserve">GTM Playbook Edition  —  March 2026</w:t>
      </w:r>
    </w:p>
    <w:p>
      <w:pPr>
        <w:spacing w:after="60" w:before="0"/>
        <w:jc w:val="center"/>
      </w:pPr>
      <w:r>
        <w:rPr>
          <w:rFonts w:ascii="Arial" w:cs="Arial" w:eastAsia="Arial" w:hAnsi="Arial"/>
          <w:color w:val="6B7280"/>
          <w:sz w:val="20"/>
          <w:szCs w:val="20"/>
        </w:rPr>
        <w:t xml:space="preserve">CONFIDENTIAL  |  PingCAP</w:t>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1 — The Strategic Context: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DC150B" w:sz="12"/>
              <w:left w:val="thick" w:color="DC150B" w:sz="12"/>
              <w:bottom w:val="single" w:color="DC150B" w:sz="2"/>
              <w:right w:val="single" w:color="DC150B" w:sz="2"/>
            </w:tcBorders>
            <w:shd w:fill="FEF2F2" w:val="clear"/>
            <w:tcMar>
              <w:top w:type="dxa" w:w="120"/>
              <w:left w:type="dxa" w:w="200"/>
              <w:bottom w:type="dxa" w:w="120"/>
              <w:right w:type="dxa" w:w="180"/>
            </w:tcMar>
          </w:tcPr>
          <w:p>
            <w:pPr>
              <w:spacing w:after="60" w:before="0"/>
            </w:pPr>
            <w:r>
              <w:rPr>
                <w:rFonts w:ascii="Arial" w:cs="Arial" w:eastAsia="Arial" w:hAnsi="Arial"/>
                <w:b/>
                <w:bCs/>
                <w:color w:val="DC150B"/>
                <w:spacing w:val="40"/>
                <w:sz w:val="18"/>
                <w:szCs w:val="18"/>
              </w:rPr>
              <w:t xml:space="preserve">CEO FRAMING — MAX LIU, PINGCAP</w:t>
            </w:r>
          </w:p>
          <w:p>
            <w:pPr>
              <w:spacing w:after="0" w:before="0"/>
            </w:pPr>
            <w:r>
              <w:rPr>
                <w:rFonts w:ascii="Arial" w:cs="Arial" w:eastAsia="Arial" w:hAnsi="Arial"/>
                <w:color w:val="1A1A2E"/>
                <w:sz w:val="22"/>
                <w:szCs w:val="22"/>
              </w:rPr>
              <w:t xml:space="preserve">“The primary users of databases are becoming AI agents. Not in five years. Now.”</w:t>
            </w:r>
          </w:p>
        </w:tc>
      </w:tr>
    </w:tbl>
    <w:p>
      <w:pPr>
        <w:spacing w:after="0" w:before="0"/>
      </w:pPr>
      <w:r>
        <w:t xml:space="preserve"/>
      </w:r>
    </w:p>
    <w:p>
      <w:pPr>
        <w:spacing w:after="100" w:before="60"/>
      </w:pPr>
      <w:r>
        <w:rPr>
          <w:rFonts w:ascii="Arial" w:cs="Arial" w:eastAsia="Arial" w:hAnsi="Arial"/>
          <w:b w:val="false"/>
          <w:bCs w:val="false"/>
          <w:i w:val="false"/>
          <w:iCs w:val="false"/>
          <w:color w:val="1A1A2E"/>
          <w:sz w:val="22"/>
          <w:szCs w:val="22"/>
        </w:rPr>
        <w:t xml:space="preserve">Before you pitch TiDB Cloud, internalise this: we are not adding AI features to a database. We are the first database purpose-built for the era where AI agents are the primary users. This is not a product update. It is an identity declaration.</w:t>
      </w:r>
    </w:p>
    <w:p>
      <w:pPr>
        <w:spacing w:after="0" w:before="0"/>
      </w:pPr>
      <w:r>
        <w:t xml:space="preserve"/>
      </w:r>
    </w:p>
    <w:p>
      <w:pPr>
        <w:pStyle w:val="Heading2"/>
        <w:spacing w:after="80" w:before="300"/>
      </w:pPr>
      <w:r>
        <w:rPr>
          <w:rFonts w:ascii="Arial" w:cs="Arial" w:eastAsia="Arial" w:hAnsi="Arial"/>
          <w:b/>
          <w:bCs/>
          <w:color w:val="1A1A2E"/>
          <w:sz w:val="26"/>
          <w:szCs w:val="26"/>
        </w:rPr>
        <w:t xml:space="preserve">The 36-Month Window</w:t>
      </w:r>
    </w:p>
    <w:p>
      <w:pPr>
        <w:spacing w:after="100" w:before="60"/>
      </w:pPr>
      <w:r>
        <w:rPr>
          <w:rFonts w:ascii="Arial" w:cs="Arial" w:eastAsia="Arial" w:hAnsi="Arial"/>
          <w:b w:val="false"/>
          <w:bCs w:val="false"/>
          <w:i w:val="false"/>
          <w:iCs w:val="false"/>
          <w:color w:val="1A1A2E"/>
          <w:sz w:val="22"/>
          <w:szCs w:val="22"/>
        </w:rPr>
        <w:t xml:space="preserve">The category — “the database for AI agents” — is unclaimed. Starting March 2026, there is a 36-month window. After that, the market will consolidate. Speed is not an execution detail. Speed is strategy.</w:t>
      </w:r>
    </w:p>
    <w:p>
      <w:pPr>
        <w:spacing w:after="0" w:before="0"/>
      </w:pPr>
      <w:r>
        <w:t xml:space="preserve"/>
      </w:r>
    </w:p>
    <w:p>
      <w:pPr>
        <w:pStyle w:val="Heading2"/>
        <w:spacing w:after="80" w:before="300"/>
      </w:pPr>
      <w:r>
        <w:rPr>
          <w:rFonts w:ascii="Arial" w:cs="Arial" w:eastAsia="Arial" w:hAnsi="Arial"/>
          <w:b/>
          <w:bCs/>
          <w:color w:val="1A1A2E"/>
          <w:sz w:val="26"/>
          <w:szCs w:val="26"/>
        </w:rPr>
        <w:t xml:space="preserve">Three Moments That Changed Everything</w:t>
      </w:r>
    </w:p>
    <w:p>
      <w:pPr>
        <w:pStyle w:val="ListParagraph"/>
        <w:numPr>
          <w:ilvl w:val="0"/>
          <w:numId w:val="2"/>
        </w:numPr>
        <w:spacing w:after="40" w:before="40"/>
      </w:pPr>
      <w:r>
        <w:rPr>
          <w:rFonts w:ascii="Arial" w:cs="Arial" w:eastAsia="Arial" w:hAnsi="Arial"/>
          <w:b w:val="false"/>
          <w:bCs w:val="false"/>
          <w:color w:val="1A1A2E"/>
          <w:sz w:val="22"/>
          <w:szCs w:val="22"/>
        </w:rPr>
        <w:t xml:space="preserve">An AI agent debugged a production issue overnight — queried the DB, correlated logs, identified root cause, patched code, and deployed. No human in the loop. The database was no longer queried by a human mind.</w:t>
      </w:r>
    </w:p>
    <w:p>
      <w:pPr>
        <w:pStyle w:val="ListParagraph"/>
        <w:numPr>
          <w:ilvl w:val="0"/>
          <w:numId w:val="2"/>
        </w:numPr>
        <w:spacing w:after="40" w:before="40"/>
      </w:pPr>
      <w:r>
        <w:rPr>
          <w:rFonts w:ascii="Arial" w:cs="Arial" w:eastAsia="Arial" w:hAnsi="Arial"/>
          <w:b w:val="false"/>
          <w:bCs w:val="false"/>
          <w:color w:val="1A1A2E"/>
          <w:sz w:val="22"/>
          <w:szCs w:val="22"/>
        </w:rPr>
        <w:t xml:space="preserve">Over 95% of new TiDB Cloud clusters are now created by AI agents, not human developers. Automated pipelines, LLM-powered coding agents, and orchestration frameworks are the new majority users.</w:t>
      </w:r>
    </w:p>
    <w:p>
      <w:pPr>
        <w:pStyle w:val="ListParagraph"/>
        <w:numPr>
          <w:ilvl w:val="0"/>
          <w:numId w:val="2"/>
        </w:numPr>
        <w:spacing w:after="40" w:before="40"/>
      </w:pPr>
      <w:r>
        <w:rPr>
          <w:rFonts w:ascii="Arial" w:cs="Arial" w:eastAsia="Arial" w:hAnsi="Arial"/>
          <w:b w:val="false"/>
          <w:bCs w:val="false"/>
          <w:color w:val="1A1A2E"/>
          <w:sz w:val="22"/>
          <w:szCs w:val="22"/>
        </w:rPr>
        <w:t xml:space="preserve">An AI-native founder described requirements that broke the old model. He didn’t think in tables and indexes. He thought in tasks, memory, tool access, and context windows. His agents needed many databases — for state, for memory, for context, for coordination.</w:t>
      </w:r>
    </w:p>
    <w:p>
      <w:pPr>
        <w:spacing w:after="0" w:before="0"/>
      </w:pPr>
      <w:r>
        <w:t xml:space="preserve"/>
      </w:r>
    </w:p>
    <w:p>
      <w:pPr>
        <w:pStyle w:val="Heading2"/>
        <w:spacing w:after="80" w:before="300"/>
      </w:pPr>
      <w:r>
        <w:rPr>
          <w:rFonts w:ascii="Arial" w:cs="Arial" w:eastAsia="Arial" w:hAnsi="Arial"/>
          <w:b/>
          <w:bCs/>
          <w:color w:val="1A1A2E"/>
          <w:sz w:val="26"/>
          <w:szCs w:val="26"/>
        </w:rPr>
        <w:t xml:space="preserve">The Identity Shift</w:t>
      </w:r>
    </w:p>
    <w:p>
      <w:pPr>
        <w:spacing w:after="100" w:before="60"/>
      </w:pPr>
      <w:r>
        <w:rPr>
          <w:rFonts w:ascii="Arial" w:cs="Arial" w:eastAsia="Arial" w:hAnsi="Arial"/>
          <w:b/>
          <w:bCs/>
          <w:i w:val="false"/>
          <w:iCs w:val="false"/>
          <w:color w:val="1A1A2E"/>
          <w:sz w:val="22"/>
          <w:szCs w:val="22"/>
        </w:rPr>
        <w:t xml:space="preserve">Use this framing in every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DC150B" w:sz="12"/>
              <w:left w:val="thick" w:color="DC150B" w:sz="12"/>
              <w:bottom w:val="single" w:color="DC150B" w:sz="2"/>
              <w:right w:val="single" w:color="DC150B" w:sz="2"/>
            </w:tcBorders>
            <w:shd w:fill="FEF2F2" w:val="clear"/>
            <w:tcMar>
              <w:top w:type="dxa" w:w="120"/>
              <w:left w:type="dxa" w:w="200"/>
              <w:bottom w:type="dxa" w:w="120"/>
              <w:right w:type="dxa" w:w="180"/>
            </w:tcMar>
          </w:tcPr>
          <w:p>
            <w:pPr>
              <w:spacing w:after="60" w:before="0"/>
            </w:pPr>
            <w:r>
              <w:rPr>
                <w:rFonts w:ascii="Arial" w:cs="Arial" w:eastAsia="Arial" w:hAnsi="Arial"/>
                <w:b/>
                <w:bCs/>
                <w:color w:val="DC150B"/>
                <w:spacing w:val="40"/>
                <w:sz w:val="18"/>
                <w:szCs w:val="18"/>
              </w:rPr>
              <w:t xml:space="preserve">THE CORE NARRATIVE</w:t>
            </w:r>
          </w:p>
          <w:p>
            <w:pPr>
              <w:spacing w:after="0" w:before="0"/>
            </w:pPr>
            <w:r>
              <w:rPr>
                <w:rFonts w:ascii="Arial" w:cs="Arial" w:eastAsia="Arial" w:hAnsi="Arial"/>
                <w:color w:val="1A1A2E"/>
                <w:sz w:val="22"/>
                <w:szCs w:val="22"/>
              </w:rPr>
              <w:t xml:space="preserve">The database was the system of record. In the agent era, it becomes the system of thought. Seat-based pricing assumed human users. When users are agents, the entire value chain restructures. AI-enabled is incremental. Agent-native is foundational. Bolt-ons will fail.</w:t>
            </w:r>
          </w:p>
        </w:tc>
      </w:tr>
    </w:tbl>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2 — Elevator Pitches</w:t>
      </w:r>
    </w:p>
    <w:p>
      <w:pPr>
        <w:spacing w:after="100" w:before="60"/>
      </w:pPr>
      <w:r>
        <w:rPr>
          <w:rFonts w:ascii="Arial" w:cs="Arial" w:eastAsia="Arial" w:hAnsi="Arial"/>
          <w:b w:val="false"/>
          <w:bCs w:val="false"/>
          <w:i/>
          <w:iCs/>
          <w:color w:val="6B7280"/>
          <w:sz w:val="22"/>
          <w:szCs w:val="22"/>
        </w:rPr>
        <w:t xml:space="preserve">Use the right pitch for the right moment. All versions share the same DNA — the Memory Wall, the Unified Foundation, and the Agent-Native value.</w:t>
      </w:r>
    </w:p>
    <w:p>
      <w:pPr>
        <w:spacing w:after="0" w:before="0"/>
      </w:pPr>
      <w:r>
        <w:t xml:space="preserve"/>
      </w:r>
    </w:p>
    <w:p>
      <w:pPr>
        <w:pStyle w:val="Heading2"/>
        <w:spacing w:after="80" w:before="300"/>
      </w:pPr>
      <w:r>
        <w:rPr>
          <w:rFonts w:ascii="Arial" w:cs="Arial" w:eastAsia="Arial" w:hAnsi="Arial"/>
          <w:b/>
          <w:bCs/>
          <w:color w:val="1A1A2E"/>
          <w:sz w:val="26"/>
          <w:szCs w:val="26"/>
        </w:rPr>
        <w:t xml:space="preserve">The 30-Second Pitch  (Cold Intro / Networking)</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Most AI agents today are hitting a Memory Wall. They stitch together a SQL database, a vector store, and object storage just to give an agent coherent memory — and that fragmentation kills velocity and balloons cost. TiDB Cloud is the first database built from the ground up for agents: unified transactional memory, vector context, and real-time analytics in a single ACID-compliant engine. One system. No ETL. Pay only when your agents are thinking.</w:t>
      </w:r>
      <w:r>
        <w:rPr>
          <w:rFonts w:ascii="Arial" w:cs="Arial" w:eastAsia="Arial" w:hAnsi="Arial"/>
          <w:b/>
          <w:bCs/>
          <w:color w:val="DC150B"/>
          <w:sz w:val="22"/>
          <w:szCs w:val="22"/>
        </w:rPr>
        <w:t xml:space="preserve">”</w:t>
      </w:r>
    </w:p>
    <w:p>
      <w:pPr>
        <w:spacing w:after="0" w:before="0"/>
      </w:pPr>
      <w:r>
        <w:t xml:space="preserve"/>
      </w:r>
    </w:p>
    <w:p>
      <w:pPr>
        <w:pStyle w:val="Heading2"/>
        <w:spacing w:after="80" w:before="300"/>
      </w:pPr>
      <w:r>
        <w:rPr>
          <w:rFonts w:ascii="Arial" w:cs="Arial" w:eastAsia="Arial" w:hAnsi="Arial"/>
          <w:b/>
          <w:bCs/>
          <w:color w:val="1A1A2E"/>
          <w:sz w:val="26"/>
          <w:szCs w:val="26"/>
        </w:rPr>
        <w:t xml:space="preserve">The 60-Second Pitch  (Qualified Meeting / First Call)</w:t>
      </w:r>
    </w:p>
    <w:p>
      <w:pPr>
        <w:spacing w:after="40" w:before="160"/>
      </w:pPr>
      <w:r>
        <w:rPr>
          <w:rFonts w:ascii="Arial" w:cs="Arial" w:eastAsia="Arial" w:hAnsi="Arial"/>
          <w:b/>
          <w:bCs/>
          <w:color w:val="6B7280"/>
          <w:spacing w:val="40"/>
          <w:sz w:val="18"/>
          <w:szCs w:val="18"/>
        </w:rPr>
        <w:t xml:space="preserve">THE HOOK — EARN THEIR ATTENTION</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Your engineers are paying an “Agentic Tax.” They’re spending 70% of sprint cycles as data plumbers — stitching together Postgres, Pinecone, and S3 just to give their AI agents coherent memory. Every time data crosses a system boundary, you pay in latency, engineering overhead, and hallucination risk. This is the Memory Wall, and it is costing you your GTM window.</w:t>
      </w:r>
      <w:r>
        <w:rPr>
          <w:rFonts w:ascii="Arial" w:cs="Arial" w:eastAsia="Arial" w:hAnsi="Arial"/>
          <w:b/>
          <w:bCs/>
          <w:color w:val="DC150B"/>
          <w:sz w:val="22"/>
          <w:szCs w:val="22"/>
        </w:rPr>
        <w:t xml:space="preserve">”</w:t>
      </w:r>
    </w:p>
    <w:p>
      <w:pPr>
        <w:spacing w:after="0" w:before="0"/>
      </w:pPr>
      <w:r>
        <w:t xml:space="preserve"/>
      </w:r>
    </w:p>
    <w:p>
      <w:pPr>
        <w:spacing w:after="40" w:before="160"/>
      </w:pPr>
      <w:r>
        <w:rPr>
          <w:rFonts w:ascii="Arial" w:cs="Arial" w:eastAsia="Arial" w:hAnsi="Arial"/>
          <w:b/>
          <w:bCs/>
          <w:color w:val="6B7280"/>
          <w:spacing w:val="40"/>
          <w:sz w:val="18"/>
          <w:szCs w:val="18"/>
        </w:rPr>
        <w:t xml:space="preserve">THE SOLUTION — LAND THE VALUE</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TiDB Cloud is the Unified Agentic Data Foundation. A single ACID-compliant engine where transactional memory, vector context, and real-time analytics live together. With Serverless Branching — think Git for your database — your agents can fork an entire production environment in milliseconds, test hypotheses in a safe sandbox, and promote changes with zero downtime. No ETL. No data lag. No production anxiety.</w:t>
      </w:r>
      <w:r>
        <w:rPr>
          <w:rFonts w:ascii="Arial" w:cs="Arial" w:eastAsia="Arial" w:hAnsi="Arial"/>
          <w:b/>
          <w:bCs/>
          <w:color w:val="DC150B"/>
          <w:sz w:val="22"/>
          <w:szCs w:val="22"/>
        </w:rPr>
        <w:t xml:space="preserve">”</w:t>
      </w:r>
    </w:p>
    <w:p>
      <w:pPr>
        <w:spacing w:after="0" w:before="0"/>
      </w:pPr>
      <w:r>
        <w:t xml:space="preserve"/>
      </w:r>
    </w:p>
    <w:p>
      <w:pPr>
        <w:spacing w:after="40" w:before="160"/>
      </w:pPr>
      <w:r>
        <w:rPr>
          <w:rFonts w:ascii="Arial" w:cs="Arial" w:eastAsia="Arial" w:hAnsi="Arial"/>
          <w:b/>
          <w:bCs/>
          <w:color w:val="6B7280"/>
          <w:spacing w:val="40"/>
          <w:sz w:val="18"/>
          <w:szCs w:val="18"/>
        </w:rPr>
        <w:t xml:space="preserve">THE VALUE — CLOSE FOR THE NEXT STEP</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We eliminate 80% of your data plumbing, reduce TCO by up to 80% through pay-per-second scaling, and give your agents a safety-first playground to evolve. Our partner Manus runs over 10 million ephemeral databases on TiDB Cloud today. That is the scale agents demand — and it is what we are built for. Can I show you a 5-minute demo?</w:t>
      </w:r>
      <w:r>
        <w:rPr>
          <w:rFonts w:ascii="Arial" w:cs="Arial" w:eastAsia="Arial" w:hAnsi="Arial"/>
          <w:b/>
          <w:bCs/>
          <w:color w:val="DC150B"/>
          <w:sz w:val="22"/>
          <w:szCs w:val="22"/>
        </w:rPr>
        <w:t xml:space="preserve">”</w:t>
      </w:r>
    </w:p>
    <w:p>
      <w:pPr>
        <w:spacing w:after="0" w:before="0"/>
      </w:pPr>
      <w:r>
        <w:t xml:space="preserve"/>
      </w:r>
    </w:p>
    <w:p>
      <w:pPr>
        <w:pStyle w:val="Heading2"/>
        <w:spacing w:after="80" w:before="300"/>
      </w:pPr>
      <w:r>
        <w:rPr>
          <w:rFonts w:ascii="Arial" w:cs="Arial" w:eastAsia="Arial" w:hAnsi="Arial"/>
          <w:b/>
          <w:bCs/>
          <w:color w:val="1A1A2E"/>
          <w:sz w:val="26"/>
          <w:szCs w:val="26"/>
        </w:rPr>
        <w:t xml:space="preserve">Persona-Specific Opening Lines</w:t>
      </w:r>
    </w:p>
    <w:p>
      <w:pPr>
        <w:spacing w:after="100" w:before="60"/>
      </w:pPr>
      <w:r>
        <w:rPr>
          <w:rFonts w:ascii="Arial" w:cs="Arial" w:eastAsia="Arial" w:hAnsi="Arial"/>
          <w:b w:val="false"/>
          <w:bCs w:val="false"/>
          <w:i/>
          <w:iCs/>
          <w:color w:val="6B7280"/>
          <w:sz w:val="22"/>
          <w:szCs w:val="22"/>
        </w:rPr>
        <w:t xml:space="preserve">Tailor your hook before launching into the core pitch: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Opening Line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150B"/>
                <w:sz w:val="20"/>
                <w:szCs w:val="20"/>
              </w:rPr>
              <w:t xml:space="preserve">CTO / VP Engineering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“Most CTOs I talk to have a dirty secret: their AI agents are only as smart as their worst data pipeline. How much of your sprint is your team spending on data plumbing vs. building agent logic?”</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150B"/>
                <w:sz w:val="20"/>
                <w:szCs w:val="20"/>
              </w:rPr>
              <w:t xml:space="preserve">Head of Data &amp; AI</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1A1A2E"/>
                <w:sz w:val="20"/>
                <w:szCs w:val="20"/>
              </w:rPr>
              <w:t xml:space="preserve">“If your agents are reasoning on yesterday’s data because of ETL lag, they’re already behind your competitors. What would it mean to give them zero-lag context across every data type in a single query?”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150B"/>
                <w:sz w:val="20"/>
                <w:szCs w:val="20"/>
              </w:rPr>
              <w:t xml:space="preserve">AI/ML Platform Lead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“We just launched a native MCP Server for TiDB. Your agents can interact with your entire data substrate in natural language — no middleware, no custom connectors. Want to see it?”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150B"/>
                <w:sz w:val="20"/>
                <w:szCs w:val="20"/>
              </w:rPr>
              <w:t xml:space="preserve">VP Product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1A1A2E"/>
                <w:sz w:val="20"/>
                <w:szCs w:val="20"/>
              </w:rPr>
              <w:t xml:space="preserve">“Every product leader I talk to is fighting two fires: AI hallucinations and skyrocketing infra costs. What if I told you both problems have the same root cause — and the same fix?”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150B"/>
                <w:sz w:val="20"/>
                <w:szCs w:val="20"/>
              </w:rPr>
              <w:t xml:space="preserve">CCO / Chief Risk Officer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“What does your compliance team do when an AI agent touches production data? With TiDB, every autonomous action lands in a single auditable transaction log. GDPR right to be forgotten becomes one SQL command.”</w:t>
            </w:r>
          </w:p>
        </w:tc>
      </w:tr>
    </w:tbl>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3 — Full Demo Setup Guide  (5 minutes)</w:t>
      </w:r>
    </w:p>
    <w:p>
      <w:pPr>
        <w:spacing w:after="100" w:before="60"/>
      </w:pPr>
      <w:r>
        <w:rPr>
          <w:rFonts w:ascii="Arial" w:cs="Arial" w:eastAsia="Arial" w:hAnsi="Arial"/>
          <w:b w:val="false"/>
          <w:bCs w:val="false"/>
          <w:i/>
          <w:iCs/>
          <w:color w:val="6B7280"/>
          <w:sz w:val="22"/>
          <w:szCs w:val="22"/>
        </w:rPr>
        <w:t xml:space="preserve">This is your weapon in the room. A well-run demo closes deals. Follow this guide precisely — every scene, every visual, every line is engineered for maximum impact.</w:t>
      </w:r>
    </w:p>
    <w:p>
      <w:pPr>
        <w:spacing w:after="0" w:before="0"/>
      </w:pPr>
      <w:r>
        <w:t xml:space="preserve"/>
      </w:r>
    </w:p>
    <w:p>
      <w:pPr>
        <w:pStyle w:val="Heading2"/>
        <w:spacing w:after="80" w:before="300"/>
      </w:pPr>
      <w:r>
        <w:rPr>
          <w:rFonts w:ascii="Arial" w:cs="Arial" w:eastAsia="Arial" w:hAnsi="Arial"/>
          <w:b/>
          <w:bCs/>
          <w:color w:val="1A1A2E"/>
          <w:sz w:val="26"/>
          <w:szCs w:val="26"/>
        </w:rPr>
        <w:t xml:space="preserve">Pre-Demo Checklist</w:t>
      </w:r>
    </w:p>
    <w:p>
      <w:pPr>
        <w:pStyle w:val="ListParagraph"/>
        <w:numPr>
          <w:ilvl w:val="0"/>
          <w:numId w:val="2"/>
        </w:numPr>
        <w:spacing w:after="40" w:before="40"/>
      </w:pPr>
      <w:r>
        <w:rPr>
          <w:rFonts w:ascii="Arial" w:cs="Arial" w:eastAsia="Arial" w:hAnsi="Arial"/>
          <w:b w:val="false"/>
          <w:bCs w:val="false"/>
          <w:color w:val="1A1A2E"/>
          <w:sz w:val="22"/>
          <w:szCs w:val="22"/>
        </w:rPr>
        <w:t xml:space="preserve">TiDB Cloud console open, logged in, cluster running in the correct region</w:t>
      </w:r>
    </w:p>
    <w:p>
      <w:pPr>
        <w:pStyle w:val="ListParagraph"/>
        <w:numPr>
          <w:ilvl w:val="0"/>
          <w:numId w:val="2"/>
        </w:numPr>
        <w:spacing w:after="40" w:before="40"/>
      </w:pPr>
      <w:r>
        <w:rPr>
          <w:rFonts w:ascii="Arial" w:cs="Arial" w:eastAsia="Arial" w:hAnsi="Arial"/>
          <w:b w:val="false"/>
          <w:bCs w:val="false"/>
          <w:color w:val="1A1A2E"/>
          <w:sz w:val="22"/>
          <w:szCs w:val="22"/>
        </w:rPr>
        <w:t xml:space="preserve">TiFlash (columnar) and Vector Search enabled on the demo table</w:t>
      </w:r>
    </w:p>
    <w:p>
      <w:pPr>
        <w:pStyle w:val="ListParagraph"/>
        <w:numPr>
          <w:ilvl w:val="0"/>
          <w:numId w:val="2"/>
        </w:numPr>
        <w:spacing w:after="40" w:before="40"/>
      </w:pPr>
      <w:r>
        <w:rPr>
          <w:rFonts w:ascii="Arial" w:cs="Arial" w:eastAsia="Arial" w:hAnsi="Arial"/>
          <w:b w:val="false"/>
          <w:bCs w:val="false"/>
          <w:color w:val="1A1A2E"/>
          <w:sz w:val="22"/>
          <w:szCs w:val="22"/>
        </w:rPr>
        <w:t xml:space="preserve">agent_memory table pre-populated with sample SQL logs and vector embeddings</w:t>
      </w:r>
    </w:p>
    <w:p>
      <w:pPr>
        <w:pStyle w:val="ListParagraph"/>
        <w:numPr>
          <w:ilvl w:val="0"/>
          <w:numId w:val="2"/>
        </w:numPr>
        <w:spacing w:after="40" w:before="40"/>
      </w:pPr>
      <w:r>
        <w:rPr>
          <w:rFonts w:ascii="Arial" w:cs="Arial" w:eastAsia="Arial" w:hAnsi="Arial"/>
          <w:b w:val="false"/>
          <w:bCs w:val="false"/>
          <w:color w:val="1A1A2E"/>
          <w:sz w:val="22"/>
          <w:szCs w:val="22"/>
        </w:rPr>
        <w:t xml:space="preserve">DBA Agent UI open in second tab — slow query pre-loaded (full table scan, 2M rows)</w:t>
      </w:r>
    </w:p>
    <w:p>
      <w:pPr>
        <w:pStyle w:val="ListParagraph"/>
        <w:numPr>
          <w:ilvl w:val="0"/>
          <w:numId w:val="2"/>
        </w:numPr>
        <w:spacing w:after="40" w:before="40"/>
      </w:pPr>
      <w:r>
        <w:rPr>
          <w:rFonts w:ascii="Arial" w:cs="Arial" w:eastAsia="Arial" w:hAnsi="Arial"/>
          <w:b w:val="false"/>
          <w:bCs w:val="false"/>
          <w:color w:val="1A1A2E"/>
          <w:sz w:val="22"/>
          <w:szCs w:val="22"/>
        </w:rPr>
        <w:t xml:space="preserve">Branch already named but not yet created — visible in the UI</w:t>
      </w:r>
    </w:p>
    <w:p>
      <w:pPr>
        <w:pStyle w:val="ListParagraph"/>
        <w:numPr>
          <w:ilvl w:val="0"/>
          <w:numId w:val="2"/>
        </w:numPr>
        <w:spacing w:after="40" w:before="40"/>
      </w:pPr>
      <w:r>
        <w:rPr>
          <w:rFonts w:ascii="Arial" w:cs="Arial" w:eastAsia="Arial" w:hAnsi="Arial"/>
          <w:b w:val="false"/>
          <w:bCs w:val="false"/>
          <w:color w:val="1A1A2E"/>
          <w:sz w:val="22"/>
          <w:szCs w:val="22"/>
        </w:rPr>
        <w:t xml:space="preserve">Performance comparison data ready: Production 2.1s vs. Branch 3ms (700x improvement)</w:t>
      </w:r>
    </w:p>
    <w:p>
      <w:pPr>
        <w:pStyle w:val="ListParagraph"/>
        <w:numPr>
          <w:ilvl w:val="0"/>
          <w:numId w:val="2"/>
        </w:numPr>
        <w:spacing w:after="40" w:before="40"/>
      </w:pPr>
      <w:r>
        <w:rPr>
          <w:rFonts w:ascii="Arial" w:cs="Arial" w:eastAsia="Arial" w:hAnsi="Arial"/>
          <w:b w:val="false"/>
          <w:bCs w:val="false"/>
          <w:color w:val="1A1A2E"/>
          <w:sz w:val="22"/>
          <w:szCs w:val="22"/>
        </w:rPr>
        <w:t xml:space="preserve">Screen resolution set to 1280×800 minimum for screen share clarity</w:t>
      </w:r>
    </w:p>
    <w:p>
      <w:pPr>
        <w:pStyle w:val="ListParagraph"/>
        <w:numPr>
          <w:ilvl w:val="0"/>
          <w:numId w:val="2"/>
        </w:numPr>
        <w:spacing w:after="40" w:before="40"/>
      </w:pPr>
      <w:r>
        <w:rPr>
          <w:rFonts w:ascii="Arial" w:cs="Arial" w:eastAsia="Arial" w:hAnsi="Arial"/>
          <w:b w:val="false"/>
          <w:bCs w:val="false"/>
          <w:color w:val="1A1A2E"/>
          <w:sz w:val="22"/>
          <w:szCs w:val="22"/>
        </w:rPr>
        <w:t xml:space="preserve">Notifications silenced. Slack closed. Browser in full screen.</w:t>
      </w:r>
    </w:p>
    <w:p>
      <w:pPr>
        <w:pStyle w:val="ListParagraph"/>
        <w:numPr>
          <w:ilvl w:val="0"/>
          <w:numId w:val="2"/>
        </w:numPr>
        <w:spacing w:after="40" w:before="40"/>
      </w:pPr>
      <w:r>
        <w:rPr>
          <w:rFonts w:ascii="Arial" w:cs="Arial" w:eastAsia="Arial" w:hAnsi="Arial"/>
          <w:b w:val="false"/>
          <w:bCs w:val="false"/>
          <w:color w:val="1A1A2E"/>
          <w:sz w:val="22"/>
          <w:szCs w:val="22"/>
        </w:rPr>
        <w:t xml:space="preserve">Run through the full demo end-to-end within 24 hours of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E85D04" w:sz="12"/>
              <w:left w:val="thick" w:color="E85D04" w:sz="12"/>
              <w:bottom w:val="single" w:color="E85D04" w:sz="2"/>
              <w:right w:val="single" w:color="E85D04" w:sz="2"/>
            </w:tcBorders>
            <w:shd w:fill="FFF3E0" w:val="clear"/>
            <w:tcMar>
              <w:top w:type="dxa" w:w="120"/>
              <w:left w:type="dxa" w:w="200"/>
              <w:bottom w:type="dxa" w:w="120"/>
              <w:right w:type="dxa" w:w="180"/>
            </w:tcMar>
          </w:tcPr>
          <w:p>
            <w:pPr>
              <w:spacing w:after="60" w:before="0"/>
            </w:pPr>
            <w:r>
              <w:rPr>
                <w:rFonts w:ascii="Arial" w:cs="Arial" w:eastAsia="Arial" w:hAnsi="Arial"/>
                <w:b/>
                <w:bCs/>
                <w:color w:val="E85D04"/>
                <w:spacing w:val="40"/>
                <w:sz w:val="18"/>
                <w:szCs w:val="18"/>
              </w:rPr>
              <w:t xml:space="preserve">BACKUP PLAN</w:t>
            </w:r>
          </w:p>
          <w:p>
            <w:pPr>
              <w:spacing w:after="0" w:before="0"/>
            </w:pPr>
            <w:r>
              <w:rPr>
                <w:rFonts w:ascii="Arial" w:cs="Arial" w:eastAsia="Arial" w:hAnsi="Arial"/>
                <w:color w:val="1A1A2E"/>
                <w:sz w:val="22"/>
                <w:szCs w:val="22"/>
              </w:rPr>
              <w:t xml:space="preserve">Record a backup video of the perfect run. If live connectivity fails, you have a fallback that still tells the full story.</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Scene 1: The Unified Foundation  (0:00 – 1:00)</w:t>
      </w:r>
    </w:p>
    <w:p>
      <w:pPr>
        <w:spacing w:after="40" w:before="160"/>
      </w:pPr>
      <w:r>
        <w:rPr>
          <w:rFonts w:ascii="Arial" w:cs="Arial" w:eastAsia="Arial" w:hAnsi="Arial"/>
          <w:b/>
          <w:bCs/>
          <w:color w:val="6B7280"/>
          <w:spacing w:val="40"/>
          <w:sz w:val="18"/>
          <w:szCs w:val="18"/>
        </w:rPr>
        <w:t xml:space="preserve">GOAL</w:t>
      </w:r>
    </w:p>
    <w:p>
      <w:pPr>
        <w:spacing w:after="100" w:before="60"/>
      </w:pPr>
      <w:r>
        <w:rPr>
          <w:rFonts w:ascii="Arial" w:cs="Arial" w:eastAsia="Arial" w:hAnsi="Arial"/>
          <w:b w:val="false"/>
          <w:bCs w:val="false"/>
          <w:i w:val="false"/>
          <w:iCs w:val="false"/>
          <w:color w:val="1A1A2E"/>
          <w:sz w:val="22"/>
          <w:szCs w:val="22"/>
        </w:rPr>
        <w:t xml:space="preserve">Destroy the assumption that you need multiple systems.</w:t>
      </w:r>
    </w:p>
    <w:p>
      <w:pPr>
        <w:spacing w:after="40" w:before="160"/>
      </w:pPr>
      <w:r>
        <w:rPr>
          <w:rFonts w:ascii="Arial" w:cs="Arial" w:eastAsia="Arial" w:hAnsi="Arial"/>
          <w:b/>
          <w:bCs/>
          <w:color w:val="6B7280"/>
          <w:spacing w:val="40"/>
          <w:sz w:val="18"/>
          <w:szCs w:val="18"/>
        </w:rPr>
        <w:t xml:space="preserve">VISUAL</w:t>
      </w:r>
    </w:p>
    <w:p>
      <w:pPr>
        <w:spacing w:after="100" w:before="60"/>
      </w:pPr>
      <w:r>
        <w:rPr>
          <w:rFonts w:ascii="Arial" w:cs="Arial" w:eastAsia="Arial" w:hAnsi="Arial"/>
          <w:b w:val="false"/>
          <w:bCs w:val="false"/>
          <w:i w:val="false"/>
          <w:iCs w:val="false"/>
          <w:color w:val="1A1A2E"/>
          <w:sz w:val="22"/>
          <w:szCs w:val="22"/>
        </w:rPr>
        <w:t xml:space="preserve">TiDB Cloud Console — single table with TiFlash (Columnar) and Vector Search toggled on simultaneously.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DC150B" w:sz="12"/>
              <w:left w:val="thick" w:color="DC150B" w:sz="12"/>
              <w:bottom w:val="single" w:color="DC150B" w:sz="2"/>
              <w:right w:val="single" w:color="DC150B" w:sz="2"/>
            </w:tcBorders>
            <w:shd w:fill="FEF2F2" w:val="clear"/>
            <w:tcMar>
              <w:top w:type="dxa" w:w="120"/>
              <w:left w:type="dxa" w:w="200"/>
              <w:bottom w:type="dxa" w:w="120"/>
              <w:right w:type="dxa" w:w="180"/>
            </w:tcMar>
          </w:tcPr>
          <w:p>
            <w:pPr>
              <w:spacing w:after="60" w:before="0"/>
            </w:pPr>
            <w:r>
              <w:rPr>
                <w:rFonts w:ascii="Arial" w:cs="Arial" w:eastAsia="Arial" w:hAnsi="Arial"/>
                <w:b/>
                <w:bCs/>
                <w:color w:val="DC150B"/>
                <w:spacing w:val="40"/>
                <w:sz w:val="18"/>
                <w:szCs w:val="18"/>
              </w:rPr>
              <w:t xml:space="preserve">OPENING STAT — DROP THIS FIRST</w:t>
            </w:r>
          </w:p>
          <w:p>
            <w:pPr>
              <w:spacing w:after="0" w:before="0"/>
            </w:pPr>
            <w:r>
              <w:rPr>
                <w:rFonts w:ascii="Arial" w:cs="Arial" w:eastAsia="Arial" w:hAnsi="Arial"/>
                <w:color w:val="1A1A2E"/>
                <w:sz w:val="22"/>
                <w:szCs w:val="22"/>
              </w:rPr>
              <w:t xml:space="preserve">95% of new TiDB Cloud clusters are now created by AI agents, not human developers. Our partner Manus manages over 10 million databases on TiDB today. We didn’t add AI features to a database. We built the database that AI agents actually need.</w:t>
            </w:r>
          </w:p>
        </w:tc>
      </w:tr>
    </w:tbl>
    <w:p>
      <w:pPr>
        <w:spacing w:after="0" w:before="0"/>
      </w:pPr>
      <w:r>
        <w:t xml:space="preserve"/>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This is where we start. One table. I’m going to show you something you can’t do in any other database today.</w:t>
      </w:r>
      <w:r>
        <w:rPr>
          <w:rFonts w:ascii="Arial" w:cs="Arial" w:eastAsia="Arial" w:hAnsi="Arial"/>
          <w:b/>
          <w:bCs/>
          <w:color w:val="DC150B"/>
          <w:sz w:val="22"/>
          <w:szCs w:val="22"/>
        </w:rPr>
        <w:t xml:space="preserve">”</w:t>
      </w:r>
    </w:p>
    <w:p>
      <w:pPr>
        <w:spacing w:after="100" w:before="60"/>
      </w:pPr>
      <w:r>
        <w:rPr>
          <w:rFonts w:ascii="Arial" w:cs="Arial" w:eastAsia="Arial" w:hAnsi="Arial"/>
          <w:b w:val="false"/>
          <w:bCs w:val="false"/>
          <w:i/>
          <w:iCs/>
          <w:color w:val="6B7280"/>
          <w:sz w:val="22"/>
          <w:szCs w:val="22"/>
        </w:rPr>
        <w:t xml:space="preserve">[Toggle TiFlash on. Toggle Vector Search on.]</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Whether our agent needs a vector embedding for long-term memory, or a columnar scan for complex analytics — it all happens here. Real-time. Zero ETL. Zero lag. The agent sees the world exactly as it is right now — not as it was when the last batch job ran.</w:t>
      </w:r>
      <w:r>
        <w:rPr>
          <w:rFonts w:ascii="Arial" w:cs="Arial" w:eastAsia="Arial" w:hAnsi="Arial"/>
          <w:b/>
          <w:bCs/>
          <w:color w:val="DC150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E85D04" w:sz="12"/>
              <w:left w:val="thick" w:color="E85D04" w:sz="12"/>
              <w:bottom w:val="single" w:color="E85D04" w:sz="2"/>
              <w:right w:val="single" w:color="E85D04" w:sz="2"/>
            </w:tcBorders>
            <w:shd w:fill="FFF3E0" w:val="clear"/>
            <w:tcMar>
              <w:top w:type="dxa" w:w="120"/>
              <w:left w:type="dxa" w:w="200"/>
              <w:bottom w:type="dxa" w:w="120"/>
              <w:right w:type="dxa" w:w="180"/>
            </w:tcMar>
          </w:tcPr>
          <w:p>
            <w:pPr>
              <w:spacing w:after="60" w:before="0"/>
            </w:pPr>
            <w:r>
              <w:rPr>
                <w:rFonts w:ascii="Arial" w:cs="Arial" w:eastAsia="Arial" w:hAnsi="Arial"/>
                <w:b/>
                <w:bCs/>
                <w:color w:val="E85D04"/>
                <w:spacing w:val="40"/>
                <w:sz w:val="18"/>
                <w:szCs w:val="18"/>
              </w:rPr>
              <w:t xml:space="preserve">SELLING POINT TO LAND</w:t>
            </w:r>
          </w:p>
          <w:p>
            <w:pPr>
              <w:spacing w:after="0" w:before="0"/>
            </w:pPr>
            <w:r>
              <w:rPr>
                <w:rFonts w:ascii="Arial" w:cs="Arial" w:eastAsia="Arial" w:hAnsi="Arial"/>
                <w:color w:val="1A1A2E"/>
                <w:sz w:val="22"/>
                <w:szCs w:val="22"/>
              </w:rPr>
              <w:t xml:space="preserve">Most of your competitors’ AI stacks have a clock problem. Every ETL pipeline introduces lag — and agents reasoning on stale data hallucinate or make bad decisions. We eliminate that clock entirely. This is what it means for your database to become the system of thought.</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Scene 1b: MCP Server — Natural Language to SQL  (Optional — AI/ML Persona)</w:t>
      </w:r>
    </w:p>
    <w:p>
      <w:pPr>
        <w:spacing w:after="40" w:before="160"/>
      </w:pPr>
      <w:r>
        <w:rPr>
          <w:rFonts w:ascii="Arial" w:cs="Arial" w:eastAsia="Arial" w:hAnsi="Arial"/>
          <w:b/>
          <w:bCs/>
          <w:color w:val="6B7280"/>
          <w:spacing w:val="40"/>
          <w:sz w:val="18"/>
          <w:szCs w:val="18"/>
        </w:rPr>
        <w:t xml:space="preserve">GOAL</w:t>
      </w:r>
    </w:p>
    <w:p>
      <w:pPr>
        <w:spacing w:after="100" w:before="60"/>
      </w:pPr>
      <w:r>
        <w:rPr>
          <w:rFonts w:ascii="Arial" w:cs="Arial" w:eastAsia="Arial" w:hAnsi="Arial"/>
          <w:b w:val="false"/>
          <w:bCs w:val="false"/>
          <w:i w:val="false"/>
          <w:iCs w:val="false"/>
          <w:color w:val="1A1A2E"/>
          <w:sz w:val="22"/>
          <w:szCs w:val="22"/>
        </w:rPr>
        <w:t xml:space="preserve">Show the native MCP Server for AI/ML Platform Leads — most compelling 30 seconds in the entire demo for this persona.</w:t>
      </w:r>
    </w:p>
    <w:p>
      <w:pPr>
        <w:spacing w:after="40" w:before="160"/>
      </w:pPr>
      <w:r>
        <w:rPr>
          <w:rFonts w:ascii="Arial" w:cs="Arial" w:eastAsia="Arial" w:hAnsi="Arial"/>
          <w:b/>
          <w:bCs/>
          <w:color w:val="6B7280"/>
          <w:spacing w:val="40"/>
          <w:sz w:val="18"/>
          <w:szCs w:val="18"/>
        </w:rPr>
        <w:t xml:space="preserve">VISUAL</w:t>
      </w:r>
    </w:p>
    <w:p>
      <w:pPr>
        <w:spacing w:after="100" w:before="60"/>
      </w:pPr>
      <w:r>
        <w:rPr>
          <w:rFonts w:ascii="Arial" w:cs="Arial" w:eastAsia="Arial" w:hAnsi="Arial"/>
          <w:b w:val="false"/>
          <w:bCs w:val="false"/>
          <w:i w:val="false"/>
          <w:iCs w:val="false"/>
          <w:color w:val="1A1A2E"/>
          <w:sz w:val="22"/>
          <w:szCs w:val="22"/>
        </w:rPr>
        <w:t xml:space="preserve">Chat2Query / MCP interface — agent querying the database in natural language.</w:t>
      </w:r>
    </w:p>
    <w:p>
      <w:pPr>
        <w:spacing w:after="0" w:before="0"/>
      </w:pPr>
      <w:r>
        <w:t xml:space="preserve"/>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Our native MCP Server means your agents interact with the entire data substrate in natural language — no middleware, no custom connectors. Watch this: I type a question in plain English, and TiDB translates it into optimised SQL and vector search automatically. This is how your Claude or LangChain agents talk to your database.</w:t>
      </w:r>
      <w:r>
        <w:rPr>
          <w:rFonts w:ascii="Arial" w:cs="Arial" w:eastAsia="Arial" w:hAnsi="Arial"/>
          <w:b/>
          <w:bCs/>
          <w:color w:val="DC150B"/>
          <w:sz w:val="22"/>
          <w:szCs w:val="22"/>
        </w:rPr>
        <w:t xml:space="preserve">”</w:t>
      </w:r>
    </w:p>
    <w:p>
      <w:pPr>
        <w:spacing w:after="0" w:before="0"/>
      </w:pPr>
      <w:r>
        <w:t xml:space="preserve"/>
      </w:r>
    </w:p>
    <w:p>
      <w:pPr>
        <w:pStyle w:val="Heading2"/>
        <w:spacing w:after="80" w:before="300"/>
      </w:pPr>
      <w:r>
        <w:rPr>
          <w:rFonts w:ascii="Arial" w:cs="Arial" w:eastAsia="Arial" w:hAnsi="Arial"/>
          <w:b/>
          <w:bCs/>
          <w:color w:val="1A1A2E"/>
          <w:sz w:val="26"/>
          <w:szCs w:val="26"/>
        </w:rPr>
        <w:t xml:space="preserve">Scene 2: The Programmable Branch  (1:00 – 2:30)</w:t>
      </w:r>
    </w:p>
    <w:p>
      <w:pPr>
        <w:spacing w:after="40" w:before="160"/>
      </w:pPr>
      <w:r>
        <w:rPr>
          <w:rFonts w:ascii="Arial" w:cs="Arial" w:eastAsia="Arial" w:hAnsi="Arial"/>
          <w:b/>
          <w:bCs/>
          <w:color w:val="6B7280"/>
          <w:spacing w:val="40"/>
          <w:sz w:val="18"/>
          <w:szCs w:val="18"/>
        </w:rPr>
        <w:t xml:space="preserve">GOAL</w:t>
      </w:r>
    </w:p>
    <w:p>
      <w:pPr>
        <w:spacing w:after="100" w:before="60"/>
      </w:pPr>
      <w:r>
        <w:rPr>
          <w:rFonts w:ascii="Arial" w:cs="Arial" w:eastAsia="Arial" w:hAnsi="Arial"/>
          <w:b w:val="false"/>
          <w:bCs w:val="false"/>
          <w:i w:val="false"/>
          <w:iCs w:val="false"/>
          <w:color w:val="1A1A2E"/>
          <w:sz w:val="22"/>
          <w:szCs w:val="22"/>
        </w:rPr>
        <w:t xml:space="preserve">Make the Safety-First story visceral and concrete.</w:t>
      </w:r>
    </w:p>
    <w:p>
      <w:pPr>
        <w:spacing w:after="40" w:before="160"/>
      </w:pPr>
      <w:r>
        <w:rPr>
          <w:rFonts w:ascii="Arial" w:cs="Arial" w:eastAsia="Arial" w:hAnsi="Arial"/>
          <w:b/>
          <w:bCs/>
          <w:color w:val="6B7280"/>
          <w:spacing w:val="40"/>
          <w:sz w:val="18"/>
          <w:szCs w:val="18"/>
        </w:rPr>
        <w:t xml:space="preserve">VISUAL</w:t>
      </w:r>
    </w:p>
    <w:p>
      <w:pPr>
        <w:spacing w:after="100" w:before="60"/>
      </w:pPr>
      <w:r>
        <w:rPr>
          <w:rFonts w:ascii="Arial" w:cs="Arial" w:eastAsia="Arial" w:hAnsi="Arial"/>
          <w:b w:val="false"/>
          <w:bCs w:val="false"/>
          <w:i w:val="false"/>
          <w:iCs w:val="false"/>
          <w:color w:val="1A1A2E"/>
          <w:sz w:val="22"/>
          <w:szCs w:val="22"/>
        </w:rPr>
        <w:t xml:space="preserve">DBA Agent UI — agent has flagged a slow query (full table scan on 2M rows).</w:t>
      </w:r>
    </w:p>
    <w:p>
      <w:pPr>
        <w:spacing w:after="0" w:before="0"/>
      </w:pPr>
      <w:r>
        <w:t xml:space="preserve"/>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The agent just found a performance bottleneck. In a legacy stack, an agent running CREATE INDEX on production is a firing offense. You’re one bad command away from a P1 incident.</w:t>
      </w:r>
      <w:r>
        <w:rPr>
          <w:rFonts w:ascii="Arial" w:cs="Arial" w:eastAsia="Arial" w:hAnsi="Arial"/>
          <w:b/>
          <w:bCs/>
          <w:color w:val="DC150B"/>
          <w:sz w:val="22"/>
          <w:szCs w:val="22"/>
        </w:rPr>
        <w:t xml:space="preserve">”</w:t>
      </w:r>
    </w:p>
    <w:p>
      <w:pPr>
        <w:spacing w:after="100" w:before="60"/>
      </w:pPr>
      <w:r>
        <w:rPr>
          <w:rFonts w:ascii="Arial" w:cs="Arial" w:eastAsia="Arial" w:hAnsi="Arial"/>
          <w:b w:val="false"/>
          <w:bCs w:val="false"/>
          <w:i/>
          <w:iCs/>
          <w:color w:val="6B7280"/>
          <w:sz w:val="22"/>
          <w:szCs w:val="22"/>
        </w:rPr>
        <w:t xml:space="preserve">[Click to fork — show the branch creation happening in under a second.]</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But TiDB is a programmable substrate. The agent forks the entire database — copy-on-write, milliseconds, nearly free. This branch is the ultimate sandbox: safe, isolated, and invisible to your live users. The agent can be wrong in here. That’s the point.</w:t>
      </w:r>
      <w:r>
        <w:rPr>
          <w:rFonts w:ascii="Arial" w:cs="Arial" w:eastAsia="Arial" w:hAnsi="Arial"/>
          <w:b/>
          <w:bCs/>
          <w:color w:val="DC150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E85D04" w:sz="12"/>
              <w:left w:val="thick" w:color="E85D04" w:sz="12"/>
              <w:bottom w:val="single" w:color="E85D04" w:sz="2"/>
              <w:right w:val="single" w:color="E85D04" w:sz="2"/>
            </w:tcBorders>
            <w:shd w:fill="FFF3E0" w:val="clear"/>
            <w:tcMar>
              <w:top w:type="dxa" w:w="120"/>
              <w:left w:type="dxa" w:w="200"/>
              <w:bottom w:type="dxa" w:w="120"/>
              <w:right w:type="dxa" w:w="180"/>
            </w:tcMar>
          </w:tcPr>
          <w:p>
            <w:pPr>
              <w:spacing w:after="60" w:before="0"/>
            </w:pPr>
            <w:r>
              <w:rPr>
                <w:rFonts w:ascii="Arial" w:cs="Arial" w:eastAsia="Arial" w:hAnsi="Arial"/>
                <w:b/>
                <w:bCs/>
                <w:color w:val="E85D04"/>
                <w:spacing w:val="40"/>
                <w:sz w:val="18"/>
                <w:szCs w:val="18"/>
              </w:rPr>
              <w:t xml:space="preserve">OBJECTION HANDLER</w:t>
            </w:r>
          </w:p>
          <w:p>
            <w:pPr>
              <w:spacing w:after="0" w:before="0"/>
            </w:pPr>
            <w:r>
              <w:rPr>
                <w:rFonts w:ascii="Arial" w:cs="Arial" w:eastAsia="Arial" w:hAnsi="Arial"/>
                <w:color w:val="1A1A2E"/>
                <w:sz w:val="22"/>
                <w:szCs w:val="22"/>
              </w:rPr>
              <w:t xml:space="preserve">“But we already have a staging environment.” Response: A staging environment is one. TiDB lets every agent — every experiment — have its own. You can run thousands of hypotheses in parallel. That’s not staging. That’s machine-speed R&amp;D.</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Scene 3: Validation &amp; Online DDL  (2:30 – 4:00)</w:t>
      </w:r>
    </w:p>
    <w:p>
      <w:pPr>
        <w:spacing w:after="40" w:before="160"/>
      </w:pPr>
      <w:r>
        <w:rPr>
          <w:rFonts w:ascii="Arial" w:cs="Arial" w:eastAsia="Arial" w:hAnsi="Arial"/>
          <w:b/>
          <w:bCs/>
          <w:color w:val="6B7280"/>
          <w:spacing w:val="40"/>
          <w:sz w:val="18"/>
          <w:szCs w:val="18"/>
        </w:rPr>
        <w:t xml:space="preserve">GOAL</w:t>
      </w:r>
    </w:p>
    <w:p>
      <w:pPr>
        <w:spacing w:after="100" w:before="60"/>
      </w:pPr>
      <w:r>
        <w:rPr>
          <w:rFonts w:ascii="Arial" w:cs="Arial" w:eastAsia="Arial" w:hAnsi="Arial"/>
          <w:b w:val="false"/>
          <w:bCs w:val="false"/>
          <w:i w:val="false"/>
          <w:iCs w:val="false"/>
          <w:color w:val="1A1A2E"/>
          <w:sz w:val="22"/>
          <w:szCs w:val="22"/>
        </w:rPr>
        <w:t xml:space="preserve">Show the proof, then the promotion — zero drama.</w:t>
      </w:r>
    </w:p>
    <w:p>
      <w:pPr>
        <w:spacing w:after="40" w:before="160"/>
      </w:pPr>
      <w:r>
        <w:rPr>
          <w:rFonts w:ascii="Arial" w:cs="Arial" w:eastAsia="Arial" w:hAnsi="Arial"/>
          <w:b/>
          <w:bCs/>
          <w:color w:val="6B7280"/>
          <w:spacing w:val="40"/>
          <w:sz w:val="18"/>
          <w:szCs w:val="18"/>
        </w:rPr>
        <w:t xml:space="preserve">VISUAL</w:t>
      </w:r>
    </w:p>
    <w:p>
      <w:pPr>
        <w:spacing w:after="100" w:before="60"/>
      </w:pPr>
      <w:r>
        <w:rPr>
          <w:rFonts w:ascii="Arial" w:cs="Arial" w:eastAsia="Arial" w:hAnsi="Arial"/>
          <w:b w:val="false"/>
          <w:bCs w:val="false"/>
          <w:i w:val="false"/>
          <w:iCs w:val="false"/>
          <w:color w:val="1A1A2E"/>
          <w:sz w:val="22"/>
          <w:szCs w:val="22"/>
        </w:rPr>
        <w:t xml:space="preserve">Side-by-side comparison report. Production branch: 2.1 seconds. Agent branch: 3 milliseconds.</w:t>
      </w:r>
    </w:p>
    <w:p>
      <w:pPr>
        <w:spacing w:after="0" w:before="0"/>
      </w:pPr>
      <w:r>
        <w:t xml:space="preserve"/>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The agent applied the index in the branch. Here is the proof: 700x performance improvement. It doesn’t guess. It validates. Now watch this — human-in-the-loop.</w:t>
      </w:r>
      <w:r>
        <w:rPr>
          <w:rFonts w:ascii="Arial" w:cs="Arial" w:eastAsia="Arial" w:hAnsi="Arial"/>
          <w:b/>
          <w:bCs/>
          <w:color w:val="DC150B"/>
          <w:sz w:val="22"/>
          <w:szCs w:val="22"/>
        </w:rPr>
        <w:t xml:space="preserve">”</w:t>
      </w:r>
    </w:p>
    <w:p>
      <w:pPr>
        <w:spacing w:after="100" w:before="60"/>
      </w:pPr>
      <w:r>
        <w:rPr>
          <w:rFonts w:ascii="Arial" w:cs="Arial" w:eastAsia="Arial" w:hAnsi="Arial"/>
          <w:b w:val="false"/>
          <w:bCs w:val="false"/>
          <w:i/>
          <w:iCs/>
          <w:color w:val="6B7280"/>
          <w:sz w:val="22"/>
          <w:szCs w:val="22"/>
        </w:rPr>
        <w:t xml:space="preserve">[Click ‘Approve’.]</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We use Online DDL to promote the change to the live cluster. No downtime. No row-locking. No maintenance window. The index is applied while your application keeps running.</w:t>
      </w:r>
      <w:r>
        <w:rPr>
          <w:rFonts w:ascii="Arial" w:cs="Arial" w:eastAsia="Arial" w:hAnsi="Arial"/>
          <w:b/>
          <w:bCs/>
          <w:color w:val="DC150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DC150B" w:sz="12"/>
              <w:left w:val="thick" w:color="DC150B" w:sz="12"/>
              <w:bottom w:val="single" w:color="DC150B" w:sz="2"/>
              <w:right w:val="single" w:color="DC150B" w:sz="2"/>
            </w:tcBorders>
            <w:shd w:fill="FEF2F2" w:val="clear"/>
            <w:tcMar>
              <w:top w:type="dxa" w:w="120"/>
              <w:left w:type="dxa" w:w="200"/>
              <w:bottom w:type="dxa" w:w="120"/>
              <w:right w:type="dxa" w:w="180"/>
            </w:tcMar>
          </w:tcPr>
          <w:p>
            <w:pPr>
              <w:spacing w:after="60" w:before="0"/>
            </w:pPr>
            <w:r>
              <w:rPr>
                <w:rFonts w:ascii="Arial" w:cs="Arial" w:eastAsia="Arial" w:hAnsi="Arial"/>
                <w:b/>
                <w:bCs/>
                <w:color w:val="DC150B"/>
                <w:spacing w:val="40"/>
                <w:sz w:val="18"/>
                <w:szCs w:val="18"/>
              </w:rPr>
              <w:t xml:space="preserve">COMPLIANCE HOOK — FOR EU AI ACT PERSONAS</w:t>
            </w:r>
          </w:p>
          <w:p>
            <w:pPr>
              <w:spacing w:after="0" w:before="0"/>
            </w:pPr>
            <w:r>
              <w:rPr>
                <w:rFonts w:ascii="Arial" w:cs="Arial" w:eastAsia="Arial" w:hAnsi="Arial"/>
                <w:color w:val="1A1A2E"/>
                <w:sz w:val="22"/>
                <w:szCs w:val="22"/>
              </w:rPr>
              <w:t xml:space="preserve">Every step of this process — the fork, the test, the approval, the promotion — is captured in a single auditable transaction log. That is your EU AI Act Article 14 compliance, built into the workflow.</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Scene 4: Episodic Memory — The System Learns  (4:00 – 5:00)</w:t>
      </w:r>
    </w:p>
    <w:p>
      <w:pPr>
        <w:spacing w:after="40" w:before="160"/>
      </w:pPr>
      <w:r>
        <w:rPr>
          <w:rFonts w:ascii="Arial" w:cs="Arial" w:eastAsia="Arial" w:hAnsi="Arial"/>
          <w:b/>
          <w:bCs/>
          <w:color w:val="6B7280"/>
          <w:spacing w:val="40"/>
          <w:sz w:val="18"/>
          <w:szCs w:val="18"/>
        </w:rPr>
        <w:t xml:space="preserve">GOAL</w:t>
      </w:r>
    </w:p>
    <w:p>
      <w:pPr>
        <w:spacing w:after="100" w:before="60"/>
      </w:pPr>
      <w:r>
        <w:rPr>
          <w:rFonts w:ascii="Arial" w:cs="Arial" w:eastAsia="Arial" w:hAnsi="Arial"/>
          <w:b w:val="false"/>
          <w:bCs w:val="false"/>
          <w:i w:val="false"/>
          <w:iCs w:val="false"/>
          <w:color w:val="1A1A2E"/>
          <w:sz w:val="22"/>
          <w:szCs w:val="22"/>
        </w:rPr>
        <w:t xml:space="preserve">Shift the frame from “database” to “learning system.” This is the scene no competitor can show.</w:t>
      </w:r>
    </w:p>
    <w:p>
      <w:pPr>
        <w:spacing w:after="40" w:before="160"/>
      </w:pPr>
      <w:r>
        <w:rPr>
          <w:rFonts w:ascii="Arial" w:cs="Arial" w:eastAsia="Arial" w:hAnsi="Arial"/>
          <w:b/>
          <w:bCs/>
          <w:color w:val="6B7280"/>
          <w:spacing w:val="40"/>
          <w:sz w:val="18"/>
          <w:szCs w:val="18"/>
        </w:rPr>
        <w:t xml:space="preserve">VISUAL</w:t>
      </w:r>
    </w:p>
    <w:p>
      <w:pPr>
        <w:spacing w:after="100" w:before="60"/>
      </w:pPr>
      <w:r>
        <w:rPr>
          <w:rFonts w:ascii="Arial" w:cs="Arial" w:eastAsia="Arial" w:hAnsi="Arial"/>
          <w:b w:val="false"/>
          <w:bCs w:val="false"/>
          <w:i w:val="false"/>
          <w:iCs w:val="false"/>
          <w:color w:val="1A1A2E"/>
          <w:sz w:val="22"/>
          <w:szCs w:val="22"/>
        </w:rPr>
        <w:t xml:space="preserve">agent_memory table — SQL logs stored alongside vector embeddings. Show both structured data and vector columns in one table.</w:t>
      </w:r>
    </w:p>
    <w:p>
      <w:pPr>
        <w:spacing w:after="0" w:before="0"/>
      </w:pPr>
      <w:r>
        <w:t xml:space="preserve"/>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Finally, the agent writes this experience back to TiDB as Episodic Memory. The problem, the fix, and the result — stored as a vector embedding. Next time a similar bottleneck appears anywhere in your fleet, the agent recalls this event and resolves it instantly. No re-learning. No repeated mistakes.</w:t>
      </w:r>
      <w:r>
        <w:rPr>
          <w:rFonts w:ascii="Arial" w:cs="Arial" w:eastAsia="Arial" w:hAnsi="Arial"/>
          <w:b/>
          <w:bCs/>
          <w:color w:val="DC150B"/>
          <w:sz w:val="22"/>
          <w:szCs w:val="22"/>
        </w:rPr>
        <w:t xml:space="preserve">”</w:t>
      </w:r>
    </w:p>
    <w:p>
      <w:pPr>
        <w:spacing w:after="100" w:before="60"/>
      </w:pPr>
      <w:r>
        <w:rPr>
          <w:rFonts w:ascii="Arial" w:cs="Arial" w:eastAsia="Arial" w:hAnsi="Arial"/>
          <w:b w:val="false"/>
          <w:bCs w:val="false"/>
          <w:i/>
          <w:iCs/>
          <w:color w:val="6B7280"/>
          <w:sz w:val="22"/>
          <w:szCs w:val="22"/>
        </w:rPr>
        <w:t xml:space="preserve">[Pause. Let it land.]</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We’ve moved from a static database to a learning system. This is what it means for the database to become the system of thought — not just storing what happened, but remembering what worked.</w:t>
      </w:r>
      <w:r>
        <w:rPr>
          <w:rFonts w:ascii="Arial" w:cs="Arial" w:eastAsia="Arial" w:hAnsi="Arial"/>
          <w:b/>
          <w:bCs/>
          <w:color w:val="DC150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DC150B" w:sz="12"/>
              <w:left w:val="thick" w:color="DC150B" w:sz="12"/>
              <w:bottom w:val="single" w:color="DC150B" w:sz="2"/>
              <w:right w:val="single" w:color="DC150B" w:sz="2"/>
            </w:tcBorders>
            <w:shd w:fill="FEF2F2" w:val="clear"/>
            <w:tcMar>
              <w:top w:type="dxa" w:w="120"/>
              <w:left w:type="dxa" w:w="200"/>
              <w:bottom w:type="dxa" w:w="120"/>
              <w:right w:type="dxa" w:w="180"/>
            </w:tcMar>
          </w:tcPr>
          <w:p>
            <w:pPr>
              <w:spacing w:after="60" w:before="0"/>
            </w:pPr>
            <w:r>
              <w:rPr>
                <w:rFonts w:ascii="Arial" w:cs="Arial" w:eastAsia="Arial" w:hAnsi="Arial"/>
                <w:b/>
                <w:bCs/>
                <w:color w:val="DC150B"/>
                <w:spacing w:val="40"/>
                <w:sz w:val="18"/>
                <w:szCs w:val="18"/>
              </w:rPr>
              <w:t xml:space="preserve">CLOSE STRONG</w:t>
            </w:r>
          </w:p>
          <w:p>
            <w:pPr>
              <w:spacing w:after="0" w:before="0"/>
            </w:pPr>
            <w:r>
              <w:rPr>
                <w:rFonts w:ascii="Arial" w:cs="Arial" w:eastAsia="Arial" w:hAnsi="Arial"/>
                <w:color w:val="1A1A2E"/>
                <w:sz w:val="22"/>
                <w:szCs w:val="22"/>
              </w:rPr>
              <w:t xml:space="preserve">What you’ve just seen is the Decide-Validate-Remember loop. Most databases can only do the first. TiDB closes the loop. That is the difference between an AI tool and an AI colleague.</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Post-Demo: Three Conversation Starters</w:t>
      </w:r>
    </w:p>
    <w:p>
      <w:pPr>
        <w:spacing w:after="100" w:before="60"/>
      </w:pPr>
      <w:r>
        <w:rPr>
          <w:rFonts w:ascii="Arial" w:cs="Arial" w:eastAsia="Arial" w:hAnsi="Arial"/>
          <w:b w:val="false"/>
          <w:bCs w:val="false"/>
          <w:i/>
          <w:iCs/>
          <w:color w:val="6B7280"/>
          <w:sz w:val="22"/>
          <w:szCs w:val="22"/>
        </w:rPr>
        <w:t xml:space="preserve">After the demo, use one of these to pivot to discovery:</w:t>
      </w:r>
    </w:p>
    <w:p>
      <w:pPr>
        <w:spacing w:after="0" w:before="0"/>
      </w:pPr>
      <w:r>
        <w:t xml:space="preserve"/>
      </w:r>
    </w:p>
    <w:p>
      <w:pPr>
        <w:spacing w:after="40" w:before="160"/>
      </w:pPr>
      <w:r>
        <w:rPr>
          <w:rFonts w:ascii="Arial" w:cs="Arial" w:eastAsia="Arial" w:hAnsi="Arial"/>
          <w:b/>
          <w:bCs/>
          <w:color w:val="6B7280"/>
          <w:spacing w:val="40"/>
          <w:sz w:val="18"/>
          <w:szCs w:val="18"/>
        </w:rPr>
        <w:t xml:space="preserve">THE COST QUESTION</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Right now, how much of your infra spend is on databases your agents are barely using — because you have to overprovision for spiky workloads? We can model your potential TCO reduction in 15 minutes.</w:t>
      </w:r>
      <w:r>
        <w:rPr>
          <w:rFonts w:ascii="Arial" w:cs="Arial" w:eastAsia="Arial" w:hAnsi="Arial"/>
          <w:b/>
          <w:bCs/>
          <w:color w:val="DC150B"/>
          <w:sz w:val="22"/>
          <w:szCs w:val="22"/>
        </w:rPr>
        <w:t xml:space="preserve">”</w:t>
      </w:r>
    </w:p>
    <w:p>
      <w:pPr>
        <w:spacing w:after="40" w:before="160"/>
      </w:pPr>
      <w:r>
        <w:rPr>
          <w:rFonts w:ascii="Arial" w:cs="Arial" w:eastAsia="Arial" w:hAnsi="Arial"/>
          <w:b/>
          <w:bCs/>
          <w:color w:val="6B7280"/>
          <w:spacing w:val="40"/>
          <w:sz w:val="18"/>
          <w:szCs w:val="18"/>
        </w:rPr>
        <w:t xml:space="preserve">THE SPEED QUESTION</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If your engineering team had 70% of their time back from data plumbing — what would they build first? That’s what TiDB gives back.</w:t>
      </w:r>
      <w:r>
        <w:rPr>
          <w:rFonts w:ascii="Arial" w:cs="Arial" w:eastAsia="Arial" w:hAnsi="Arial"/>
          <w:b/>
          <w:bCs/>
          <w:color w:val="DC150B"/>
          <w:sz w:val="22"/>
          <w:szCs w:val="22"/>
        </w:rPr>
        <w:t xml:space="preserve">”</w:t>
      </w:r>
    </w:p>
    <w:p>
      <w:pPr>
        <w:spacing w:after="40" w:before="160"/>
      </w:pPr>
      <w:r>
        <w:rPr>
          <w:rFonts w:ascii="Arial" w:cs="Arial" w:eastAsia="Arial" w:hAnsi="Arial"/>
          <w:b/>
          <w:bCs/>
          <w:color w:val="6B7280"/>
          <w:spacing w:val="40"/>
          <w:sz w:val="18"/>
          <w:szCs w:val="18"/>
        </w:rPr>
        <w:t xml:space="preserve">THE COMPLIANCE QUESTION</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Who in your organisation needs to sign off on AI agents touching production data? Because what I’ve just shown you is how you get them to say yes.</w:t>
      </w:r>
      <w:r>
        <w:rPr>
          <w:rFonts w:ascii="Arial" w:cs="Arial" w:eastAsia="Arial" w:hAnsi="Arial"/>
          <w:b/>
          <w:bCs/>
          <w:color w:val="DC150B"/>
          <w:sz w:val="22"/>
          <w:szCs w:val="22"/>
        </w:rPr>
        <w:t xml:space="preserve">”</w:t>
      </w:r>
    </w:p>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4 — Key Technical Proof Points  (Q&amp;A / Slides)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C150B" w:sz="1"/>
              <w:left w:val="single" w:color="DC150B" w:sz="1"/>
              <w:bottom w:val="single" w:color="DC150B" w:sz="1"/>
              <w:right w:val="single" w:color="DC150B" w:sz="1"/>
            </w:tcBorders>
            <w:shd w:fill="DC150B"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580"/>
            <w:tcBorders>
              <w:top w:val="single" w:color="DC150B" w:sz="1"/>
              <w:left w:val="single" w:color="DC150B" w:sz="1"/>
              <w:bottom w:val="single" w:color="DC150B" w:sz="1"/>
              <w:right w:val="single" w:color="DC150B" w:sz="1"/>
            </w:tcBorders>
            <w:shd w:fill="DC150B" w:val="clear"/>
            <w:tcMar>
              <w:top w:type="dxa" w:w="80"/>
              <w:left w:type="dxa" w:w="120"/>
              <w:bottom w:type="dxa" w:w="80"/>
              <w:right w:type="dxa" w:w="120"/>
            </w:tcMar>
          </w:tcPr>
          <w:p>
            <w:r>
              <w:rPr>
                <w:rFonts w:ascii="Arial" w:cs="Arial" w:eastAsia="Arial" w:hAnsi="Arial"/>
                <w:b/>
                <w:bCs/>
                <w:color w:val="FFFFFF"/>
                <w:sz w:val="20"/>
                <w:szCs w:val="20"/>
              </w:rPr>
              <w:t xml:space="preserve">Fragmented Stack (Before)</w:t>
            </w:r>
          </w:p>
        </w:tc>
        <w:tc>
          <w:tcPr>
            <w:tcW w:type="dxa" w:w="3580"/>
            <w:tcBorders>
              <w:top w:val="single" w:color="DC150B" w:sz="1"/>
              <w:left w:val="single" w:color="DC150B" w:sz="1"/>
              <w:bottom w:val="single" w:color="DC150B" w:sz="1"/>
              <w:right w:val="single" w:color="DC150B" w:sz="1"/>
            </w:tcBorders>
            <w:shd w:fill="DC150B" w:val="clear"/>
            <w:tcMar>
              <w:top w:type="dxa" w:w="80"/>
              <w:left w:type="dxa" w:w="120"/>
              <w:bottom w:type="dxa" w:w="80"/>
              <w:right w:type="dxa" w:w="120"/>
            </w:tcMar>
          </w:tcPr>
          <w:p>
            <w:r>
              <w:rPr>
                <w:rFonts w:ascii="Arial" w:cs="Arial" w:eastAsia="Arial" w:hAnsi="Arial"/>
                <w:b/>
                <w:bCs/>
                <w:color w:val="FFFFFF"/>
                <w:sz w:val="20"/>
                <w:szCs w:val="20"/>
              </w:rPr>
              <w:t xml:space="preserve">TiDB Cloud (After)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 Wall</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Siloed: SQL + Vector + S3 — 70% of eng time on glue code; hallucinations from stale context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Unified HTAP substrate with native vector search — 80% less glue code; system of thought, not storage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Stale Context</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ETL lag: analytics run on yesterday’s data; vector store out of sync with transactions</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Zero-ETL HTAP: reads live operational data — instant churn risk, real-time sentiment, no clock problem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Episodic Memory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decisions lost after each session; no structured + vector unified store; no Decide-Validate-Remember loop</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write experience back as vector embeddings in the same ACID engine — system learns over time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Prod Safety</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No safe sandbox; agents touching production = P1 risk; no human-in-the-loop guardrails</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Serverless Branching: copy-on-write snapshot in seconds; 700x improvement proven in isolation before merge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Multi-system audit trail spanning Postgres + vector DB + S3; GDPR cleanup is a multi-team project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ACID transaction log; Right to be Forgotten = one SQL command; Online DDL; EU AI Act Article 14 ready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TCO</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Always-on provisioned capacity: paying 24/7 for idle instances across 3+ vendors</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Pay-per-second serverless; 80% TCO reduction; Manus manages 10M+ databases on TiDB Cloud today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MCP / Agent Integration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connectors, middleware layers, and bespoke adapters for each agent framework</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MCP Server: agents query full data substrate in natural language — zero middleware, immediate fit</w:t>
            </w:r>
          </w:p>
        </w:tc>
      </w:tr>
    </w:tbl>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5 — Competitive Battlecard</w:t>
      </w:r>
    </w:p>
    <w:p>
      <w:pPr>
        <w:spacing w:after="100" w:before="60"/>
      </w:pPr>
      <w:r>
        <w:rPr>
          <w:rFonts w:ascii="Arial" w:cs="Arial" w:eastAsia="Arial" w:hAnsi="Arial"/>
          <w:b w:val="false"/>
          <w:bCs w:val="false"/>
          <w:i/>
          <w:iCs/>
          <w:color w:val="6B7280"/>
          <w:sz w:val="22"/>
          <w:szCs w:val="22"/>
        </w:rPr>
        <w:t xml:space="preserve">Prospects will ask about these. Know the answers cold.</w:t>
      </w:r>
    </w:p>
    <w:p>
      <w:pPr>
        <w:spacing w:after="0" w:before="0"/>
      </w:pPr>
      <w:r>
        <w:t xml:space="preserve"/>
      </w:r>
    </w:p>
    <w:p>
      <w:pPr>
        <w:pStyle w:val="Heading2"/>
        <w:spacing w:after="80" w:before="300"/>
      </w:pPr>
      <w:r>
        <w:rPr>
          <w:rFonts w:ascii="Arial" w:cs="Arial" w:eastAsia="Arial" w:hAnsi="Arial"/>
          <w:b/>
          <w:bCs/>
          <w:color w:val="1A1A2E"/>
          <w:sz w:val="26"/>
          <w:szCs w:val="26"/>
        </w:rPr>
        <w:t xml:space="preserve">vs. Pinecone / Weaviate / Qdrant  (Pure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1A2E" w:sz="12"/>
              <w:left w:val="thick" w:color="1A1A2E" w:sz="12"/>
              <w:bottom w:val="single" w:color="1A1A2E" w:sz="2"/>
              <w:right w:val="single" w:color="1A1A2E" w:sz="2"/>
            </w:tcBorders>
            <w:shd w:fill="F9FAFB" w:val="clear"/>
            <w:tcMar>
              <w:top w:type="dxa" w:w="120"/>
              <w:left w:type="dxa" w:w="200"/>
              <w:bottom w:type="dxa" w:w="120"/>
              <w:right w:type="dxa" w:w="180"/>
            </w:tcMar>
          </w:tcPr>
          <w:p>
            <w:pPr>
              <w:spacing w:after="60" w:before="0"/>
            </w:pPr>
            <w:r>
              <w:rPr>
                <w:rFonts w:ascii="Arial" w:cs="Arial" w:eastAsia="Arial" w:hAnsi="Arial"/>
                <w:b/>
                <w:bCs/>
                <w:color w:val="1A1A2E"/>
                <w:spacing w:val="40"/>
                <w:sz w:val="18"/>
                <w:szCs w:val="18"/>
              </w:rPr>
              <w:t xml:space="preserve">THE ONE-LINER</w:t>
            </w:r>
          </w:p>
          <w:p>
            <w:pPr>
              <w:spacing w:after="0" w:before="0"/>
            </w:pPr>
            <w:r>
              <w:rPr>
                <w:rFonts w:ascii="Arial" w:cs="Arial" w:eastAsia="Arial" w:hAnsi="Arial"/>
                <w:color w:val="1A1A2E"/>
                <w:sz w:val="22"/>
                <w:szCs w:val="22"/>
              </w:rPr>
              <w:t xml:space="preserve">A vector database is a single-purpose tool. TiDB is the substrate. When your agent needs to correlate a vector result with relational state — user history, account data, audit logs — you pay a network round-trip and write glue code. With TiDB, it’s one SQL query. One bill. Zero ETL.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Pinecone / Pure Vector DB</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TiDB Cloud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Relational + Vector join</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Impossible in one query — app-level join required</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Native: VEC_COSINE_DISTANCE in same SQL as transactional joins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ACID consistency</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No transactions; vectors can lag relational state</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Full ACID — vectors update atomically with relational data</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None — requires a third system (Snowflake/BigQuery)</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TiFlash columnar built-in — OLAP + OLTP + Vector in one cluster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Episodic Memory</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Vectors only — no structured state, no unified Decide-Validate-Remember</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Unified structured + vector store — full episodic loop in one engine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Audit / Compliance</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No transaction log; no GDPR tooling</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Full ACID log; Right to be Forgotten = one SQL command</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vs. Aurora / MySQL  (Database Displacement)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1A2E" w:sz="12"/>
              <w:left w:val="thick" w:color="1A1A2E" w:sz="12"/>
              <w:bottom w:val="single" w:color="1A1A2E" w:sz="2"/>
              <w:right w:val="single" w:color="1A1A2E" w:sz="2"/>
            </w:tcBorders>
            <w:shd w:fill="F9FAFB" w:val="clear"/>
            <w:tcMar>
              <w:top w:type="dxa" w:w="120"/>
              <w:left w:type="dxa" w:w="200"/>
              <w:bottom w:type="dxa" w:w="120"/>
              <w:right w:type="dxa" w:w="180"/>
            </w:tcMar>
          </w:tcPr>
          <w:p>
            <w:pPr>
              <w:spacing w:after="60" w:before="0"/>
            </w:pPr>
            <w:r>
              <w:rPr>
                <w:rFonts w:ascii="Arial" w:cs="Arial" w:eastAsia="Arial" w:hAnsi="Arial"/>
                <w:b/>
                <w:bCs/>
                <w:color w:val="1A1A2E"/>
                <w:spacing w:val="40"/>
                <w:sz w:val="18"/>
                <w:szCs w:val="18"/>
              </w:rPr>
              <w:t xml:space="preserve">THE ONE-LINER</w:t>
            </w:r>
          </w:p>
          <w:p>
            <w:pPr>
              <w:spacing w:after="0" w:before="0"/>
            </w:pPr>
            <w:r>
              <w:rPr>
                <w:rFonts w:ascii="Arial" w:cs="Arial" w:eastAsia="Arial" w:hAnsi="Arial"/>
                <w:color w:val="1A1A2E"/>
                <w:sz w:val="22"/>
                <w:szCs w:val="22"/>
              </w:rPr>
              <w:t xml:space="preserve">TiDB is MySQL-compatible at the wire level. Zero application rewrite. But Aurora stops at relational — your team will bolt on Pinecone or OpenSearch the moment they add vector search. That’s the Memory Wall. TiDB eliminates the second system before you need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Aurora / MySQL</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TiDB Cloud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Vector Search</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Not native — requires pgvector sidecar or OpenSearch</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Native HNSW; sub-10ms p99; same query plan as relational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 (HTAP)</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Separate read replicas or export to Redshift/BigQuery</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TiFlash columnar built-in — live OLAP on operational data</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Horizontal Scale</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Manual sharding (Vitess/ProxySQL) or expensive instances</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Auto-sharding; MySQL-compatible wire protocol; cloud-agnostic</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Safety</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No branching; schema changes require maintenance windows</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Serverless Branching; Online DDL; agent-safe by design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Migration Cost</w:t>
            </w:r>
          </w:p>
        </w:tc>
        <w:tc>
          <w:tcPr>
            <w:tcW w:type="dxa" w:w="312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312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A1A2E"/>
                <w:sz w:val="19"/>
                <w:szCs w:val="19"/>
              </w:rPr>
              <w:t xml:space="preserve">Zero application rewrite; existing ORMs and drivers work unchanged</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vs. DynamoDB / Spanner  (NoSQL Displacement)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1A2E" w:sz="12"/>
              <w:left w:val="thick" w:color="1A1A2E" w:sz="12"/>
              <w:bottom w:val="single" w:color="1A1A2E" w:sz="2"/>
              <w:right w:val="single" w:color="1A1A2E" w:sz="2"/>
            </w:tcBorders>
            <w:shd w:fill="F9FAFB" w:val="clear"/>
            <w:tcMar>
              <w:top w:type="dxa" w:w="120"/>
              <w:left w:type="dxa" w:w="200"/>
              <w:bottom w:type="dxa" w:w="120"/>
              <w:right w:type="dxa" w:w="180"/>
            </w:tcMar>
          </w:tcPr>
          <w:p>
            <w:pPr>
              <w:spacing w:after="60" w:before="0"/>
            </w:pPr>
            <w:r>
              <w:rPr>
                <w:rFonts w:ascii="Arial" w:cs="Arial" w:eastAsia="Arial" w:hAnsi="Arial"/>
                <w:b/>
                <w:bCs/>
                <w:color w:val="1A1A2E"/>
                <w:spacing w:val="40"/>
                <w:sz w:val="18"/>
                <w:szCs w:val="18"/>
              </w:rPr>
              <w:t xml:space="preserve">THE ONE-LINER</w:t>
            </w:r>
          </w:p>
          <w:p>
            <w:pPr>
              <w:spacing w:after="0" w:before="0"/>
            </w:pPr>
            <w:r>
              <w:rPr>
                <w:rFonts w:ascii="Arial" w:cs="Arial" w:eastAsia="Arial" w:hAnsi="Arial"/>
                <w:color w:val="1A1A2E"/>
                <w:sz w:val="22"/>
                <w:szCs w:val="22"/>
              </w:rPr>
              <w:t xml:space="preserve">DynamoDB and Spanner were built before the agent era. NoSQL constraints mean your agents can’t do relational joins, can’t query vector context, and can’t run analytics — all in one place. Spanner locks you into GCP proprietary APIs. TiDB is MySQL-compatible and cloud-agnostic.</w:t>
            </w:r>
          </w:p>
        </w:tc>
      </w:tr>
    </w:tbl>
    <w:p>
      <w:pPr>
        <w:spacing w:after="0" w:before="0"/>
      </w:pPr>
      <w:r>
        <w:t xml:space="preserve"/>
      </w:r>
    </w:p>
    <w:p>
      <w:pPr>
        <w:pStyle w:val="Heading2"/>
        <w:spacing w:after="80" w:before="300"/>
      </w:pPr>
      <w:r>
        <w:rPr>
          <w:rFonts w:ascii="Arial" w:cs="Arial" w:eastAsia="Arial" w:hAnsi="Arial"/>
          <w:b/>
          <w:bCs/>
          <w:color w:val="1A1A2E"/>
          <w:sz w:val="26"/>
          <w:szCs w:val="26"/>
        </w:rPr>
        <w:t xml:space="preserve">vs. Snowflake / BigQuery  (Analytics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1A2E" w:sz="12"/>
              <w:left w:val="thick" w:color="1A1A2E" w:sz="12"/>
              <w:bottom w:val="single" w:color="1A1A2E" w:sz="2"/>
              <w:right w:val="single" w:color="1A1A2E" w:sz="2"/>
            </w:tcBorders>
            <w:shd w:fill="F9FAFB" w:val="clear"/>
            <w:tcMar>
              <w:top w:type="dxa" w:w="120"/>
              <w:left w:type="dxa" w:w="200"/>
              <w:bottom w:type="dxa" w:w="120"/>
              <w:right w:type="dxa" w:w="180"/>
            </w:tcMar>
          </w:tcPr>
          <w:p>
            <w:pPr>
              <w:spacing w:after="60" w:before="0"/>
            </w:pPr>
            <w:r>
              <w:rPr>
                <w:rFonts w:ascii="Arial" w:cs="Arial" w:eastAsia="Arial" w:hAnsi="Arial"/>
                <w:b/>
                <w:bCs/>
                <w:color w:val="1A1A2E"/>
                <w:spacing w:val="40"/>
                <w:sz w:val="18"/>
                <w:szCs w:val="18"/>
              </w:rPr>
              <w:t xml:space="preserve">THE ONE-LINER</w:t>
            </w:r>
          </w:p>
          <w:p>
            <w:pPr>
              <w:spacing w:after="0" w:before="0"/>
            </w:pPr>
            <w:r>
              <w:rPr>
                <w:rFonts w:ascii="Arial" w:cs="Arial" w:eastAsia="Arial" w:hAnsi="Arial"/>
                <w:color w:val="1A1A2E"/>
                <w:sz w:val="22"/>
                <w:szCs w:val="22"/>
              </w:rPr>
              <w:t xml:space="preserve">Snowflake and BigQuery are read-heavy analytical systems with latency measured in seconds. AI agents need sub-millisecond reads and transactional writes. They need to update state as they reason, not query yesterday’s snapshot. TiDB is HTAP — OLTP and OLAP in one live system.</w:t>
            </w:r>
          </w:p>
        </w:tc>
      </w:tr>
    </w:tbl>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6 — Demo SQL Checklist</w:t>
      </w:r>
    </w:p>
    <w:p>
      <w:pPr>
        <w:spacing w:after="0" w:before="0"/>
      </w:pPr>
      <w:r>
        <w:t xml:space="preserve"/>
      </w:r>
    </w:p>
    <w:p>
      <w:pPr>
        <w:spacing w:after="100" w:before="60"/>
      </w:pPr>
      <w:r>
        <w:rPr>
          <w:rFonts w:ascii="Arial" w:cs="Arial" w:eastAsia="Arial" w:hAnsi="Arial"/>
          <w:b/>
          <w:bCs/>
          <w:i w:val="false"/>
          <w:iCs w:val="false"/>
          <w:color w:val="1A1A2E"/>
          <w:sz w:val="22"/>
          <w:szCs w:val="22"/>
        </w:rPr>
        <w:t xml:space="preserve">Run these in the TiDB Cloud SQL Editor during or after the demo:</w:t>
      </w:r>
    </w:p>
    <w:p>
      <w:pPr>
        <w:spacing w:after="0" w:before="0"/>
      </w:pPr>
      <w:r>
        <w:t xml:space="preserve"/>
      </w:r>
    </w:p>
    <w:p>
      <w:pPr>
        <w:spacing w:after="100" w:before="60"/>
      </w:pPr>
      <w:r>
        <w:rPr>
          <w:rFonts w:ascii="Arial" w:cs="Arial" w:eastAsia="Arial" w:hAnsi="Arial"/>
          <w:b/>
          <w:bCs/>
          <w:i w:val="false"/>
          <w:iCs w:val="false"/>
          <w:color w:val="1A1A2E"/>
          <w:sz w:val="22"/>
          <w:szCs w:val="22"/>
        </w:rPr>
        <w:t xml:space="preserve">Data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0"/>
            </w:pPr>
            <w:r>
              <w:rPr>
                <w:rFonts w:ascii="Courier New" w:cs="Courier New" w:eastAsia="Courier New" w:hAnsi="Courier New"/>
                <w:color w:val="86EFAC"/>
                <w:sz w:val="18"/>
                <w:szCs w:val="18"/>
              </w:rPr>
              <w:t xml:space="preserve">SELECT table_name, table_rows,</w:t>
            </w:r>
          </w:p>
          <w:p>
            <w:pPr>
              <w:spacing w:after="20" w:before="0"/>
            </w:pPr>
            <w:r>
              <w:rPr>
                <w:rFonts w:ascii="Courier New" w:cs="Courier New" w:eastAsia="Courier New" w:hAnsi="Courier New"/>
                <w:color w:val="86EFAC"/>
                <w:sz w:val="18"/>
                <w:szCs w:val="18"/>
              </w:rPr>
              <w:t xml:space="preserve">       ROUND(data_length/1024/1024, 2) AS data_mb</w:t>
            </w:r>
          </w:p>
          <w:p>
            <w:pPr>
              <w:spacing w:after="20" w:before="0"/>
            </w:pPr>
            <w:r>
              <w:rPr>
                <w:rFonts w:ascii="Courier New" w:cs="Courier New" w:eastAsia="Courier New" w:hAnsi="Courier New"/>
                <w:color w:val="86EFAC"/>
                <w:sz w:val="18"/>
                <w:szCs w:val="18"/>
              </w:rPr>
              <w:t xml:space="preserve">FROM information_schema.tables</w:t>
            </w:r>
          </w:p>
          <w:p>
            <w:pPr>
              <w:spacing w:after="20" w:before="0"/>
            </w:pPr>
            <w:r>
              <w:rPr>
                <w:rFonts w:ascii="Courier New" w:cs="Courier New" w:eastAsia="Courier New" w:hAnsi="Courier New"/>
                <w:color w:val="86EFAC"/>
                <w:sz w:val="18"/>
                <w:szCs w:val="18"/>
              </w:rPr>
              <w:t xml:space="preserve">WHERE table_schema = 'tidb_leads'</w:t>
            </w:r>
          </w:p>
          <w:p>
            <w:pPr>
              <w:spacing w:after="20" w:before="0"/>
            </w:pPr>
            <w:r>
              <w:rPr>
                <w:rFonts w:ascii="Courier New" w:cs="Courier New" w:eastAsia="Courier New" w:hAnsi="Courier New"/>
                <w:color w:val="86EFAC"/>
                <w:sz w:val="18"/>
                <w:szCs w:val="18"/>
              </w:rPr>
              <w:t xml:space="preserve">  AND table_type   = 'BASE TABLE'</w:t>
            </w:r>
          </w:p>
          <w:p>
            <w:pPr>
              <w:spacing w:after="20" w:before="0"/>
            </w:pPr>
            <w:r>
              <w:rPr>
                <w:rFonts w:ascii="Courier New" w:cs="Courier New" w:eastAsia="Courier New" w:hAnsi="Courier New"/>
                <w:color w:val="86EFAC"/>
                <w:sz w:val="18"/>
                <w:szCs w:val="18"/>
              </w:rPr>
              <w:t xml:space="preserve">ORDER BY table_rows DESC;</w:t>
            </w:r>
          </w:p>
        </w:tc>
      </w:tr>
    </w:tbl>
    <w:p>
      <w:pPr>
        <w:spacing w:after="0" w:before="0"/>
      </w:pPr>
      <w:r>
        <w:t xml:space="preserve"/>
      </w:r>
    </w:p>
    <w:p>
      <w:pPr>
        <w:spacing w:after="100" w:before="60"/>
      </w:pPr>
      <w:r>
        <w:rPr>
          <w:rFonts w:ascii="Arial" w:cs="Arial" w:eastAsia="Arial" w:hAnsi="Arial"/>
          <w:b/>
          <w:bCs/>
          <w:i w:val="false"/>
          <w:iCs w:val="false"/>
          <w:color w:val="1A1A2E"/>
          <w:sz w:val="22"/>
          <w:szCs w:val="22"/>
        </w:rPr>
        <w:t xml:space="preserve">Hot leads — the agent’s episodic intelligence 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0"/>
            </w:pPr>
            <w:r>
              <w:rPr>
                <w:rFonts w:ascii="Courier New" w:cs="Courier New" w:eastAsia="Courier New" w:hAnsi="Courier New"/>
                <w:color w:val="86EFAC"/>
                <w:sz w:val="18"/>
                <w:szCs w:val="18"/>
              </w:rPr>
              <w:t xml:space="preserve">SELECT company_name, country, fit_score, industry,</w:t>
            </w:r>
          </w:p>
          <w:p>
            <w:pPr>
              <w:spacing w:after="20" w:before="0"/>
            </w:pPr>
            <w:r>
              <w:rPr>
                <w:rFonts w:ascii="Courier New" w:cs="Courier New" w:eastAsia="Courier New" w:hAnsi="Courier New"/>
                <w:color w:val="86EFAC"/>
                <w:sz w:val="18"/>
                <w:szCs w:val="18"/>
              </w:rPr>
              <w:t xml:space="preserve">       LEFT(tidb_pain, 120)     AS pain_summary,</w:t>
            </w:r>
          </w:p>
          <w:p>
            <w:pPr>
              <w:spacing w:after="20" w:before="0"/>
            </w:pPr>
            <w:r>
              <w:rPr>
                <w:rFonts w:ascii="Courier New" w:cs="Courier New" w:eastAsia="Courier New" w:hAnsi="Courier New"/>
                <w:color w:val="86EFAC"/>
                <w:sz w:val="18"/>
                <w:szCs w:val="18"/>
              </w:rPr>
              <w:t xml:space="preserve">       LEFT(tidb_use_case, 120) AS use_case,</w:t>
            </w:r>
          </w:p>
          <w:p>
            <w:pPr>
              <w:spacing w:after="20" w:before="0"/>
            </w:pPr>
            <w:r>
              <w:rPr>
                <w:rFonts w:ascii="Courier New" w:cs="Courier New" w:eastAsia="Courier New" w:hAnsi="Courier New"/>
                <w:color w:val="86EFAC"/>
                <w:sz w:val="18"/>
                <w:szCs w:val="18"/>
              </w:rPr>
              <w:t xml:space="preserve">       status</w:t>
            </w:r>
          </w:p>
          <w:p>
            <w:pPr>
              <w:spacing w:after="20" w:before="0"/>
            </w:pPr>
            <w:r>
              <w:rPr>
                <w:rFonts w:ascii="Courier New" w:cs="Courier New" w:eastAsia="Courier New" w:hAnsi="Courier New"/>
                <w:color w:val="86EFAC"/>
                <w:sz w:val="18"/>
                <w:szCs w:val="18"/>
              </w:rPr>
              <w:t xml:space="preserve">FROM leads</w:t>
            </w:r>
          </w:p>
          <w:p>
            <w:pPr>
              <w:spacing w:after="20" w:before="0"/>
            </w:pPr>
            <w:r>
              <w:rPr>
                <w:rFonts w:ascii="Courier New" w:cs="Courier New" w:eastAsia="Courier New" w:hAnsi="Courier New"/>
                <w:color w:val="86EFAC"/>
                <w:sz w:val="18"/>
                <w:szCs w:val="18"/>
              </w:rPr>
              <w:t xml:space="preserve">WHERE fit_score &gt;= 8</w:t>
            </w:r>
          </w:p>
          <w:p>
            <w:pPr>
              <w:spacing w:after="20" w:before="0"/>
            </w:pPr>
            <w:r>
              <w:rPr>
                <w:rFonts w:ascii="Courier New" w:cs="Courier New" w:eastAsia="Courier New" w:hAnsi="Courier New"/>
                <w:color w:val="86EFAC"/>
                <w:sz w:val="18"/>
                <w:szCs w:val="18"/>
              </w:rPr>
              <w:t xml:space="preserve">ORDER BY fit_score DESC, company_name</w:t>
            </w:r>
          </w:p>
          <w:p>
            <w:pPr>
              <w:spacing w:after="20" w:before="0"/>
            </w:pPr>
            <w:r>
              <w:rPr>
                <w:rFonts w:ascii="Courier New" w:cs="Courier New" w:eastAsia="Courier New" w:hAnsi="Courier New"/>
                <w:color w:val="86EFAC"/>
                <w:sz w:val="18"/>
                <w:szCs w:val="18"/>
              </w:rPr>
              <w:t xml:space="preserve">LIMIT 20;</w:t>
            </w:r>
          </w:p>
        </w:tc>
      </w:tr>
    </w:tbl>
    <w:p>
      <w:pPr>
        <w:spacing w:after="0" w:before="0"/>
      </w:pPr>
      <w:r>
        <w:t xml:space="preserve"/>
      </w:r>
    </w:p>
    <w:p>
      <w:pPr>
        <w:spacing w:after="100" w:before="60"/>
      </w:pPr>
      <w:r>
        <w:rPr>
          <w:rFonts w:ascii="Arial" w:cs="Arial" w:eastAsia="Arial" w:hAnsi="Arial"/>
          <w:b/>
          <w:bCs/>
          <w:i w:val="false"/>
          <w:iCs w:val="false"/>
          <w:color w:val="1A1A2E"/>
          <w:sz w:val="22"/>
          <w:szCs w:val="22"/>
        </w:rPr>
        <w:t xml:space="preserve">Hybrid semantic search (vector + keyword — TiDB powering itself as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0"/>
            </w:pPr>
            <w:r>
              <w:rPr>
                <w:rFonts w:ascii="Courier New" w:cs="Courier New" w:eastAsia="Courier New" w:hAnsi="Courier New"/>
                <w:color w:val="86EFAC"/>
                <w:sz w:val="18"/>
                <w:szCs w:val="18"/>
              </w:rPr>
              <w:t xml:space="preserve">-- Find leads matching "AI agent episodic memory" via native vector + keyword hybrid</w:t>
            </w:r>
          </w:p>
          <w:p>
            <w:pPr>
              <w:spacing w:after="20" w:before="0"/>
            </w:pPr>
            <w:r>
              <w:rPr>
                <w:rFonts w:ascii="Courier New" w:cs="Courier New" w:eastAsia="Courier New" w:hAnsi="Courier New"/>
                <w:color w:val="86EFAC"/>
                <w:sz w:val="18"/>
                <w:szCs w:val="18"/>
              </w:rPr>
              <w:t xml:space="preserve">SELECT company_name, country, fit_score,</w:t>
            </w:r>
          </w:p>
          <w:p>
            <w:pPr>
              <w:spacing w:after="20" w:before="0"/>
            </w:pPr>
            <w:r>
              <w:rPr>
                <w:rFonts w:ascii="Courier New" w:cs="Courier New" w:eastAsia="Courier New" w:hAnsi="Courier New"/>
                <w:color w:val="86EFAC"/>
                <w:sz w:val="18"/>
                <w:szCs w:val="18"/>
              </w:rPr>
              <w:t xml:space="preserve">       ROUND((1 - VEC_COSINE_DISTANCE(embedding, @query_vec)) * 100, 1) AS similarity_pct,</w:t>
            </w:r>
          </w:p>
          <w:p>
            <w:pPr>
              <w:spacing w:after="20" w:before="0"/>
            </w:pPr>
            <w:r>
              <w:rPr>
                <w:rFonts w:ascii="Courier New" w:cs="Courier New" w:eastAsia="Courier New" w:hAnsi="Courier New"/>
                <w:color w:val="86EFAC"/>
                <w:sz w:val="18"/>
                <w:szCs w:val="18"/>
              </w:rPr>
              <w:t xml:space="preserve">       LEFT(tidb_use_case, 100) AS use_case</w:t>
            </w:r>
          </w:p>
          <w:p>
            <w:pPr>
              <w:spacing w:after="20" w:before="0"/>
            </w:pPr>
            <w:r>
              <w:rPr>
                <w:rFonts w:ascii="Courier New" w:cs="Courier New" w:eastAsia="Courier New" w:hAnsi="Courier New"/>
                <w:color w:val="86EFAC"/>
                <w:sz w:val="18"/>
                <w:szCs w:val="18"/>
              </w:rPr>
              <w:t xml:space="preserve">FROM leads</w:t>
            </w:r>
          </w:p>
          <w:p>
            <w:pPr>
              <w:spacing w:after="20" w:before="0"/>
            </w:pPr>
            <w:r>
              <w:rPr>
                <w:rFonts w:ascii="Courier New" w:cs="Courier New" w:eastAsia="Courier New" w:hAnsi="Courier New"/>
                <w:color w:val="86EFAC"/>
                <w:sz w:val="18"/>
                <w:szCs w:val="18"/>
              </w:rPr>
              <w:t xml:space="preserve">WHERE fit_score &gt;= 6</w:t>
            </w:r>
          </w:p>
          <w:p>
            <w:pPr>
              <w:spacing w:after="20" w:before="0"/>
            </w:pPr>
            <w:r>
              <w:rPr>
                <w:rFonts w:ascii="Courier New" w:cs="Courier New" w:eastAsia="Courier New" w:hAnsi="Courier New"/>
                <w:color w:val="86EFAC"/>
                <w:sz w:val="18"/>
                <w:szCs w:val="18"/>
              </w:rPr>
              <w:t xml:space="preserve">  AND embedding IS NOT NULL</w:t>
            </w:r>
          </w:p>
          <w:p>
            <w:pPr>
              <w:spacing w:after="20" w:before="0"/>
            </w:pPr>
            <w:r>
              <w:rPr>
                <w:rFonts w:ascii="Courier New" w:cs="Courier New" w:eastAsia="Courier New" w:hAnsi="Courier New"/>
                <w:color w:val="86EFAC"/>
                <w:sz w:val="18"/>
                <w:szCs w:val="18"/>
              </w:rPr>
              <w:t xml:space="preserve">ORDER BY</w:t>
            </w:r>
          </w:p>
          <w:p>
            <w:pPr>
              <w:spacing w:after="20" w:before="0"/>
            </w:pPr>
            <w:r>
              <w:rPr>
                <w:rFonts w:ascii="Courier New" w:cs="Courier New" w:eastAsia="Courier New" w:hAnsi="Courier New"/>
                <w:color w:val="86EFAC"/>
                <w:sz w:val="18"/>
                <w:szCs w:val="18"/>
              </w:rPr>
              <w:t xml:space="preserve">  (1 - VEC_COSINE_DISTANCE(embedding, @query_vec)) * 0.7</w:t>
            </w:r>
          </w:p>
          <w:p>
            <w:pPr>
              <w:spacing w:after="20" w:before="0"/>
            </w:pPr>
            <w:r>
              <w:rPr>
                <w:rFonts w:ascii="Courier New" w:cs="Courier New" w:eastAsia="Courier New" w:hAnsi="Courier New"/>
                <w:color w:val="86EFAC"/>
                <w:sz w:val="18"/>
                <w:szCs w:val="18"/>
              </w:rPr>
              <w:t xml:space="preserve">  + (CASE WHEN tidb_pain LIKE '%episodic%' OR tidb_pain LIKE '%memory%' THEN 0.3 ELSE 0 END) DESC</w:t>
            </w:r>
          </w:p>
          <w:p>
            <w:pPr>
              <w:spacing w:after="20" w:before="0"/>
            </w:pPr>
            <w:r>
              <w:rPr>
                <w:rFonts w:ascii="Courier New" w:cs="Courier New" w:eastAsia="Courier New" w:hAnsi="Courier New"/>
                <w:color w:val="86EFAC"/>
                <w:sz w:val="18"/>
                <w:szCs w:val="18"/>
              </w:rPr>
              <w:t xml:space="preserve">LIMIT 10;</w:t>
            </w:r>
          </w:p>
        </w:tc>
      </w:tr>
    </w:tbl>
    <w:p>
      <w:pPr>
        <w:spacing w:after="0" w:before="0"/>
      </w:pPr>
      <w:r>
        <w:t xml:space="preserve"/>
      </w:r>
    </w:p>
    <w:p>
      <w:pPr>
        <w:spacing w:after="100" w:before="60"/>
      </w:pPr>
      <w:r>
        <w:rPr>
          <w:rFonts w:ascii="Arial" w:cs="Arial" w:eastAsia="Arial" w:hAnsi="Arial"/>
          <w:b/>
          <w:bCs/>
          <w:i w:val="false"/>
          <w:iCs w:val="false"/>
          <w:color w:val="1A1A2E"/>
          <w:sz w:val="22"/>
          <w:szCs w:val="22"/>
        </w:rPr>
        <w:t xml:space="preserve">Episodic memory table (Scene 4 — the learning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0"/>
            </w:pPr>
            <w:r>
              <w:rPr>
                <w:rFonts w:ascii="Courier New" w:cs="Courier New" w:eastAsia="Courier New" w:hAnsi="Courier New"/>
                <w:color w:val="86EFAC"/>
                <w:sz w:val="18"/>
                <w:szCs w:val="18"/>
              </w:rPr>
              <w:t xml:space="preserve">-- Show agent experiences stored as structured + vector data in one table</w:t>
            </w:r>
          </w:p>
          <w:p>
            <w:pPr>
              <w:spacing w:after="20" w:before="0"/>
            </w:pPr>
            <w:r>
              <w:rPr>
                <w:rFonts w:ascii="Courier New" w:cs="Courier New" w:eastAsia="Courier New" w:hAnsi="Courier New"/>
                <w:color w:val="86EFAC"/>
                <w:sz w:val="18"/>
                <w:szCs w:val="18"/>
              </w:rPr>
              <w:t xml:space="preserve">CREATE TABLE IF NOT EXISTS agent_memory (</w:t>
            </w:r>
          </w:p>
          <w:p>
            <w:pPr>
              <w:spacing w:after="20" w:before="0"/>
            </w:pPr>
            <w:r>
              <w:rPr>
                <w:rFonts w:ascii="Courier New" w:cs="Courier New" w:eastAsia="Courier New" w:hAnsi="Courier New"/>
                <w:color w:val="86EFAC"/>
                <w:sz w:val="18"/>
                <w:szCs w:val="18"/>
              </w:rPr>
              <w:t xml:space="preserve">  id          INT AUTO_INCREMENT PRIMARY KEY,</w:t>
            </w:r>
          </w:p>
          <w:p>
            <w:pPr>
              <w:spacing w:after="20" w:before="0"/>
            </w:pPr>
            <w:r>
              <w:rPr>
                <w:rFonts w:ascii="Courier New" w:cs="Courier New" w:eastAsia="Courier New" w:hAnsi="Courier New"/>
                <w:color w:val="86EFAC"/>
                <w:sz w:val="18"/>
                <w:szCs w:val="18"/>
              </w:rPr>
              <w:t xml:space="preserve">  event_type  VARCHAR(50),       -- slow_query | schema_change | incident</w:t>
            </w:r>
          </w:p>
          <w:p>
            <w:pPr>
              <w:spacing w:after="20" w:before="0"/>
            </w:pPr>
            <w:r>
              <w:rPr>
                <w:rFonts w:ascii="Courier New" w:cs="Courier New" w:eastAsia="Courier New" w:hAnsi="Courier New"/>
                <w:color w:val="86EFAC"/>
                <w:sz w:val="18"/>
                <w:szCs w:val="18"/>
              </w:rPr>
              <w:t xml:space="preserve">  context_sql TEXT,              -- the SQL that triggered the event</w:t>
            </w:r>
          </w:p>
          <w:p>
            <w:pPr>
              <w:spacing w:after="20" w:before="0"/>
            </w:pPr>
            <w:r>
              <w:rPr>
                <w:rFonts w:ascii="Courier New" w:cs="Courier New" w:eastAsia="Courier New" w:hAnsi="Courier New"/>
                <w:color w:val="86EFAC"/>
                <w:sz w:val="18"/>
                <w:szCs w:val="18"/>
              </w:rPr>
              <w:t xml:space="preserve">  resolution  TEXT,              -- what the agent did</w:t>
            </w:r>
          </w:p>
          <w:p>
            <w:pPr>
              <w:spacing w:after="20" w:before="0"/>
            </w:pPr>
            <w:r>
              <w:rPr>
                <w:rFonts w:ascii="Courier New" w:cs="Courier New" w:eastAsia="Courier New" w:hAnsi="Courier New"/>
                <w:color w:val="86EFAC"/>
                <w:sz w:val="18"/>
                <w:szCs w:val="18"/>
              </w:rPr>
              <w:t xml:space="preserve">  outcome_ms  INT,               -- performance before/after</w:t>
            </w:r>
          </w:p>
          <w:p>
            <w:pPr>
              <w:spacing w:after="20" w:before="0"/>
            </w:pPr>
            <w:r>
              <w:rPr>
                <w:rFonts w:ascii="Courier New" w:cs="Courier New" w:eastAsia="Courier New" w:hAnsi="Courier New"/>
                <w:color w:val="86EFAC"/>
                <w:sz w:val="18"/>
                <w:szCs w:val="18"/>
              </w:rPr>
              <w:t xml:space="preserve">  embedding   VECTOR(384),       -- semantic embedding of the full experience</w:t>
            </w:r>
          </w:p>
          <w:p>
            <w:pPr>
              <w:spacing w:after="20" w:before="0"/>
            </w:pPr>
            <w:r>
              <w:rPr>
                <w:rFonts w:ascii="Courier New" w:cs="Courier New" w:eastAsia="Courier New" w:hAnsi="Courier New"/>
                <w:color w:val="86EFAC"/>
                <w:sz w:val="18"/>
                <w:szCs w:val="18"/>
              </w:rPr>
              <w:t xml:space="preserve">  created_at  DATETIME DEFAULT NOW()</w:t>
            </w:r>
          </w:p>
          <w:p>
            <w:pPr>
              <w:spacing w:after="20" w:before="0"/>
            </w:pPr>
            <w:r>
              <w:rPr>
                <w:rFonts w:ascii="Courier New" w:cs="Courier New" w:eastAsia="Courier New" w:hAnsi="Courier New"/>
                <w:color w:val="86EFAC"/>
                <w:sz w:val="18"/>
                <w:szCs w:val="18"/>
              </w:rPr>
              <w:t xml:space="preserve">);</w:t>
            </w:r>
          </w:p>
        </w:tc>
      </w:tr>
    </w:tbl>
    <w:p>
      <w:pPr>
        <w:spacing w:after="0" w:before="0"/>
      </w:pPr>
      <w:r>
        <w:t xml:space="preserve"/>
      </w:r>
    </w:p>
    <w:p>
      <w:pPr>
        <w:spacing w:after="100" w:before="60"/>
      </w:pPr>
      <w:r>
        <w:rPr>
          <w:rFonts w:ascii="Arial" w:cs="Arial" w:eastAsia="Arial" w:hAnsi="Arial"/>
          <w:b/>
          <w:bCs/>
          <w:i w:val="false"/>
          <w:iCs w:val="false"/>
          <w:color w:val="1A1A2E"/>
          <w:sz w:val="22"/>
          <w:szCs w:val="22"/>
        </w:rPr>
        <w:t xml:space="preserve">Regional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0"/>
            </w:pPr>
            <w:r>
              <w:rPr>
                <w:rFonts w:ascii="Courier New" w:cs="Courier New" w:eastAsia="Courier New" w:hAnsi="Courier New"/>
                <w:color w:val="86EFAC"/>
                <w:sz w:val="18"/>
                <w:szCs w:val="18"/>
              </w:rPr>
              <w:t xml:space="preserve">SELECT region, country,</w:t>
            </w:r>
          </w:p>
          <w:p>
            <w:pPr>
              <w:spacing w:after="20" w:before="0"/>
            </w:pPr>
            <w:r>
              <w:rPr>
                <w:rFonts w:ascii="Courier New" w:cs="Courier New" w:eastAsia="Courier New" w:hAnsi="Courier New"/>
                <w:color w:val="86EFAC"/>
                <w:sz w:val="18"/>
                <w:szCs w:val="18"/>
              </w:rPr>
              <w:t xml:space="preserve">       COUNT(*) AS leads,</w:t>
            </w:r>
          </w:p>
          <w:p>
            <w:pPr>
              <w:spacing w:after="20" w:before="0"/>
            </w:pPr>
            <w:r>
              <w:rPr>
                <w:rFonts w:ascii="Courier New" w:cs="Courier New" w:eastAsia="Courier New" w:hAnsi="Courier New"/>
                <w:color w:val="86EFAC"/>
                <w:sz w:val="18"/>
                <w:szCs w:val="18"/>
              </w:rPr>
              <w:t xml:space="preserve">       SUM(CASE WHEN fit_score &gt;= 8 THEN 1 ELSE 0 END) AS hot,</w:t>
            </w:r>
          </w:p>
          <w:p>
            <w:pPr>
              <w:spacing w:after="20" w:before="0"/>
            </w:pPr>
            <w:r>
              <w:rPr>
                <w:rFonts w:ascii="Courier New" w:cs="Courier New" w:eastAsia="Courier New" w:hAnsi="Courier New"/>
                <w:color w:val="86EFAC"/>
                <w:sz w:val="18"/>
                <w:szCs w:val="18"/>
              </w:rPr>
              <w:t xml:space="preserve">       ROUND(AVG(fit_score), 1) AS avg_score</w:t>
            </w:r>
          </w:p>
          <w:p>
            <w:pPr>
              <w:spacing w:after="20" w:before="0"/>
            </w:pPr>
            <w:r>
              <w:rPr>
                <w:rFonts w:ascii="Courier New" w:cs="Courier New" w:eastAsia="Courier New" w:hAnsi="Courier New"/>
                <w:color w:val="86EFAC"/>
                <w:sz w:val="18"/>
                <w:szCs w:val="18"/>
              </w:rPr>
              <w:t xml:space="preserve">FROM leads</w:t>
            </w:r>
          </w:p>
          <w:p>
            <w:pPr>
              <w:spacing w:after="20" w:before="0"/>
            </w:pPr>
            <w:r>
              <w:rPr>
                <w:rFonts w:ascii="Courier New" w:cs="Courier New" w:eastAsia="Courier New" w:hAnsi="Courier New"/>
                <w:color w:val="86EFAC"/>
                <w:sz w:val="18"/>
                <w:szCs w:val="18"/>
              </w:rPr>
              <w:t xml:space="preserve">GROUP BY region, country</w:t>
            </w:r>
          </w:p>
          <w:p>
            <w:pPr>
              <w:spacing w:after="20" w:before="0"/>
            </w:pPr>
            <w:r>
              <w:rPr>
                <w:rFonts w:ascii="Courier New" w:cs="Courier New" w:eastAsia="Courier New" w:hAnsi="Courier New"/>
                <w:color w:val="86EFAC"/>
                <w:sz w:val="18"/>
                <w:szCs w:val="18"/>
              </w:rPr>
              <w:t xml:space="preserve">ORDER BY avg_score DESC;</w:t>
            </w:r>
          </w:p>
        </w:tc>
      </w:tr>
    </w:tbl>
    <w:p>
      <w:pPr>
        <w:spacing w:after="0" w:before="0"/>
      </w:pPr>
      <w:r>
        <w:t xml:space="preserve"/>
      </w:r>
    </w:p>
    <w:p>
      <w:pPr>
        <w:spacing w:after="0" w:before="0"/>
      </w:pPr>
      <w:r>
        <w:t xml:space="preserve"/>
      </w:r>
    </w:p>
    <w:p>
      <w:r>
        <w:br w:type="page"/>
      </w:r>
    </w:p>
    <w:p>
      <w:pPr>
        <w:pStyle w:val="Heading1"/>
        <w:pBdr>
          <w:bottom w:val="single" w:color="DC150B" w:sz="8" w:space="6"/>
        </w:pBdr>
        <w:spacing w:after="120" w:before="400"/>
      </w:pPr>
      <w:r>
        <w:rPr>
          <w:rFonts w:ascii="Arial" w:cs="Arial" w:eastAsia="Arial" w:hAnsi="Arial"/>
          <w:b/>
          <w:bCs/>
          <w:color w:val="1A1A2E"/>
          <w:sz w:val="34"/>
          <w:szCs w:val="34"/>
        </w:rPr>
        <w:t xml:space="preserve">SECTION 7 — Common Objections &amp; Responses</w:t>
      </w:r>
    </w:p>
    <w:p>
      <w:pPr>
        <w:spacing w:after="0" w:before="0"/>
      </w:pPr>
      <w:r>
        <w:t xml:space="preserve"/>
      </w:r>
    </w:p>
    <w:p>
      <w:pPr>
        <w:spacing w:after="60" w:before="220"/>
      </w:pPr>
      <w:r>
        <w:rPr>
          <w:rFonts w:ascii="Arial" w:cs="Arial" w:eastAsia="Arial" w:hAnsi="Arial"/>
          <w:b/>
          <w:bCs/>
          <w:color w:val="DC150B"/>
          <w:sz w:val="22"/>
          <w:szCs w:val="22"/>
        </w:rPr>
        <w:t xml:space="preserve">Q: We’re already on Postgres/MySQL. What’s the migration cost?</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TiDB Cloud is MySQL-compatible at the wire protocol level — your existing queries, ORMs, and drivers work without changes. Migration is a logical data move, not an application rewrite. For most teams it’s a weekend project, not a quarter-long initiative. And you keep every index, every stored procedure, every connection string.</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We already use Pinecone / Weaviate for vectors.</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That’s exactly the problem we solve. Every time your agent needs to correlate a vector result with relational data, you pay a network round-trip and write glue code. With TiDB, vector search and SQL joins run in the same query plan — eliminating the round-trip and the ETL entirely. One fewer service to maintain, one fewer bill to pay. And your vectors stay transactionally consistent with your relational data.</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How is branching different from staging environments?</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A staging environment is one. TiDB lets every agent — every experiment — have its own. A TiDB branch is a copy-on-write snapshot: spins up in seconds, stores only the delta, costs nothing when idle. Your DBA agent can create 50 experimental branches per day for the cost of one read-replica hour. That’s not staging. That’s machine-speed R&amp;D.</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What’s the EU AI Act angle specifically?</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Every agent action in TiDB is atomic, durable, and logged in a single auditable transaction log — which is exactly what Article 14 (human oversight) and Article 12 (logging and documentation) require. Serverless Branching is a built-in human-in-the-loop gate: agents propose, humans approve, changes promote. Right to be Forgotten becomes a single DELETE command that propagates across structured and vector data simultaneously. No multi-system cleanup project. No compliance gap.</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What is Episodic Memory and why does it matter?</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Episodic Memory is how agents learn over time. Instead of treating each session as isolated, the agent writes its experience — what it did, what the result was, what worked — back to TiDB as a vector embedding alongside structured data. Next time a similar situation arises, the agent recalls the relevant experience via semantic search and acts on proven knowledge instead of starting from scratch. TiDB is the only database that can store the structured state and the vector memory in the same ACID engine. That’s the Decide-Validate-Remember loop. That’s the difference between an AI tool and an AI colleague.</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What’s the latency for vector search at scale?</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TiDB’s native HNSW vector index delivers sub-10ms p99 semantic search on tens of millions of vectors — measured inside the same cluster handling your OLTP traffic. No network hop to an external vector DB. And because it shares the same transaction log, your vectors are always consistent with your relational data.</w:t>
      </w:r>
      <w:r>
        <w:rPr>
          <w:rFonts w:ascii="Arial" w:cs="Arial" w:eastAsia="Arial" w:hAnsi="Arial"/>
          <w:b/>
          <w:bCs/>
          <w:color w:val="DC150B"/>
          <w:sz w:val="22"/>
          <w:szCs w:val="22"/>
        </w:rPr>
        <w:t xml:space="preserve">”</w:t>
      </w:r>
    </w:p>
    <w:p>
      <w:pPr>
        <w:spacing w:after="0" w:before="0"/>
      </w:pPr>
      <w:r>
        <w:t xml:space="preserve"/>
      </w:r>
    </w:p>
    <w:p>
      <w:pPr>
        <w:spacing w:after="60" w:before="220"/>
      </w:pPr>
      <w:r>
        <w:rPr>
          <w:rFonts w:ascii="Arial" w:cs="Arial" w:eastAsia="Arial" w:hAnsi="Arial"/>
          <w:b/>
          <w:bCs/>
          <w:color w:val="DC150B"/>
          <w:sz w:val="22"/>
          <w:szCs w:val="22"/>
        </w:rPr>
        <w:t xml:space="preserve">Q: How do you handle GDPR / HIPAA compliance at scale?</w:t>
      </w:r>
    </w:p>
    <w:p>
      <w:pPr>
        <w:spacing w:after="100" w:before="100"/>
        <w:ind w:left="480"/>
      </w:pPr>
      <w:r>
        <w:rPr>
          <w:rFonts w:ascii="Arial" w:cs="Arial" w:eastAsia="Arial" w:hAnsi="Arial"/>
          <w:b/>
          <w:bCs/>
          <w:color w:val="DC150B"/>
          <w:sz w:val="22"/>
          <w:szCs w:val="22"/>
        </w:rPr>
        <w:t xml:space="preserve">“</w:t>
      </w:r>
      <w:r>
        <w:rPr>
          <w:rFonts w:ascii="Arial" w:cs="Arial" w:eastAsia="Arial" w:hAnsi="Arial"/>
          <w:i/>
          <w:iCs/>
          <w:color w:val="1A1A2E"/>
          <w:sz w:val="22"/>
          <w:szCs w:val="22"/>
        </w:rPr>
        <w:t xml:space="preserve">Every agent action is atomic, durable, and logged in one place. Right to be Forgotten is a single DELETE with a transaction log entry — not a multi-system cleanup project across Postgres, Pinecone, and S3. Online DDL means schema changes never take your app offline. Audit trails are native — not bolted on. This is what makes TiDB safe enough for your Chief Risk Officer to sign off on autonomous agents in production.</w:t>
      </w:r>
      <w:r>
        <w:rPr>
          <w:rFonts w:ascii="Arial" w:cs="Arial" w:eastAsia="Arial" w:hAnsi="Arial"/>
          <w:b/>
          <w:bCs/>
          <w:color w:val="DC150B"/>
          <w:sz w:val="22"/>
          <w:szCs w:val="22"/>
        </w:rPr>
        <w:t xml:space="preserve">”</w:t>
      </w:r>
    </w:p>
    <w:p>
      <w:pPr>
        <w:spacing w:after="0" w:before="0"/>
      </w:pPr>
      <w:r>
        <w:t xml:space="preserve"/>
      </w:r>
    </w:p>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150B" w:sz="4" w:space="4"/>
      </w:pBdr>
      <w:jc w:val="right"/>
    </w:pPr>
    <w:r>
      <w:rPr>
        <w:rFonts w:ascii="Arial" w:cs="Arial" w:eastAsia="Arial" w:hAnsi="Arial"/>
        <w:color w:val="6B7280"/>
        <w:sz w:val="16"/>
        <w:szCs w:val="16"/>
      </w:rPr>
      <w:t xml:space="preserve">TiDB Cloud Pitch &amp; Demo  |  GTM Playbook Edition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150B" w:sz="6" w:space="4"/>
      </w:pBdr>
    </w:pPr>
    <w:r>
      <w:rPr>
        <w:rFonts w:ascii="Arial" w:cs="Arial" w:eastAsia="Arial" w:hAnsi="Arial"/>
        <w:color w:val="6B7280"/>
        <w:sz w:val="16"/>
        <w:szCs w:val="16"/>
      </w:rPr>
      <w:t xml:space="preserve">TiDB Cloud  —  The Database for the Agent Era   |   </w:t>
    </w:r>
    <w:r>
      <w:rPr>
        <w:rFonts w:ascii="Arial" w:cs="Arial" w:eastAsia="Arial" w:hAnsi="Arial"/>
        <w:b/>
        <w:bCs/>
        <w:color w:val="DC150B"/>
        <w:sz w:val="16"/>
        <w:szCs w:val="16"/>
      </w:rPr>
      <w:t xml:space="preserve">CONFIDENTIAL  —  PingCAP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8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2026-03-21T15:59:59.750Z</dcterms:created>
  <dcterms:modified xsi:type="dcterms:W3CDTF">2026-03-21T15:59:59.757Z</dcterms:modified>
</cp:coreProperties>
</file>

<file path=docProps/custom.xml><?xml version="1.0" encoding="utf-8"?>
<Properties xmlns="http://schemas.openxmlformats.org/officeDocument/2006/custom-properties" xmlns:vt="http://schemas.openxmlformats.org/officeDocument/2006/docPropsVTypes"/>
</file>