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A5F"/>
        </w:rPr>
        <w:t>Rapport de simulation d'engrènement</w:t>
      </w:r>
    </w:p>
    <w:p>
      <w:r>
        <w:rPr>
          <w:i/>
        </w:rPr>
        <w:t>Developpante-m (menante, Z=89) / Developpante-e (menée, Z=12)  —  module 0.135 mm</w:t>
        <w:br/>
        <w:t>7 / 7 arcs de cercle</w:t>
      </w:r>
    </w:p>
    <w:p>
      <w:r>
        <w:rPr>
          <w:i/>
        </w:rPr>
        <w:t>Origine du profil : test.Cev, optimisé (recherche.rechercher, 4 arcs)</w:t>
      </w:r>
    </w:p>
    <w:p>
      <w:r>
        <w:rPr>
          <w:i/>
        </w:rPr>
        <w:t>Établi le 24.09.2026 — moteur de simulation contact.py (analytique, arcs de cercle), validé contre le programme Fortran ENGCRE.</w:t>
      </w:r>
    </w:p>
    <w:p>
      <w:pPr>
        <w:pStyle w:val="Heading1"/>
      </w:pPr>
      <w:r>
        <w:rPr>
          <w:color w:val="1F3A5F"/>
        </w:rPr>
        <w:t>1. Profil et conditions de simulation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118"/>
          </w:tcPr>
          <w:p>
            <w:pPr>
              <w:jc w:val="center"/>
            </w:pPr>
            <w:r>
              <w:rPr>
                <w:b/>
              </w:rPr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</w:rPr>
              <w:t>Menante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</w:rPr>
              <w:t>Menée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>
              <w:t>Désignation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t>Developpante-m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t>Developpante-e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>
              <w:t>Nombre de dents Z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t>89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t>12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>
              <w:t>Module (mm)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t>0.135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t>0.135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>
              <w:t>Arcs de cercle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>
              <w:t>Module d'Young (N/mm²)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t>100000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t>200000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>
              <w:t>Coeff. de Poisson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t>0.3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t>0.3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>
              <w:t>Épaisseur (mm)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t>0.3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t>0.28</w:t>
            </w:r>
          </w:p>
        </w:tc>
      </w:tr>
    </w:tbl>
    <w:p/>
    <w:p>
      <w:r>
        <w:t>Coefficient de frottement μ = 0.2   —   couple sur la menante Cm = 1 mN·m   —   plage d'entraxe étudiée : -30 à +30 µm, par pas d'environ 10 µm (7 positions).</w:t>
      </w:r>
    </w:p>
    <w:p>
      <w:r>
        <w:rPr>
          <w:i/>
        </w:rPr>
        <w:t>Les pressions de Hertz de ce rapport sont toujours données pour un couple moteur de référence de 1 mN·m, comme dans l'onglet Simulation ; pour un autre couple Cm, la pression réelle vaut la valeur du tableau multipliée par √Cm (Cm en mN·m).</w:t>
      </w:r>
    </w:p>
    <w:p>
      <w:pPr>
        <w:pStyle w:val="Heading1"/>
      </w:pPr>
      <w:r>
        <w:rPr>
          <w:color w:val="1F3A5F"/>
        </w:rPr>
        <w:t>2. Conditions d'optimisation</w:t>
      </w:r>
    </w:p>
    <w:p>
      <w:r>
        <w:t>Critère principal : Variation de couple mini   —   secondaire : Pression de Hertz mini   (poids 0.5).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5386"/>
          </w:tcPr>
          <w:p>
            <w:pPr>
              <w:jc w:val="center"/>
            </w:pPr>
            <w:r>
              <w:rPr>
                <w:b/>
              </w:rPr>
              <w:t>Contrainte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b/>
              </w:rPr>
              <w:t>Valeur</w:t>
            </w:r>
          </w:p>
        </w:tc>
      </w:tr>
      <w:tr>
        <w:tc>
          <w:tcPr>
            <w:tcW w:type="dxa" w:w="5386"/>
          </w:tcPr>
          <w:p>
            <w:pPr>
              <w:jc w:val="center"/>
            </w:pPr>
            <w:r>
              <w:t>Jeu minimal admissible (entraxe mini)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t>0.3 °</w:t>
            </w:r>
          </w:p>
        </w:tc>
      </w:tr>
      <w:tr>
        <w:tc>
          <w:tcPr>
            <w:tcW w:type="dxa" w:w="5386"/>
          </w:tcPr>
          <w:p>
            <w:pPr>
              <w:jc w:val="center"/>
            </w:pPr>
            <w:r>
              <w:t>Jeu maximal admissible (entraxe maxi)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t>4.5 °</w:t>
            </w:r>
          </w:p>
        </w:tc>
      </w:tr>
      <w:tr>
        <w:tc>
          <w:tcPr>
            <w:tcW w:type="dxa" w:w="5386"/>
          </w:tcPr>
          <w:p>
            <w:pPr>
              <w:jc w:val="center"/>
            </w:pPr>
            <w:r>
              <w:t>Rayon minimal de l'arc de tête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t>0.02 mm</w:t>
            </w:r>
          </w:p>
        </w:tc>
      </w:tr>
      <w:tr>
        <w:tc>
          <w:tcPr>
            <w:tcW w:type="dxa" w:w="5386"/>
          </w:tcPr>
          <w:p>
            <w:pPr>
              <w:jc w:val="center"/>
            </w:pPr>
            <w:r>
              <w:t>Interférence entre les dents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t>toujours interdite (contours complets, tous entraxes)</w:t>
            </w:r>
          </w:p>
        </w:tc>
      </w:tr>
      <w:tr>
        <w:tc>
          <w:tcPr>
            <w:tcW w:type="dxa" w:w="5386"/>
          </w:tcPr>
          <w:p>
            <w:pPr>
              <w:jc w:val="center"/>
            </w:pPr>
            <w:r>
              <w:t>Réparation par demi-profil arrière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t>oui</w:t>
            </w:r>
          </w:p>
        </w:tc>
      </w:tr>
    </w:tbl>
    <w:p/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118"/>
          </w:tcPr>
          <w:p>
            <w:pPr>
              <w:jc w:val="center"/>
            </w:pPr>
            <w:r>
              <w:rPr>
                <w:b/>
              </w:rPr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b/>
              </w:rPr>
              <w:t>Arcs libres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>
              <w:t>Menante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t>tous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>
              <w:t>Menée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t>tous</w:t>
            </w:r>
          </w:p>
        </w:tc>
      </w:tr>
    </w:tbl>
    <w:p/>
    <w:p>
      <w:r>
        <w:t>Recherche : population 24, 12000 évaluations par départ, 6 départs, graine 1.</w:t>
      </w:r>
    </w:p>
    <w:p>
      <w:pPr>
        <w:pStyle w:val="Heading1"/>
      </w:pPr>
      <w:r>
        <w:rPr>
          <w:color w:val="1F3A5F"/>
        </w:rPr>
        <w:t>3. Résumé sur la plage d'entraxe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5386"/>
          </w:tcPr>
          <w:p>
            <w:pPr>
              <w:jc w:val="center"/>
            </w:pPr>
            <w:r>
              <w:rPr>
                <w:b/>
              </w:rPr>
              <w:t>Critère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b/>
              </w:rPr>
              <w:t>Pire cas sur la plage</w:t>
            </w:r>
          </w:p>
        </w:tc>
      </w:tr>
      <w:tr>
        <w:tc>
          <w:tcPr>
            <w:tcW w:type="dxa" w:w="5386"/>
          </w:tcPr>
          <w:p>
            <w:pPr>
              <w:jc w:val="center"/>
            </w:pPr>
            <w:r>
              <w:t>Variation de couple maximale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t>1.10 %</w:t>
            </w:r>
          </w:p>
        </w:tc>
      </w:tr>
      <w:tr>
        <w:tc>
          <w:tcPr>
            <w:tcW w:type="dxa" w:w="5386"/>
          </w:tcPr>
          <w:p>
            <w:pPr>
              <w:jc w:val="center"/>
            </w:pPr>
            <w:r>
              <w:t>Rendement minimal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t>93.75 %</w:t>
            </w:r>
          </w:p>
        </w:tc>
      </w:tr>
      <w:tr>
        <w:tc>
          <w:tcPr>
            <w:tcW w:type="dxa" w:w="5386"/>
          </w:tcPr>
          <w:p>
            <w:pPr>
              <w:jc w:val="center"/>
            </w:pPr>
            <w:r>
              <w:t>Pression de Hertz maximale (1 mN·m)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t>478 N/mm²</w:t>
            </w:r>
          </w:p>
        </w:tc>
      </w:tr>
      <w:tr>
        <w:tc>
          <w:tcPr>
            <w:tcW w:type="dxa" w:w="5386"/>
          </w:tcPr>
          <w:p>
            <w:pPr>
              <w:jc w:val="center"/>
            </w:pPr>
            <w:r>
              <w:t>Jeu de la menée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t>0.296° à 4.504°</w:t>
            </w:r>
          </w:p>
        </w:tc>
      </w:tr>
    </w:tbl>
    <w:p/>
    <w:p>
      <w:r>
        <w:t>⚠ le jeu descend sous le minimum admissible sur une partie de la plage.</w:t>
      </w:r>
    </w:p>
    <w:p>
      <w:pPr>
        <w:pStyle w:val="Heading1"/>
      </w:pPr>
      <w:r>
        <w:rPr>
          <w:color w:val="1F3A5F"/>
        </w:rPr>
        <w:t>4. Résultats détaillés (pas de 10 µm)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304"/>
          </w:tcPr>
          <w:p>
            <w:pPr>
              <w:jc w:val="center"/>
            </w:pPr>
            <w:r>
              <w:rPr>
                <w:b/>
              </w:rPr>
              <w:t>ΔA (µm)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b/>
              </w:rPr>
              <w:t>Var. couple (%)</w:t>
            </w:r>
          </w:p>
        </w:tc>
        <w:tc>
          <w:tcPr>
            <w:tcW w:type="dxa" w:w="1644"/>
          </w:tcPr>
          <w:p>
            <w:pPr>
              <w:jc w:val="center"/>
            </w:pPr>
            <w:r>
              <w:rPr>
                <w:b/>
              </w:rPr>
              <w:t>Rendement moy. (%)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/>
              </w:rPr>
              <w:t>Jeu min (°)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/>
              </w:rPr>
              <w:t>Jeu max (°)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b/>
              </w:rPr>
              <w:t>Hertz max (N/mm²)</w:t>
            </w:r>
          </w:p>
        </w:tc>
      </w:tr>
      <w:tr>
        <w:tc>
          <w:tcPr>
            <w:tcW w:type="dxa" w:w="1304"/>
          </w:tcPr>
          <w:p>
            <w:pPr>
              <w:jc w:val="center"/>
            </w:pPr>
            <w:r>
              <w:t>-30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t>1.03</w:t>
            </w:r>
          </w:p>
        </w:tc>
        <w:tc>
          <w:tcPr>
            <w:tcW w:type="dxa" w:w="1644"/>
          </w:tcPr>
          <w:p>
            <w:pPr>
              <w:jc w:val="center"/>
            </w:pPr>
            <w:r>
              <w:t>97.03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t>0.30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t>0.72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t>478</w:t>
            </w:r>
          </w:p>
        </w:tc>
      </w:tr>
      <w:tr>
        <w:tc>
          <w:tcPr>
            <w:tcW w:type="dxa" w:w="1304"/>
          </w:tcPr>
          <w:p>
            <w:pPr>
              <w:jc w:val="center"/>
            </w:pPr>
            <w:r>
              <w:t>-20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t>1.07</w:t>
            </w:r>
          </w:p>
        </w:tc>
        <w:tc>
          <w:tcPr>
            <w:tcW w:type="dxa" w:w="1644"/>
          </w:tcPr>
          <w:p>
            <w:pPr>
              <w:jc w:val="center"/>
            </w:pPr>
            <w:r>
              <w:t>97.02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t>0.91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t>1.34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t>478</w:t>
            </w:r>
          </w:p>
        </w:tc>
      </w:tr>
      <w:tr>
        <w:tc>
          <w:tcPr>
            <w:tcW w:type="dxa" w:w="1304"/>
          </w:tcPr>
          <w:p>
            <w:pPr>
              <w:jc w:val="center"/>
            </w:pPr>
            <w:r>
              <w:t>-10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t>1.10</w:t>
            </w:r>
          </w:p>
        </w:tc>
        <w:tc>
          <w:tcPr>
            <w:tcW w:type="dxa" w:w="1644"/>
          </w:tcPr>
          <w:p>
            <w:pPr>
              <w:jc w:val="center"/>
            </w:pPr>
            <w:r>
              <w:t>97.02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t>1.53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t>1.97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t>478</w:t>
            </w:r>
          </w:p>
        </w:tc>
      </w:tr>
      <w:tr>
        <w:tc>
          <w:tcPr>
            <w:tcW w:type="dxa" w:w="1304"/>
          </w:tcPr>
          <w:p>
            <w:pPr>
              <w:jc w:val="center"/>
            </w:pPr>
            <w:r>
              <w:t>+0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t>0.89</w:t>
            </w:r>
          </w:p>
        </w:tc>
        <w:tc>
          <w:tcPr>
            <w:tcW w:type="dxa" w:w="1644"/>
          </w:tcPr>
          <w:p>
            <w:pPr>
              <w:jc w:val="center"/>
            </w:pPr>
            <w:r>
              <w:t>97.02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t>2.17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t>2.60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t>478</w:t>
            </w:r>
          </w:p>
        </w:tc>
      </w:tr>
      <w:tr>
        <w:tc>
          <w:tcPr>
            <w:tcW w:type="dxa" w:w="1304"/>
          </w:tcPr>
          <w:p>
            <w:pPr>
              <w:jc w:val="center"/>
            </w:pPr>
            <w:r>
              <w:t>+10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t>0.85</w:t>
            </w:r>
          </w:p>
        </w:tc>
        <w:tc>
          <w:tcPr>
            <w:tcW w:type="dxa" w:w="1644"/>
          </w:tcPr>
          <w:p>
            <w:pPr>
              <w:jc w:val="center"/>
            </w:pPr>
            <w:r>
              <w:t>97.03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t>2.81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t>3.23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t>478</w:t>
            </w:r>
          </w:p>
        </w:tc>
      </w:tr>
      <w:tr>
        <w:tc>
          <w:tcPr>
            <w:tcW w:type="dxa" w:w="1304"/>
          </w:tcPr>
          <w:p>
            <w:pPr>
              <w:jc w:val="center"/>
            </w:pPr>
            <w:r>
              <w:t>+20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t>0.82</w:t>
            </w:r>
          </w:p>
        </w:tc>
        <w:tc>
          <w:tcPr>
            <w:tcW w:type="dxa" w:w="1644"/>
          </w:tcPr>
          <w:p>
            <w:pPr>
              <w:jc w:val="center"/>
            </w:pPr>
            <w:r>
              <w:t>97.03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t>3.47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t>3.87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t>478</w:t>
            </w:r>
          </w:p>
        </w:tc>
      </w:tr>
      <w:tr>
        <w:tc>
          <w:tcPr>
            <w:tcW w:type="dxa" w:w="1304"/>
          </w:tcPr>
          <w:p>
            <w:pPr>
              <w:jc w:val="center"/>
            </w:pPr>
            <w:r>
              <w:t>+30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t>0.75</w:t>
            </w:r>
          </w:p>
        </w:tc>
        <w:tc>
          <w:tcPr>
            <w:tcW w:type="dxa" w:w="1644"/>
          </w:tcPr>
          <w:p>
            <w:pPr>
              <w:jc w:val="center"/>
            </w:pPr>
            <w:r>
              <w:t>97.04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t>4.14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t>4.50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t>478</w:t>
            </w:r>
          </w:p>
        </w:tc>
      </w:tr>
    </w:tbl>
    <w:p>
      <w:pPr>
        <w:pStyle w:val="Heading1"/>
      </w:pPr>
      <w:r>
        <w:rPr>
          <w:color w:val="1F3A5F"/>
        </w:rPr>
        <w:t>5. Graphiques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9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grenement_nomin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9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grenement_minim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9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grenement_maxim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527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da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2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color w:val="1F3A5F"/>
        </w:rPr>
        <w:t>6. Géométrie du profil (annexe)</w:t>
      </w:r>
    </w:p>
    <w:p>
      <w:r>
        <w:rPr>
          <w:b/>
        </w:rPr>
        <w:t>Menante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134"/>
          </w:tcPr>
          <w:p>
            <w:pPr>
              <w:jc w:val="center"/>
            </w:pPr>
            <w:r>
              <w:rPr>
                <w:b/>
              </w:rPr>
              <w:t>Point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</w:rPr>
              <w:t>x (mm)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</w:rPr>
              <w:t>y (mm)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b/>
              </w:rPr>
              <w:t>Rayon de l'arc suivant (mm)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0.20482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5.79999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t>-0.0595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0.15096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5.83929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t>+21.5558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0.14017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5.86921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t>+2.0107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0.11242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5.94159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t>+4.4195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0.08116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6.01667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t>+1.5726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0.05302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6.07878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t>+2.8390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0.01816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6.14899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t>+0.0204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0.00000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6.16008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t>-</w:t>
            </w:r>
          </w:p>
        </w:tc>
      </w:tr>
    </w:tbl>
    <w:p/>
    <w:p>
      <w:r>
        <w:rPr>
          <w:b/>
        </w:rPr>
        <w:t>Menée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134"/>
          </w:tcPr>
          <w:p>
            <w:pPr>
              <w:jc w:val="center"/>
            </w:pPr>
            <w:r>
              <w:rPr>
                <w:b/>
              </w:rPr>
              <w:t>Point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</w:rPr>
              <w:t>x (mm)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</w:rPr>
              <w:t>y (mm)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b/>
              </w:rPr>
              <w:t>Rayon de l'arc suivant (mm)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0.15404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0.57489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t>-0.0801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0.10003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0.68092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t>+0.4074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0.11849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0.74358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t>+0.0632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0.11826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0.77049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t>+0.2039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0.11465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0.78421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t>+0.5681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0.09388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0.84176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t>+0.5819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0.05639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0.91535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t>+0.0658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0.00000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0.94720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t>-</w:t>
            </w:r>
          </w:p>
        </w:tc>
      </w:tr>
    </w:tbl>
    <w:p/>
    <w:p>
      <w:pPr>
        <w:pStyle w:val="Heading1"/>
      </w:pPr>
      <w:r>
        <w:rPr>
          <w:color w:val="1F3A5F"/>
        </w:rPr>
        <w:t>7. Remarques et propositions</w:t>
      </w:r>
    </w:p>
    <w:p>
      <w:pPr>
        <w:pStyle w:val="ListBullet"/>
      </w:pPr>
      <w:r>
        <w:t>Ce rapport ne contient pas encore de comparaison chiffrée avec la sortie du programme Fortran ENGCRE : je peux ajouter un tableau côte à côte si vous me communiquez les valeurs de référence (ou le fichier de sortie).</w:t>
      </w:r>
    </w:p>
    <w:p>
      <w:pPr>
        <w:pStyle w:val="ListBullet"/>
      </w:pPr>
      <w:r>
        <w:t>Le contrôle d'interférence entre dents (utilisé pendant l'optimisation) n'est pas repris ici : je peux ajouter une colonne « interférence » au tableau détaillé si c'est utile pour la validation finale.</w:t>
      </w:r>
    </w:p>
    <w:p>
      <w:pPr>
        <w:pStyle w:val="ListBullet"/>
      </w:pPr>
      <w:r>
        <w:t>Le rayon minimal de l'arc de tête (durée de vie des fraises) est documenté dans les conditions d'optimisation, mais pas mesuré directement sur ce profil ; je peux l'ajouter à l'annexe géométrie.</w:t>
      </w:r>
    </w:p>
    <w:p>
      <w:pPr>
        <w:pStyle w:val="ListBullet"/>
      </w:pPr>
      <w:r>
        <w:t>Une comparaison avant/après optimisation (le profil développante d'origine, à côté du profil optimisé) rendrait le gain plus visible qu'une simple valeur de J.</w:t>
      </w:r>
    </w:p>
    <w:p>
      <w:pPr>
        <w:pStyle w:val="ListBullet"/>
      </w:pPr>
      <w:r>
        <w:t>Si ce rapport doit être transmis à un tiers, un paragraphe de conclusion signé (nom, fonction, date) et un numéro de révision seraient à ajouter.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