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Trabalho Interdisciplinar – Planejamento da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bottom w:color="000000" w:space="1" w:sz="4" w:val="single"/>
        </w:pBdr>
        <w:rPr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DADOS GERAIS</w:t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Arial" w:cs="Arial" w:eastAsia="Arial" w:hAnsi="Arial"/>
          <w:b w:val="1"/>
          <w:bCs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6"/>
        <w:gridCol w:w="1559"/>
        <w:gridCol w:w="2268"/>
        <w:gridCol w:w="9015"/>
        <w:tblGridChange w:id="0">
          <w:tblGrid>
            <w:gridCol w:w="2546"/>
            <w:gridCol w:w="1559"/>
            <w:gridCol w:w="2268"/>
            <w:gridCol w:w="9015"/>
          </w:tblGrid>
        </w:tblGridChange>
      </w:tblGrid>
      <w:tr>
        <w:trPr>
          <w:cantSplit w:val="0"/>
          <w:trHeight w:val="459" w:hRule="atLeast"/>
          <w:tblHeader w:val="0"/>
        </w:trPr>
        <w:tc>
          <w:tcPr>
            <w:shd w:fill="fff2cb" w:val="clear"/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bookmarkStart w:colFirst="0" w:colLast="0" w:name="_wj7qvmr3c34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T2-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b" w:val="clear"/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Nome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Mentora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shd w:fill="fff2cb" w:val="clear"/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Público-Alvo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(Personas | Stakeholders)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widowControl w:val="1"/>
              <w:spacing w:after="0" w:before="12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Alunos, monitores, professores e coordenação do curso.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" w:hRule="atLeast"/>
          <w:tblHeader w:val="0"/>
        </w:trPr>
        <w:tc>
          <w:tcPr>
            <w:shd w:fill="fff2cb" w:val="clear"/>
          </w:tcPr>
          <w:p w:rsidR="00000000" w:rsidDel="00000000" w:rsidP="00000000" w:rsidRDefault="00000000" w:rsidRPr="00000000" w14:paraId="0000000C">
            <w:pPr>
              <w:widowControl w:val="1"/>
              <w:spacing w:after="0" w:before="12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Proposta de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widowControl w:val="1"/>
              <w:spacing w:after="0" w:before="12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color w:val="1f2328"/>
                <w:sz w:val="24"/>
                <w:szCs w:val="24"/>
                <w:rtl w:val="0"/>
              </w:rPr>
              <w:t xml:space="preserve">Muitos</w:t>
            </w:r>
            <w:r w:rsidDel="00000000" w:rsidR="00000000" w:rsidRPr="00000000">
              <w:rPr>
                <w:rFonts w:ascii="Noto Sans" w:cs="Noto Sans" w:eastAsia="Noto Sans" w:hAnsi="Noto Sans"/>
                <w:color w:val="1f2328"/>
                <w:sz w:val="24"/>
                <w:szCs w:val="24"/>
                <w:rtl w:val="0"/>
              </w:rPr>
              <w:t xml:space="preserve"> sistemas de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color w:val="1f2328"/>
                <w:sz w:val="24"/>
                <w:szCs w:val="24"/>
                <w:rtl w:val="0"/>
              </w:rPr>
              <w:t xml:space="preserve"> monitoria ainda dependem de processos manuais ou ineficientes para organiz</w:t>
            </w:r>
            <w:r w:rsidDel="00000000" w:rsidR="00000000" w:rsidRPr="00000000">
              <w:rPr>
                <w:rFonts w:ascii="Noto Sans" w:cs="Noto Sans" w:eastAsia="Noto Sans" w:hAnsi="Noto Sans"/>
                <w:color w:val="1f2328"/>
                <w:sz w:val="24"/>
                <w:szCs w:val="24"/>
                <w:rtl w:val="0"/>
              </w:rPr>
              <w:t xml:space="preserve">açã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color w:val="1f2328"/>
                <w:sz w:val="24"/>
                <w:szCs w:val="24"/>
                <w:rtl w:val="0"/>
              </w:rPr>
              <w:t xml:space="preserve">o. Em muitos casos, a coordenação precisa </w:t>
            </w:r>
            <w:r w:rsidDel="00000000" w:rsidR="00000000" w:rsidRPr="00000000">
              <w:rPr>
                <w:rFonts w:ascii="Noto Sans" w:cs="Noto Sans" w:eastAsia="Noto Sans" w:hAnsi="Noto Sans"/>
                <w:color w:val="1f2328"/>
                <w:sz w:val="24"/>
                <w:szCs w:val="24"/>
                <w:rtl w:val="0"/>
              </w:rPr>
              <w:t xml:space="preserve">acompanhar a disponibilidade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color w:val="1f2328"/>
                <w:sz w:val="24"/>
                <w:szCs w:val="24"/>
                <w:rtl w:val="0"/>
              </w:rPr>
              <w:t xml:space="preserve"> de forma pouco eficiente, enquanto os próprios monitores enfrentam dificuldades para agendar turnos, confirmar horários e registrar ponto. Essa falta de organização pode gerar conflitos de escala, atrasos no atendimento, dificuldades na gestão de carga de trabalho e ausência de controle sobre a presença dos monitores. A partir disso,</w:t>
            </w:r>
            <w:r w:rsidDel="00000000" w:rsidR="00000000" w:rsidRPr="00000000">
              <w:rPr>
                <w:rFonts w:ascii="Noto Sans" w:cs="Noto Sans" w:eastAsia="Noto Sans" w:hAnsi="Noto Sans"/>
                <w:color w:val="1f2328"/>
                <w:sz w:val="24"/>
                <w:szCs w:val="24"/>
                <w:rtl w:val="0"/>
              </w:rPr>
              <w:t xml:space="preserve"> há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color w:val="1f2328"/>
                <w:sz w:val="24"/>
                <w:szCs w:val="24"/>
                <w:rtl w:val="0"/>
              </w:rPr>
              <w:t xml:space="preserve"> necessidade de uma solução digital que centralize o agendamento de horários, simplifique a comunicação entre monitoria e estudantes e permita o registro de ponto de forma prática e segura.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bottom w:color="000000" w:space="1" w:sz="4" w:val="single"/>
        </w:pBdr>
        <w:rPr>
          <w:rFonts w:ascii="Times New Roman" w:cs="Times New Roman" w:eastAsia="Times New Roman" w:hAnsi="Times New Roman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PLANEJAMENTO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Preencha a tabela informando os requisitos funcionais / artefatos a serem criados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identificar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 membro da equipe responsável pela implementação.  </w:t>
      </w:r>
    </w:p>
    <w:tbl>
      <w:tblPr>
        <w:tblStyle w:val="Table2"/>
        <w:tblW w:w="154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5"/>
        <w:gridCol w:w="8430"/>
        <w:gridCol w:w="638"/>
        <w:gridCol w:w="709"/>
        <w:gridCol w:w="5104"/>
        <w:tblGridChange w:id="0">
          <w:tblGrid>
            <w:gridCol w:w="565"/>
            <w:gridCol w:w="8430"/>
            <w:gridCol w:w="638"/>
            <w:gridCol w:w="709"/>
            <w:gridCol w:w="5104"/>
          </w:tblGrid>
        </w:tblGridChange>
      </w:tblGrid>
      <w:tr>
        <w:trPr>
          <w:cantSplit w:val="0"/>
          <w:trHeight w:val="239" w:hRule="atLeast"/>
          <w:tblHeader w:val="0"/>
        </w:trPr>
        <w:tc>
          <w:tcPr>
            <w:vMerge w:val="restart"/>
            <w:shd w:fill="fff2cb" w:val="clear"/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2cb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Requisito Funcional / Artefato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b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2cb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vMerge w:val="continue"/>
            <w:shd w:fill="fff2cb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b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b" w:val="clear"/>
          </w:tcPr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b" w:val="clear"/>
          </w:tcPr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b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Pop-up de Perfil do Usuário (visualizar dados pessoais e alterar apelido)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Bernardo Gabriel de Oliveira Fonseca Saldanha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rtl w:val="0"/>
        </w:rPr>
        <w:t xml:space="preserve">TIPOS DE REQUISITOS / ARTEFATOS: CI – Cadastro de Informações | AI – Apresentação de Informação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Bdr>
          <w:bottom w:color="000000" w:space="1" w:sz="4" w:val="single"/>
        </w:pBdr>
        <w:rPr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PROJETO DE IMPLEMENTAÇÃO 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 membro deve detalhar como pretende implementar o artefato da Sprint. Informe o nome do membro da equipe, o artefato sob responsabilidade, um esboço da tela com identificação de cada elemento, a funcionalidade de cada elemento e a estrutura de dados em formato JSON.</w:t>
      </w:r>
      <w:r w:rsidDel="00000000" w:rsidR="00000000" w:rsidRPr="00000000">
        <w:rPr>
          <w:rtl w:val="0"/>
        </w:rPr>
      </w:r>
    </w:p>
    <w:tbl>
      <w:tblPr>
        <w:tblStyle w:val="Table3"/>
        <w:tblW w:w="154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8"/>
        <w:gridCol w:w="4565"/>
        <w:gridCol w:w="570"/>
        <w:gridCol w:w="1424"/>
        <w:gridCol w:w="287"/>
        <w:gridCol w:w="6220"/>
        <w:tblGridChange w:id="0">
          <w:tblGrid>
            <w:gridCol w:w="2418"/>
            <w:gridCol w:w="4565"/>
            <w:gridCol w:w="570"/>
            <w:gridCol w:w="1424"/>
            <w:gridCol w:w="287"/>
            <w:gridCol w:w="6220"/>
          </w:tblGrid>
        </w:tblGridChange>
      </w:tblGrid>
      <w:tr>
        <w:trPr>
          <w:cantSplit w:val="0"/>
          <w:trHeight w:val="414" w:hRule="atLeast"/>
          <w:tblHeader w:val="0"/>
        </w:trPr>
        <w:tc>
          <w:tcPr>
            <w:shd w:fill="fff2cb" w:val="clear"/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Nome do Membro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Bernardo Gabriel de Oliveira Fonseca Saldanha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b" w:val="clear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Artefato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Pop-up de Perfil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6.220703124999" w:hRule="atLeast"/>
          <w:tblHeader w:val="0"/>
        </w:trPr>
        <w:tc>
          <w:tcPr>
            <w:shd w:fill="fff2cb" w:val="clear"/>
          </w:tcPr>
          <w:p w:rsidR="00000000" w:rsidDel="00000000" w:rsidP="00000000" w:rsidRDefault="00000000" w:rsidRPr="00000000" w14:paraId="00000054">
            <w:pPr>
              <w:widowControl w:val="1"/>
              <w:spacing w:after="0" w:before="12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Esboço da(s) Tela(s)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(Wireframe)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5">
            <w:pPr>
              <w:spacing w:before="120" w:lineRule="auto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</w:rPr>
              <w:drawing>
                <wp:inline>
                  <wp:extent cx="4297680" cy="23271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perfil_visualizaca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327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55">
            <w:pPr>
              <w:spacing w:before="120" w:lineRule="auto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6"/>
              </w:rPr>
              <w:t>Tela 1 – Pop-up "Meu perfil" (visualização), aberto pelo botão "perfil"</w:t>
            </w:r>
          </w:p>
          <w:p w:rsidR="00000000" w:rsidDel="00000000" w:rsidP="00000000" w:rsidRDefault="00000000" w:rsidRPr="00000000" w14:paraId="00000055">
            <w:pPr>
              <w:spacing w:before="120" w:lineRule="auto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</w:rPr>
              <w:drawing>
                <wp:inline>
                  <wp:extent cx="4297680" cy="232710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perfil_edica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327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55">
            <w:pPr>
              <w:spacing w:before="120" w:lineRule="auto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6"/>
              </w:rPr>
              <w:t>Tela 2 – Pop-up "Meu perfil" (edição do apelido, com validação)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shd w:fill="fff2cb" w:val="clear"/>
          </w:tcPr>
          <w:p w:rsidR="00000000" w:rsidDel="00000000" w:rsidP="00000000" w:rsidRDefault="00000000" w:rsidRPr="00000000" w14:paraId="0000005C">
            <w:pPr>
              <w:widowControl w:val="1"/>
              <w:spacing w:after="0" w:before="12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Funcionalidades dos elementos da tela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 w:before="10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TELA 1 – VISUALIZAÇÃO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(1) Botão "perfil":</w:t>
            </w:r>
            <w:r>
              <w:rPr>
                <w:rFonts w:ascii="Arial" w:hAnsi="Arial"/>
                <w:b w:val="0"/>
                <w:sz w:val="17"/>
              </w:rPr>
              <w:t xml:space="preserve"> círculo fixo no topo de todas as telas. Ao clicar, abre o pop-up "Meu perfil" sobre a página atual, que fica escurecida ao fundo.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(2) Cabeçalho e botão fechar (×):</w:t>
            </w:r>
            <w:r>
              <w:rPr>
                <w:rFonts w:ascii="Arial" w:hAnsi="Arial"/>
                <w:b w:val="0"/>
                <w:sz w:val="17"/>
              </w:rPr>
              <w:t xml:space="preserve"> mostra o título "Meu perfil". O × fecha o pop-up, assim como a tecla Esc ou um clique fora dele; o usuário permanece na página em que estava.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(3) Avatar:</w:t>
            </w:r>
            <w:r>
              <w:rPr>
                <w:rFonts w:ascii="Arial" w:hAnsi="Arial"/>
                <w:b w:val="0"/>
                <w:sz w:val="17"/>
              </w:rPr>
              <w:t xml:space="preserve"> círculo com as iniciais do nome (ex.: "NP"), no mesmo padrão do chat.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(4) Nome completo:</w:t>
            </w:r>
            <w:r>
              <w:rPr>
                <w:rFonts w:ascii="Arial" w:hAnsi="Arial"/>
                <w:b w:val="0"/>
                <w:sz w:val="17"/>
              </w:rPr>
              <w:t xml:space="preserve"> campo somente leitura (cadeado), vindo do cadastro do usuário.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(5) Apelido e botão editar (✎):</w:t>
            </w:r>
            <w:r>
              <w:rPr>
                <w:rFonts w:ascii="Arial" w:hAnsi="Arial"/>
                <w:b w:val="0"/>
                <w:sz w:val="17"/>
              </w:rPr>
              <w:t xml:space="preserve"> exibe o apelido atual; se ainda não houver apelido, exibe o primeiro nome. O botão ✎ leva ao modo de edição (Tela 2).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(6) Classe:</w:t>
            </w:r>
            <w:r>
              <w:rPr>
                <w:rFonts w:ascii="Arial" w:hAnsi="Arial"/>
                <w:b w:val="0"/>
                <w:sz w:val="17"/>
              </w:rPr>
              <w:t xml:space="preserve"> selo somente leitura com a classe do usuário: Aluno, Monitor, Professor ou Administrador. Não pode ser alterada pelo próprio usuário.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(7) Dados pessoais:</w:t>
            </w:r>
            <w:r>
              <w:rPr>
                <w:rFonts w:ascii="Arial" w:hAnsi="Arial"/>
                <w:b w:val="0"/>
                <w:sz w:val="17"/>
              </w:rPr>
              <w:t xml:space="preserve"> seção somente leitura com e-mail institucional, matrícula, curso, campus, disciplinas vinculadas e data de cadastro ("membro desde").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(8) Botão fechar:</w:t>
            </w:r>
            <w:r>
              <w:rPr>
                <w:rFonts w:ascii="Arial" w:hAnsi="Arial"/>
                <w:b w:val="0"/>
                <w:sz w:val="17"/>
              </w:rPr>
              <w:t xml:space="preserve"> encerra o pop-up e retorna à página.</w:t>
            </w:r>
          </w:p>
          <w:p w:rsidR="00000000" w:rsidDel="00000000" w:rsidP="00000000" w:rsidRDefault="00000000" w:rsidRPr="00000000" w14:paraId="0000005D">
            <w:pPr>
              <w:spacing w:line="240" w:lineRule="auto" w:before="10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TELA 2 – EDIÇÃO DO APELIDO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(9) Campo de apelido:</w:t>
            </w:r>
            <w:r>
              <w:rPr>
                <w:rFonts w:ascii="Arial" w:hAnsi="Arial"/>
                <w:b w:val="0"/>
                <w:sz w:val="17"/>
              </w:rPr>
              <w:t xml:space="preserve"> fica editável ao clicar em ✎, com contador de caracteres (mínimo 2 e máximo 30).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(10) Mensagem de validação:</w:t>
            </w:r>
            <w:r>
              <w:rPr>
                <w:rFonts w:ascii="Arial" w:hAnsi="Arial"/>
                <w:b w:val="0"/>
                <w:sz w:val="17"/>
              </w:rPr>
              <w:t xml:space="preserve"> aparece quando o apelido está vazio, fora do limite de caracteres ou com caracteres inválidos; enquanto isso, o botão "salvar" permanece desabilitado.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(11) Botão salvar:</w:t>
            </w:r>
            <w:r>
              <w:rPr>
                <w:rFonts w:ascii="Arial" w:hAnsi="Arial"/>
                <w:b w:val="0"/>
                <w:sz w:val="17"/>
              </w:rPr>
              <w:t xml:space="preserve"> grava o novo apelido no banco de dados, atualiza o pop-up e exibe a mensagem "Apelido atualizado com sucesso". O novo apelido passa a aparecer nas demais telas.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(12) Botão cancelar:</w:t>
            </w:r>
            <w:r>
              <w:rPr>
                <w:rFonts w:ascii="Arial" w:hAnsi="Arial"/>
                <w:b w:val="0"/>
                <w:sz w:val="17"/>
              </w:rPr>
              <w:t xml:space="preserve"> descarta a alteração e volta ao modo de visualização com o apelido anterior.</w:t>
            </w:r>
          </w:p>
          <w:p w:rsidR="00000000" w:rsidDel="00000000" w:rsidP="00000000" w:rsidRDefault="00000000" w:rsidRPr="00000000" w14:paraId="0000005D">
            <w:pPr>
              <w:spacing w:line="240" w:lineRule="auto" w:before="10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REGRAS GERAIS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Edição:</w:t>
            </w:r>
            <w:r>
              <w:rPr>
                <w:rFonts w:ascii="Arial" w:hAnsi="Arial"/>
                <w:b w:val="0"/>
                <w:sz w:val="17"/>
              </w:rPr>
              <w:t xml:space="preserve"> somente o apelido é editável; nome, classe e demais dados pessoais são apenas exibidos.</w:t>
            </w:r>
          </w:p>
          <w:p w:rsidR="00000000" w:rsidDel="00000000" w:rsidP="00000000" w:rsidRDefault="00000000" w:rsidRPr="00000000" w14:paraId="0000005D">
            <w:pPr>
              <w:spacing w:line="240" w:lineRule="auto" w:before="0" w:after="5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7"/>
              </w:rPr>
              <w:t>Perfil de outro usuário:</w:t>
            </w:r>
            <w:r>
              <w:rPr>
                <w:rFonts w:ascii="Arial" w:hAnsi="Arial"/>
                <w:b w:val="0"/>
                <w:sz w:val="17"/>
              </w:rPr>
              <w:t xml:space="preserve"> ao clicar em "perfil" no card de um monitor ou no chat, o mesmo pop-up abre em modo somente leitura (sem ✎ e sem e-mail e matrícula).</w:t>
            </w:r>
          </w:p>
        </w:tc>
        <w:tc>
          <w:tcPr>
            <w:gridSpan w:val="3"/>
            <w:shd w:fill="fff2cb" w:val="clear"/>
          </w:tcPr>
          <w:p w:rsidR="00000000" w:rsidDel="00000000" w:rsidP="00000000" w:rsidRDefault="00000000" w:rsidRPr="00000000" w14:paraId="00000063">
            <w:pPr>
              <w:widowControl w:val="1"/>
              <w:spacing w:after="0" w:before="12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Estrutura(s) de dados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(Exemplo em JSON)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>{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"usuarios": [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  {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    "id_usuario": 1,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    "nome": "Nome Completo do Usuário",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    "apelido": "Apelido do usuário",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    "classe": "monitor",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    "email": "usuario@exemplo.edu.br",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    "matricula": "000000",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    "curso": "Nome do curso",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    "campus": "Nome do campus",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    "disciplinas": ["CODIGO-01", "CODIGO-02"],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    "data_cadastro": "AAAA-MM-DDTHH:MM:SSZ"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  }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]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>}</w:t>
            </w:r>
          </w:p>
          <w:p w:rsidR="00000000" w:rsidDel="00000000" w:rsidP="00000000" w:rsidRDefault="00000000" w:rsidRPr="00000000" w14:paraId="00000066">
            <w:pPr>
              <w:spacing w:before="12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6"/>
              </w:rPr>
              <w:t>Valores aceitos em "classe": "aluno", "monitor", "professor", "administrador".</w:t>
            </w:r>
          </w:p>
          <w:p w:rsidR="00000000" w:rsidDel="00000000" w:rsidP="00000000" w:rsidRDefault="00000000" w:rsidRPr="00000000" w14:paraId="00000066">
            <w:pPr>
              <w:spacing w:before="16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/>
                <w:sz w:val="16"/>
              </w:rPr>
              <w:t>Requisição ao salvar o apelido (Tela 2):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>{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"id_usuario": 1,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 xml:space="preserve">  "apelido": "Novo apelido"</w:t>
            </w:r>
          </w:p>
          <w:p w:rsidR="00000000" w:rsidDel="00000000" w:rsidP="00000000" w:rsidRDefault="00000000" w:rsidRPr="00000000" w14:paraId="00000066">
            <w:pPr>
              <w:spacing w:before="0" w:lineRule="auto" w:after="0"/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  <w:sz w:val="18"/>
              </w:rPr>
              <w:t>}</w:t>
            </w:r>
          </w:p>
        </w:tc>
      </w:tr>
    </w:tbl>
    <w:p w:rsidR="00000000" w:rsidDel="00000000" w:rsidP="00000000" w:rsidRDefault="00000000" w:rsidRPr="00000000" w14:paraId="0000007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footerReference r:id="rId11" w:type="even"/>
      <w:pgSz w:h="11906" w:w="16838" w:orient="landscape"/>
      <w:pgMar w:bottom="555" w:top="284" w:left="720" w:right="720" w:header="0" w:footer="49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Trabalho Interdisciplinar – ICEI PUC Minas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Trabalho Interdisciplinar – ICEI PUC Minas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