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896" w:rsidRPr="00257B43" w:rsidRDefault="00244896" w:rsidP="00257B43">
      <w:pPr>
        <w:spacing w:line="360" w:lineRule="auto"/>
        <w:rPr>
          <w:rFonts w:cstheme="minorHAnsi"/>
        </w:rPr>
      </w:pPr>
      <w:r w:rsidRPr="00257B43">
        <w:rPr>
          <w:rFonts w:cstheme="minorHAnsi"/>
        </w:rPr>
        <w:t>Pandas Challenge – Written Report</w:t>
      </w:r>
    </w:p>
    <w:p w:rsidR="00244896" w:rsidRPr="00257B43" w:rsidRDefault="00244896" w:rsidP="00257B43">
      <w:pPr>
        <w:spacing w:line="360" w:lineRule="auto"/>
        <w:jc w:val="right"/>
        <w:rPr>
          <w:rFonts w:cstheme="minorHAnsi"/>
        </w:rPr>
      </w:pPr>
      <w:r w:rsidRPr="00257B43">
        <w:rPr>
          <w:rFonts w:cstheme="minorHAnsi"/>
        </w:rPr>
        <w:t>Sum Yeung Bernard TSE</w:t>
      </w:r>
    </w:p>
    <w:p w:rsidR="00244896" w:rsidRPr="00257B43" w:rsidRDefault="00244896" w:rsidP="00257B43">
      <w:pPr>
        <w:spacing w:line="360" w:lineRule="auto"/>
        <w:rPr>
          <w:rFonts w:cstheme="minorHAnsi"/>
        </w:rPr>
      </w:pPr>
    </w:p>
    <w:p w:rsidR="00244896" w:rsidRPr="00257B43" w:rsidRDefault="00D9748E" w:rsidP="00257B43">
      <w:pPr>
        <w:spacing w:line="360" w:lineRule="auto"/>
        <w:jc w:val="center"/>
        <w:rPr>
          <w:rFonts w:cstheme="minorHAnsi"/>
          <w:b/>
          <w:bCs/>
          <w:u w:val="single"/>
        </w:rPr>
      </w:pPr>
      <w:r w:rsidRPr="00257B43">
        <w:rPr>
          <w:rFonts w:cstheme="minorHAnsi"/>
          <w:b/>
          <w:bCs/>
          <w:color w:val="2B2B2B"/>
          <w:u w:val="single"/>
        </w:rPr>
        <w:t>Sunshine City</w:t>
      </w:r>
      <w:r w:rsidR="00244896" w:rsidRPr="00257B43">
        <w:rPr>
          <w:rFonts w:cstheme="minorHAnsi"/>
          <w:b/>
          <w:bCs/>
          <w:color w:val="2B2B2B"/>
          <w:u w:val="single"/>
        </w:rPr>
        <w:t xml:space="preserve"> </w:t>
      </w:r>
      <w:r w:rsidR="00244896" w:rsidRPr="00257B43">
        <w:rPr>
          <w:rFonts w:cstheme="minorHAnsi"/>
          <w:b/>
          <w:bCs/>
          <w:color w:val="2B2B2B"/>
          <w:u w:val="single"/>
        </w:rPr>
        <w:t>S</w:t>
      </w:r>
      <w:r w:rsidR="00244896" w:rsidRPr="00257B43">
        <w:rPr>
          <w:rFonts w:cstheme="minorHAnsi"/>
          <w:b/>
          <w:bCs/>
          <w:color w:val="2B2B2B"/>
          <w:u w:val="single"/>
        </w:rPr>
        <w:t xml:space="preserve">chool </w:t>
      </w:r>
      <w:r w:rsidR="00244896" w:rsidRPr="00257B43">
        <w:rPr>
          <w:rFonts w:cstheme="minorHAnsi"/>
          <w:b/>
          <w:bCs/>
          <w:color w:val="2B2B2B"/>
          <w:u w:val="single"/>
        </w:rPr>
        <w:t>D</w:t>
      </w:r>
      <w:r w:rsidR="00244896" w:rsidRPr="00257B43">
        <w:rPr>
          <w:rFonts w:cstheme="minorHAnsi"/>
          <w:b/>
          <w:bCs/>
          <w:color w:val="2B2B2B"/>
          <w:u w:val="single"/>
        </w:rPr>
        <w:t>istrict</w:t>
      </w:r>
      <w:r w:rsidR="00244896" w:rsidRPr="00257B43">
        <w:rPr>
          <w:rFonts w:cstheme="minorHAnsi"/>
          <w:b/>
          <w:bCs/>
          <w:color w:val="2B2B2B"/>
          <w:u w:val="single"/>
        </w:rPr>
        <w:t xml:space="preserve"> Standardised Test Results Analysis </w:t>
      </w:r>
    </w:p>
    <w:p w:rsidR="00CD3F39" w:rsidRPr="00257B43" w:rsidRDefault="00244896" w:rsidP="00257B4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2B2B2B"/>
          <w:sz w:val="28"/>
          <w:szCs w:val="28"/>
        </w:rPr>
      </w:pPr>
      <w:r w:rsidRPr="00257B43">
        <w:rPr>
          <w:rFonts w:asciiTheme="minorHAnsi" w:hAnsiTheme="minorHAnsi" w:cstheme="minorHAnsi"/>
        </w:rPr>
        <w:t xml:space="preserve">This report summarises the </w:t>
      </w:r>
      <w:r w:rsidRPr="00257B43">
        <w:rPr>
          <w:rFonts w:asciiTheme="minorHAnsi" w:hAnsiTheme="minorHAnsi" w:cstheme="minorHAnsi"/>
          <w:color w:val="2B2B2B"/>
        </w:rPr>
        <w:t>results of the National A</w:t>
      </w:r>
      <w:r w:rsidRPr="00257B43">
        <w:rPr>
          <w:rFonts w:asciiTheme="minorHAnsi" w:hAnsiTheme="minorHAnsi" w:cstheme="minorHAnsi"/>
          <w:color w:val="2B2B2B"/>
        </w:rPr>
        <w:t xml:space="preserve">ptitude </w:t>
      </w:r>
      <w:r w:rsidRPr="00257B43">
        <w:rPr>
          <w:rFonts w:asciiTheme="minorHAnsi" w:hAnsiTheme="minorHAnsi" w:cstheme="minorHAnsi"/>
          <w:color w:val="2B2B2B"/>
        </w:rPr>
        <w:t>T</w:t>
      </w:r>
      <w:r w:rsidRPr="00257B43">
        <w:rPr>
          <w:rFonts w:asciiTheme="minorHAnsi" w:hAnsiTheme="minorHAnsi" w:cstheme="minorHAnsi"/>
          <w:color w:val="2B2B2B"/>
        </w:rPr>
        <w:t>est</w:t>
      </w:r>
      <w:r w:rsidRPr="00257B43">
        <w:rPr>
          <w:rFonts w:asciiTheme="minorHAnsi" w:hAnsiTheme="minorHAnsi" w:cstheme="minorHAnsi"/>
          <w:color w:val="2B2B2B"/>
        </w:rPr>
        <w:t xml:space="preserve"> (NAT) among the schools in the </w:t>
      </w:r>
      <w:r w:rsidR="00CD3F39" w:rsidRPr="00257B43">
        <w:rPr>
          <w:rFonts w:asciiTheme="minorHAnsi" w:hAnsiTheme="minorHAnsi" w:cstheme="minorHAnsi"/>
          <w:color w:val="2B2B2B"/>
        </w:rPr>
        <w:t>Sunshine City</w:t>
      </w:r>
      <w:r w:rsidRPr="00257B43">
        <w:rPr>
          <w:rFonts w:asciiTheme="minorHAnsi" w:hAnsiTheme="minorHAnsi" w:cstheme="minorHAnsi"/>
          <w:color w:val="2B2B2B"/>
        </w:rPr>
        <w:t xml:space="preserve"> School District (</w:t>
      </w:r>
      <w:r w:rsidR="00CD3F39" w:rsidRPr="00257B43">
        <w:rPr>
          <w:rFonts w:asciiTheme="minorHAnsi" w:hAnsiTheme="minorHAnsi" w:cstheme="minorHAnsi"/>
          <w:color w:val="2B2B2B"/>
        </w:rPr>
        <w:t>SC</w:t>
      </w:r>
      <w:r w:rsidRPr="00257B43">
        <w:rPr>
          <w:rFonts w:asciiTheme="minorHAnsi" w:hAnsiTheme="minorHAnsi" w:cstheme="minorHAnsi"/>
          <w:color w:val="2B2B2B"/>
        </w:rPr>
        <w:t>SD).</w:t>
      </w:r>
      <w:r w:rsidRPr="00257B43">
        <w:rPr>
          <w:rFonts w:asciiTheme="minorHAnsi" w:hAnsiTheme="minorHAnsi" w:cstheme="minorHAnsi"/>
          <w:color w:val="2B2B2B"/>
        </w:rPr>
        <w:t xml:space="preserve"> </w:t>
      </w:r>
      <w:r w:rsidRPr="00257B43">
        <w:rPr>
          <w:rFonts w:asciiTheme="minorHAnsi" w:hAnsiTheme="minorHAnsi" w:cstheme="minorHAnsi"/>
          <w:color w:val="2B2B2B"/>
        </w:rPr>
        <w:t>It aims to help</w:t>
      </w:r>
      <w:r w:rsidRPr="00257B43">
        <w:rPr>
          <w:rFonts w:asciiTheme="minorHAnsi" w:hAnsiTheme="minorHAnsi" w:cstheme="minorHAnsi"/>
          <w:color w:val="2B2B2B"/>
        </w:rPr>
        <w:t xml:space="preserve"> the school board and mayor make strategic decisions regarding future school budgets and priorities.</w:t>
      </w:r>
      <w:r w:rsidRPr="00257B43">
        <w:rPr>
          <w:rFonts w:asciiTheme="minorHAnsi" w:hAnsiTheme="minorHAnsi" w:cstheme="minorHAnsi"/>
          <w:color w:val="2B2B2B"/>
        </w:rPr>
        <w:t xml:space="preserve"> </w:t>
      </w:r>
      <w:r w:rsidR="00CD3F39" w:rsidRPr="00257B43">
        <w:rPr>
          <w:rFonts w:asciiTheme="minorHAnsi" w:hAnsiTheme="minorHAnsi" w:cstheme="minorHAnsi"/>
          <w:color w:val="2B2B2B"/>
        </w:rPr>
        <w:t>This year, o</w:t>
      </w:r>
      <w:r w:rsidRPr="00257B43">
        <w:rPr>
          <w:rFonts w:asciiTheme="minorHAnsi" w:hAnsiTheme="minorHAnsi" w:cstheme="minorHAnsi"/>
          <w:color w:val="2B2B2B"/>
        </w:rPr>
        <w:t xml:space="preserve">ver 39000 students from 15 schools in the </w:t>
      </w:r>
      <w:r w:rsidR="00CD3F39" w:rsidRPr="00257B43">
        <w:rPr>
          <w:rFonts w:asciiTheme="minorHAnsi" w:hAnsiTheme="minorHAnsi" w:cstheme="minorHAnsi"/>
          <w:color w:val="2B2B2B"/>
        </w:rPr>
        <w:t>SC</w:t>
      </w:r>
      <w:r w:rsidRPr="00257B43">
        <w:rPr>
          <w:rFonts w:asciiTheme="minorHAnsi" w:hAnsiTheme="minorHAnsi" w:cstheme="minorHAnsi"/>
          <w:color w:val="2B2B2B"/>
        </w:rPr>
        <w:t>SD took part i</w:t>
      </w:r>
      <w:r w:rsidR="00CD3F39" w:rsidRPr="00257B43">
        <w:rPr>
          <w:rFonts w:asciiTheme="minorHAnsi" w:hAnsiTheme="minorHAnsi" w:cstheme="minorHAnsi"/>
          <w:color w:val="2B2B2B"/>
        </w:rPr>
        <w:t>n the NAT. The district-wide</w:t>
      </w:r>
      <w:r w:rsidR="009302FB">
        <w:rPr>
          <w:rFonts w:asciiTheme="minorHAnsi" w:hAnsiTheme="minorHAnsi" w:cstheme="minorHAnsi"/>
          <w:color w:val="2B2B2B"/>
        </w:rPr>
        <w:t xml:space="preserve"> average</w:t>
      </w:r>
      <w:r w:rsidR="00CD3F39" w:rsidRPr="00257B43">
        <w:rPr>
          <w:rFonts w:asciiTheme="minorHAnsi" w:hAnsiTheme="minorHAnsi" w:cstheme="minorHAnsi"/>
          <w:color w:val="2B2B2B"/>
        </w:rPr>
        <w:t xml:space="preserve"> Math Score and Reading Score were 79.0 and 82.0 respectively.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68"/>
        <w:gridCol w:w="954"/>
        <w:gridCol w:w="1482"/>
        <w:gridCol w:w="1194"/>
        <w:gridCol w:w="1241"/>
        <w:gridCol w:w="1078"/>
        <w:gridCol w:w="1097"/>
        <w:gridCol w:w="1102"/>
      </w:tblGrid>
      <w:tr w:rsidR="00D9748E" w:rsidRPr="00257B43" w:rsidTr="00257B43">
        <w:trPr>
          <w:trHeight w:val="500"/>
          <w:jc w:val="center"/>
        </w:trPr>
        <w:tc>
          <w:tcPr>
            <w:tcW w:w="502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 Schools</w:t>
            </w:r>
          </w:p>
        </w:tc>
        <w:tc>
          <w:tcPr>
            <w:tcW w:w="549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 Students</w:t>
            </w:r>
          </w:p>
        </w:tc>
        <w:tc>
          <w:tcPr>
            <w:tcW w:w="682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 Budget</w:t>
            </w:r>
          </w:p>
        </w:tc>
        <w:tc>
          <w:tcPr>
            <w:tcW w:w="682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Math Score</w:t>
            </w:r>
          </w:p>
        </w:tc>
        <w:tc>
          <w:tcPr>
            <w:tcW w:w="708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Reading Score</w:t>
            </w:r>
          </w:p>
        </w:tc>
        <w:tc>
          <w:tcPr>
            <w:tcW w:w="599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Passing Math</w:t>
            </w:r>
          </w:p>
        </w:tc>
        <w:tc>
          <w:tcPr>
            <w:tcW w:w="647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Passing Reading</w:t>
            </w:r>
          </w:p>
        </w:tc>
        <w:tc>
          <w:tcPr>
            <w:tcW w:w="632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Overall Passing</w:t>
            </w:r>
          </w:p>
        </w:tc>
      </w:tr>
      <w:tr w:rsidR="00D9748E" w:rsidRPr="00257B43" w:rsidTr="00257B43">
        <w:trPr>
          <w:trHeight w:val="340"/>
          <w:jc w:val="center"/>
        </w:trPr>
        <w:tc>
          <w:tcPr>
            <w:tcW w:w="502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549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39,170</w:t>
            </w:r>
          </w:p>
        </w:tc>
        <w:tc>
          <w:tcPr>
            <w:tcW w:w="682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$24,649,428.00</w:t>
            </w:r>
          </w:p>
        </w:tc>
        <w:tc>
          <w:tcPr>
            <w:tcW w:w="682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78.985371</w:t>
            </w:r>
          </w:p>
        </w:tc>
        <w:tc>
          <w:tcPr>
            <w:tcW w:w="708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81.87784</w:t>
            </w:r>
          </w:p>
        </w:tc>
        <w:tc>
          <w:tcPr>
            <w:tcW w:w="599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74.980853</w:t>
            </w:r>
          </w:p>
        </w:tc>
        <w:tc>
          <w:tcPr>
            <w:tcW w:w="647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85.805463</w:t>
            </w:r>
          </w:p>
        </w:tc>
        <w:tc>
          <w:tcPr>
            <w:tcW w:w="632" w:type="pct"/>
            <w:hideMark/>
          </w:tcPr>
          <w:p w:rsidR="00D9748E" w:rsidRPr="00D9748E" w:rsidRDefault="00D9748E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D974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65.172326</w:t>
            </w:r>
          </w:p>
        </w:tc>
      </w:tr>
    </w:tbl>
    <w:p w:rsidR="00D9748E" w:rsidRDefault="00257B43" w:rsidP="00257B43">
      <w:pPr>
        <w:spacing w:line="360" w:lineRule="auto"/>
        <w:outlineLvl w:val="1"/>
        <w:rPr>
          <w:rFonts w:cstheme="minorHAnsi"/>
          <w:color w:val="000000"/>
        </w:rPr>
      </w:pPr>
      <w:r>
        <w:rPr>
          <w:rFonts w:eastAsia="Times New Roman" w:cstheme="minorHAnsi"/>
          <w:color w:val="000000"/>
          <w:kern w:val="0"/>
          <w14:ligatures w14:val="none"/>
        </w:rPr>
        <w:t>Based on t</w:t>
      </w:r>
      <w:r w:rsidR="00B125A1" w:rsidRPr="00257B43">
        <w:rPr>
          <w:rFonts w:eastAsia="Times New Roman" w:cstheme="minorHAnsi"/>
          <w:color w:val="000000"/>
          <w:kern w:val="0"/>
          <w14:ligatures w14:val="none"/>
        </w:rPr>
        <w:t xml:space="preserve">he </w:t>
      </w:r>
      <w:r>
        <w:rPr>
          <w:rFonts w:eastAsia="Times New Roman" w:cstheme="minorHAnsi"/>
          <w:color w:val="000000"/>
          <w:kern w:val="0"/>
          <w14:ligatures w14:val="none"/>
        </w:rPr>
        <w:t>o</w:t>
      </w:r>
      <w:r w:rsidR="00B125A1" w:rsidRPr="00257B43">
        <w:rPr>
          <w:rFonts w:eastAsia="Times New Roman" w:cstheme="minorHAnsi"/>
          <w:color w:val="000000"/>
          <w:kern w:val="0"/>
          <w14:ligatures w14:val="none"/>
        </w:rPr>
        <w:t>verall passing rate, the top 5 h</w:t>
      </w:r>
      <w:r w:rsidR="00CD3F39" w:rsidRPr="00CD3F39">
        <w:rPr>
          <w:rFonts w:eastAsia="Times New Roman" w:cstheme="minorHAnsi"/>
          <w:color w:val="000000"/>
          <w:kern w:val="0"/>
          <w14:ligatures w14:val="none"/>
        </w:rPr>
        <w:t>ighest-</w:t>
      </w:r>
      <w:r w:rsidR="00B125A1" w:rsidRPr="00257B43">
        <w:rPr>
          <w:rFonts w:eastAsia="Times New Roman" w:cstheme="minorHAnsi"/>
          <w:color w:val="000000"/>
          <w:kern w:val="0"/>
          <w14:ligatures w14:val="none"/>
        </w:rPr>
        <w:t>p</w:t>
      </w:r>
      <w:r w:rsidR="00CD3F39" w:rsidRPr="00CD3F39">
        <w:rPr>
          <w:rFonts w:eastAsia="Times New Roman" w:cstheme="minorHAnsi"/>
          <w:color w:val="000000"/>
          <w:kern w:val="0"/>
          <w14:ligatures w14:val="none"/>
        </w:rPr>
        <w:t xml:space="preserve">erforming </w:t>
      </w:r>
      <w:r>
        <w:rPr>
          <w:rFonts w:eastAsia="Times New Roman" w:cstheme="minorHAnsi"/>
          <w:color w:val="000000"/>
          <w:kern w:val="0"/>
          <w14:ligatures w14:val="none"/>
        </w:rPr>
        <w:t>s</w:t>
      </w:r>
      <w:r w:rsidR="00CD3F39" w:rsidRPr="00CD3F39">
        <w:rPr>
          <w:rFonts w:eastAsia="Times New Roman" w:cstheme="minorHAnsi"/>
          <w:color w:val="000000"/>
          <w:kern w:val="0"/>
          <w14:ligatures w14:val="none"/>
        </w:rPr>
        <w:t>chools</w:t>
      </w:r>
      <w:r w:rsidR="00B125A1" w:rsidRPr="00257B43">
        <w:rPr>
          <w:rFonts w:eastAsia="Times New Roman" w:cstheme="minorHAnsi"/>
          <w:color w:val="000000"/>
          <w:kern w:val="0"/>
          <w14:ligatures w14:val="none"/>
        </w:rPr>
        <w:t xml:space="preserve"> are all Charter schools. </w:t>
      </w:r>
      <w:r>
        <w:rPr>
          <w:rFonts w:eastAsia="Times New Roman" w:cstheme="minorHAnsi"/>
          <w:color w:val="000000"/>
          <w:kern w:val="0"/>
          <w14:ligatures w14:val="none"/>
        </w:rPr>
        <w:t>On the contrary</w:t>
      </w:r>
      <w:r w:rsidR="00B125A1" w:rsidRPr="00257B43">
        <w:rPr>
          <w:rFonts w:eastAsia="Times New Roman" w:cstheme="minorHAnsi"/>
          <w:color w:val="000000"/>
          <w:kern w:val="0"/>
          <w14:ligatures w14:val="none"/>
        </w:rPr>
        <w:t xml:space="preserve">, the </w:t>
      </w:r>
      <w:r w:rsidR="00B125A1" w:rsidRPr="00257B43">
        <w:rPr>
          <w:rFonts w:cstheme="minorHAnsi"/>
          <w:color w:val="000000"/>
        </w:rPr>
        <w:t>lowest-p</w:t>
      </w:r>
      <w:r w:rsidR="00B125A1" w:rsidRPr="00257B43">
        <w:rPr>
          <w:rFonts w:cstheme="minorHAnsi"/>
          <w:color w:val="000000"/>
        </w:rPr>
        <w:t xml:space="preserve">erforming </w:t>
      </w:r>
      <w:r>
        <w:rPr>
          <w:rFonts w:cstheme="minorHAnsi"/>
          <w:color w:val="000000"/>
        </w:rPr>
        <w:t>s</w:t>
      </w:r>
      <w:r w:rsidR="00B125A1" w:rsidRPr="00257B43">
        <w:rPr>
          <w:rFonts w:cstheme="minorHAnsi"/>
          <w:color w:val="000000"/>
        </w:rPr>
        <w:t xml:space="preserve">chools </w:t>
      </w:r>
      <w:r w:rsidR="00B125A1" w:rsidRPr="00257B43">
        <w:rPr>
          <w:rFonts w:cstheme="minorHAnsi"/>
          <w:color w:val="000000"/>
        </w:rPr>
        <w:t>are all District schools.</w:t>
      </w:r>
      <w:r w:rsidR="004D6C20" w:rsidRPr="00257B43">
        <w:rPr>
          <w:rFonts w:cstheme="minorHAnsi"/>
          <w:color w:val="000000"/>
        </w:rPr>
        <w:t xml:space="preserve"> </w:t>
      </w:r>
      <w:r w:rsidR="00B125A1" w:rsidRPr="00257B43">
        <w:rPr>
          <w:rFonts w:cstheme="minorHAnsi"/>
          <w:color w:val="000000"/>
        </w:rPr>
        <w:t xml:space="preserve">For both Math and Reading, </w:t>
      </w:r>
      <w:r>
        <w:rPr>
          <w:rFonts w:cstheme="minorHAnsi"/>
          <w:color w:val="000000"/>
        </w:rPr>
        <w:t>students' performance</w:t>
      </w:r>
      <w:r w:rsidR="00B125A1" w:rsidRPr="00257B43">
        <w:rPr>
          <w:rFonts w:cstheme="minorHAnsi"/>
          <w:color w:val="000000"/>
        </w:rPr>
        <w:t xml:space="preserve"> is consistent within each school.</w:t>
      </w:r>
      <w:r w:rsidR="004D6C20" w:rsidRPr="00257B43">
        <w:rPr>
          <w:rFonts w:cstheme="minorHAnsi"/>
          <w:color w:val="000000"/>
        </w:rPr>
        <w:t xml:space="preserve"> Students in different grades within </w:t>
      </w:r>
      <w:r w:rsidR="009302FB">
        <w:rPr>
          <w:rFonts w:cstheme="minorHAnsi"/>
          <w:color w:val="000000"/>
        </w:rPr>
        <w:t>a</w:t>
      </w:r>
      <w:r w:rsidR="004D6C20" w:rsidRPr="00257B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school </w:t>
      </w:r>
      <w:r w:rsidR="004D6C20" w:rsidRPr="00257B43">
        <w:rPr>
          <w:rFonts w:cstheme="minorHAnsi"/>
          <w:color w:val="000000"/>
        </w:rPr>
        <w:t xml:space="preserve">performed similarly. The consistency in results shows that the test is reliable and </w:t>
      </w:r>
      <w:r>
        <w:rPr>
          <w:rFonts w:cstheme="minorHAnsi"/>
          <w:color w:val="000000"/>
        </w:rPr>
        <w:t>can reveal the student's aptitude</w:t>
      </w:r>
      <w:r w:rsidR="004D6C20" w:rsidRPr="00257B43">
        <w:rPr>
          <w:rFonts w:cstheme="minorHAnsi"/>
          <w:color w:val="000000"/>
        </w:rPr>
        <w:t>.</w:t>
      </w:r>
    </w:p>
    <w:p w:rsidR="00885A44" w:rsidRPr="00885A44" w:rsidRDefault="00885A44" w:rsidP="00257B43">
      <w:pPr>
        <w:spacing w:line="360" w:lineRule="auto"/>
        <w:outlineLvl w:val="1"/>
        <w:rPr>
          <w:rFonts w:cstheme="minorHAnsi"/>
          <w:b/>
          <w:bCs/>
          <w:color w:val="000000"/>
        </w:rPr>
      </w:pPr>
      <w:r w:rsidRPr="00885A44">
        <w:rPr>
          <w:rFonts w:cstheme="minorHAnsi"/>
          <w:b/>
          <w:bCs/>
          <w:color w:val="000000"/>
        </w:rPr>
        <w:t>School Spending</w:t>
      </w:r>
      <w:r>
        <w:rPr>
          <w:rFonts w:cstheme="minorHAnsi"/>
          <w:b/>
          <w:bCs/>
          <w:color w:val="000000"/>
        </w:rPr>
        <w:t xml:space="preserve"> and Student Performance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469"/>
        <w:gridCol w:w="1634"/>
        <w:gridCol w:w="1188"/>
        <w:gridCol w:w="1352"/>
        <w:gridCol w:w="1298"/>
      </w:tblGrid>
      <w:tr w:rsidR="004D6C20" w:rsidRPr="00257B43" w:rsidTr="003158DB">
        <w:trPr>
          <w:trHeight w:val="320"/>
          <w:jc w:val="center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Spending Ranges (Per Student</w:t>
            </w:r>
          </w:p>
        </w:tc>
        <w:tc>
          <w:tcPr>
            <w:tcW w:w="815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Math Score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Reading Score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Passing Math</w:t>
            </w:r>
          </w:p>
        </w:tc>
        <w:tc>
          <w:tcPr>
            <w:tcW w:w="750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Passing Reading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Overall Passing</w:t>
            </w:r>
          </w:p>
        </w:tc>
      </w:tr>
      <w:tr w:rsidR="004D6C20" w:rsidRPr="00257B43" w:rsidTr="003158DB">
        <w:trPr>
          <w:trHeight w:val="77"/>
          <w:jc w:val="center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&lt;$585</w:t>
            </w:r>
          </w:p>
        </w:tc>
        <w:tc>
          <w:tcPr>
            <w:tcW w:w="815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83.455399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83.933814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93.460096</w:t>
            </w:r>
          </w:p>
        </w:tc>
        <w:tc>
          <w:tcPr>
            <w:tcW w:w="750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96.610877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90.369459</w:t>
            </w:r>
          </w:p>
        </w:tc>
      </w:tr>
      <w:tr w:rsidR="004D6C20" w:rsidRPr="00257B43" w:rsidTr="003158DB">
        <w:trPr>
          <w:trHeight w:val="77"/>
          <w:jc w:val="center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$585-630</w:t>
            </w:r>
          </w:p>
        </w:tc>
        <w:tc>
          <w:tcPr>
            <w:tcW w:w="815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81.899826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83.155286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87.133538</w:t>
            </w:r>
          </w:p>
        </w:tc>
        <w:tc>
          <w:tcPr>
            <w:tcW w:w="750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92.718205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81.418596</w:t>
            </w:r>
          </w:p>
        </w:tc>
      </w:tr>
      <w:tr w:rsidR="004D6C20" w:rsidRPr="00257B43" w:rsidTr="003158DB">
        <w:trPr>
          <w:trHeight w:val="77"/>
          <w:jc w:val="center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$630-645</w:t>
            </w:r>
          </w:p>
        </w:tc>
        <w:tc>
          <w:tcPr>
            <w:tcW w:w="815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78.518855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81.624473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73.484209</w:t>
            </w:r>
          </w:p>
        </w:tc>
        <w:tc>
          <w:tcPr>
            <w:tcW w:w="750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84.391793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62.857656</w:t>
            </w:r>
          </w:p>
        </w:tc>
      </w:tr>
      <w:tr w:rsidR="004D6C20" w:rsidRPr="00257B43" w:rsidTr="003158DB">
        <w:trPr>
          <w:trHeight w:val="77"/>
          <w:jc w:val="center"/>
        </w:trPr>
        <w:tc>
          <w:tcPr>
            <w:tcW w:w="1151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$645-680</w:t>
            </w:r>
          </w:p>
        </w:tc>
        <w:tc>
          <w:tcPr>
            <w:tcW w:w="815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76.99721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81.027843</w:t>
            </w:r>
          </w:p>
        </w:tc>
        <w:tc>
          <w:tcPr>
            <w:tcW w:w="658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66.164813</w:t>
            </w:r>
          </w:p>
        </w:tc>
        <w:tc>
          <w:tcPr>
            <w:tcW w:w="750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81.133951</w:t>
            </w:r>
          </w:p>
        </w:tc>
        <w:tc>
          <w:tcPr>
            <w:tcW w:w="720" w:type="pct"/>
            <w:shd w:val="clear" w:color="auto" w:fill="auto"/>
            <w:noWrap/>
            <w:vAlign w:val="bottom"/>
            <w:hideMark/>
          </w:tcPr>
          <w:p w:rsidR="004D6C20" w:rsidRPr="004D6C20" w:rsidRDefault="004D6C20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4D6C20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53.526855</w:t>
            </w:r>
          </w:p>
        </w:tc>
      </w:tr>
    </w:tbl>
    <w:p w:rsidR="00552D96" w:rsidRDefault="004D6C20" w:rsidP="00257B43">
      <w:pPr>
        <w:spacing w:line="360" w:lineRule="auto"/>
        <w:outlineLvl w:val="1"/>
        <w:rPr>
          <w:rFonts w:cstheme="minorHAnsi"/>
          <w:color w:val="000000"/>
        </w:rPr>
      </w:pPr>
      <w:r w:rsidRPr="00257B43">
        <w:rPr>
          <w:rFonts w:cstheme="minorHAnsi"/>
          <w:color w:val="000000"/>
        </w:rPr>
        <w:t xml:space="preserve">In terms of school spending, </w:t>
      </w:r>
      <w:r w:rsidR="009302FB">
        <w:rPr>
          <w:rFonts w:cstheme="minorHAnsi"/>
          <w:color w:val="000000"/>
        </w:rPr>
        <w:t>a</w:t>
      </w:r>
      <w:r w:rsidR="00D9748E" w:rsidRPr="00257B43">
        <w:rPr>
          <w:rFonts w:cstheme="minorHAnsi"/>
          <w:color w:val="000000"/>
        </w:rPr>
        <w:t xml:space="preserve"> </w:t>
      </w:r>
      <w:r w:rsidR="00715E9E">
        <w:rPr>
          <w:rFonts w:cstheme="minorHAnsi"/>
          <w:color w:val="000000"/>
        </w:rPr>
        <w:t xml:space="preserve">general </w:t>
      </w:r>
      <w:r w:rsidR="00D9748E" w:rsidRPr="00257B43">
        <w:rPr>
          <w:rFonts w:cstheme="minorHAnsi"/>
          <w:color w:val="000000"/>
        </w:rPr>
        <w:t xml:space="preserve">assumption is that the more resources </w:t>
      </w:r>
      <w:r w:rsidR="00715E9E">
        <w:rPr>
          <w:rFonts w:cstheme="minorHAnsi"/>
          <w:color w:val="000000"/>
        </w:rPr>
        <w:t xml:space="preserve">are </w:t>
      </w:r>
      <w:r w:rsidR="00D9748E" w:rsidRPr="00257B43">
        <w:rPr>
          <w:rFonts w:cstheme="minorHAnsi"/>
          <w:color w:val="000000"/>
        </w:rPr>
        <w:t xml:space="preserve">given to </w:t>
      </w:r>
      <w:r w:rsidR="00715E9E">
        <w:rPr>
          <w:rFonts w:cstheme="minorHAnsi"/>
          <w:color w:val="000000"/>
        </w:rPr>
        <w:t xml:space="preserve">each </w:t>
      </w:r>
      <w:r w:rsidR="00D9748E" w:rsidRPr="00257B43">
        <w:rPr>
          <w:rFonts w:cstheme="minorHAnsi"/>
          <w:color w:val="000000"/>
        </w:rPr>
        <w:t xml:space="preserve">student, the more effective education is. </w:t>
      </w:r>
      <w:r w:rsidR="009302FB">
        <w:rPr>
          <w:rFonts w:cstheme="minorHAnsi"/>
          <w:color w:val="000000"/>
        </w:rPr>
        <w:t>However</w:t>
      </w:r>
      <w:r w:rsidR="00715E9E">
        <w:rPr>
          <w:rFonts w:cstheme="minorHAnsi"/>
          <w:color w:val="000000"/>
        </w:rPr>
        <w:t xml:space="preserve">, in contradiction to common beliefs, </w:t>
      </w:r>
      <w:r w:rsidR="00D9748E" w:rsidRPr="00257B43">
        <w:rPr>
          <w:rFonts w:cstheme="minorHAnsi"/>
          <w:color w:val="000000"/>
        </w:rPr>
        <w:t xml:space="preserve">it </w:t>
      </w:r>
      <w:r w:rsidR="00715E9E">
        <w:rPr>
          <w:rFonts w:cstheme="minorHAnsi"/>
          <w:color w:val="000000"/>
        </w:rPr>
        <w:t xml:space="preserve">was </w:t>
      </w:r>
      <w:r w:rsidR="00D9748E" w:rsidRPr="00257B43">
        <w:rPr>
          <w:rFonts w:cstheme="minorHAnsi"/>
          <w:color w:val="000000"/>
        </w:rPr>
        <w:t xml:space="preserve">found that students in </w:t>
      </w:r>
      <w:r w:rsidR="00257B43">
        <w:rPr>
          <w:rFonts w:cstheme="minorHAnsi"/>
          <w:color w:val="000000"/>
        </w:rPr>
        <w:t>lower-spending</w:t>
      </w:r>
      <w:r w:rsidR="00D9748E" w:rsidRPr="00257B43">
        <w:rPr>
          <w:rFonts w:cstheme="minorHAnsi"/>
          <w:color w:val="000000"/>
        </w:rPr>
        <w:t xml:space="preserve"> schools performed significantly better than those from </w:t>
      </w:r>
      <w:r w:rsidR="00257B43">
        <w:rPr>
          <w:rFonts w:cstheme="minorHAnsi"/>
          <w:color w:val="000000"/>
        </w:rPr>
        <w:t>higher-spending</w:t>
      </w:r>
      <w:r w:rsidR="00D9748E" w:rsidRPr="00257B43">
        <w:rPr>
          <w:rFonts w:cstheme="minorHAnsi"/>
          <w:color w:val="000000"/>
        </w:rPr>
        <w:t xml:space="preserve"> schools. </w:t>
      </w:r>
      <w:r w:rsidR="00715E9E">
        <w:rPr>
          <w:rFonts w:cstheme="minorHAnsi"/>
          <w:color w:val="000000"/>
        </w:rPr>
        <w:t>In fact, t</w:t>
      </w:r>
      <w:r w:rsidR="00257B43">
        <w:rPr>
          <w:rFonts w:cstheme="minorHAnsi"/>
          <w:color w:val="000000"/>
        </w:rPr>
        <w:t>he</w:t>
      </w:r>
      <w:r w:rsidR="00D9748E" w:rsidRPr="00257B43">
        <w:rPr>
          <w:rFonts w:cstheme="minorHAnsi"/>
          <w:color w:val="000000"/>
        </w:rPr>
        <w:t xml:space="preserve"> highest-spending schools perform the worst </w:t>
      </w:r>
      <w:r w:rsidR="00257B43">
        <w:rPr>
          <w:rFonts w:cstheme="minorHAnsi"/>
          <w:color w:val="000000"/>
        </w:rPr>
        <w:t>among</w:t>
      </w:r>
      <w:r w:rsidR="00D9748E" w:rsidRPr="00257B43">
        <w:rPr>
          <w:rFonts w:cstheme="minorHAnsi"/>
          <w:color w:val="000000"/>
        </w:rPr>
        <w:t xml:space="preserve"> all schools in the district. Some people may argue that the figure shows that weaker students deserve more attention and support. </w:t>
      </w:r>
      <w:r w:rsidR="009302FB">
        <w:rPr>
          <w:rFonts w:cstheme="minorHAnsi"/>
          <w:color w:val="000000"/>
        </w:rPr>
        <w:t>Yet</w:t>
      </w:r>
      <w:r w:rsidR="00D9748E" w:rsidRPr="00257B43">
        <w:rPr>
          <w:rFonts w:cstheme="minorHAnsi"/>
          <w:color w:val="000000"/>
        </w:rPr>
        <w:t xml:space="preserve">, from the perspective of the whole school board, the results </w:t>
      </w:r>
      <w:r w:rsidR="00257B43">
        <w:rPr>
          <w:rFonts w:cstheme="minorHAnsi"/>
          <w:color w:val="000000"/>
        </w:rPr>
        <w:t>are</w:t>
      </w:r>
      <w:r w:rsidR="00D9748E" w:rsidRPr="00257B43">
        <w:rPr>
          <w:rFonts w:cstheme="minorHAnsi"/>
          <w:color w:val="000000"/>
        </w:rPr>
        <w:t xml:space="preserve"> a timely reminder that SCSD needs to </w:t>
      </w:r>
      <w:r w:rsidR="009302FB">
        <w:rPr>
          <w:rFonts w:cstheme="minorHAnsi"/>
          <w:color w:val="000000"/>
        </w:rPr>
        <w:t>re-evaluate</w:t>
      </w:r>
      <w:r w:rsidR="009302FB" w:rsidRPr="00257B43">
        <w:rPr>
          <w:rFonts w:cstheme="minorHAnsi"/>
          <w:color w:val="000000"/>
        </w:rPr>
        <w:t xml:space="preserve"> the </w:t>
      </w:r>
      <w:r w:rsidR="00885A44">
        <w:rPr>
          <w:rFonts w:cstheme="minorHAnsi"/>
          <w:color w:val="000000"/>
        </w:rPr>
        <w:t xml:space="preserve">use of </w:t>
      </w:r>
      <w:r w:rsidR="009302FB" w:rsidRPr="00257B43">
        <w:rPr>
          <w:rFonts w:cstheme="minorHAnsi"/>
          <w:color w:val="000000"/>
        </w:rPr>
        <w:t xml:space="preserve">school </w:t>
      </w:r>
      <w:r w:rsidR="009302FB">
        <w:rPr>
          <w:rFonts w:cstheme="minorHAnsi"/>
          <w:color w:val="000000"/>
        </w:rPr>
        <w:t>funding</w:t>
      </w:r>
      <w:r w:rsidR="009302FB">
        <w:rPr>
          <w:rFonts w:cstheme="minorHAnsi"/>
          <w:color w:val="000000"/>
        </w:rPr>
        <w:t xml:space="preserve"> and</w:t>
      </w:r>
      <w:r w:rsidR="00715E9E">
        <w:rPr>
          <w:rFonts w:cstheme="minorHAnsi"/>
          <w:color w:val="000000"/>
        </w:rPr>
        <w:t xml:space="preserve"> </w:t>
      </w:r>
      <w:r w:rsidR="00552D96" w:rsidRPr="00257B43">
        <w:rPr>
          <w:rFonts w:cstheme="minorHAnsi"/>
          <w:color w:val="000000"/>
        </w:rPr>
        <w:t>allocat</w:t>
      </w:r>
      <w:r w:rsidR="009302FB">
        <w:rPr>
          <w:rFonts w:cstheme="minorHAnsi"/>
          <w:color w:val="000000"/>
        </w:rPr>
        <w:t>e</w:t>
      </w:r>
      <w:r w:rsidR="00552D96" w:rsidRPr="00257B43">
        <w:rPr>
          <w:rFonts w:cstheme="minorHAnsi"/>
          <w:color w:val="000000"/>
        </w:rPr>
        <w:t xml:space="preserve"> </w:t>
      </w:r>
      <w:r w:rsidR="009302FB">
        <w:rPr>
          <w:rFonts w:cstheme="minorHAnsi"/>
          <w:color w:val="000000"/>
        </w:rPr>
        <w:t xml:space="preserve">their </w:t>
      </w:r>
      <w:r w:rsidR="00552D96" w:rsidRPr="00257B43">
        <w:rPr>
          <w:rFonts w:cstheme="minorHAnsi"/>
          <w:color w:val="000000"/>
        </w:rPr>
        <w:t xml:space="preserve">resources </w:t>
      </w:r>
      <w:r w:rsidR="009302FB">
        <w:rPr>
          <w:rFonts w:cstheme="minorHAnsi"/>
          <w:color w:val="000000"/>
        </w:rPr>
        <w:t>more</w:t>
      </w:r>
      <w:r w:rsidR="00885A44">
        <w:rPr>
          <w:rFonts w:cstheme="minorHAnsi"/>
          <w:color w:val="000000"/>
        </w:rPr>
        <w:t xml:space="preserve"> effectively</w:t>
      </w:r>
      <w:r w:rsidR="00552D96" w:rsidRPr="00257B43">
        <w:rPr>
          <w:rFonts w:cstheme="minorHAnsi"/>
          <w:color w:val="000000"/>
        </w:rPr>
        <w:t>.</w:t>
      </w:r>
    </w:p>
    <w:p w:rsidR="00885A44" w:rsidRPr="00885A44" w:rsidRDefault="00885A44" w:rsidP="00257B43">
      <w:pPr>
        <w:spacing w:line="360" w:lineRule="auto"/>
        <w:outlineLvl w:val="1"/>
        <w:rPr>
          <w:rFonts w:cstheme="minorHAnsi"/>
          <w:b/>
          <w:bCs/>
          <w:color w:val="000000"/>
        </w:rPr>
      </w:pPr>
      <w:r w:rsidRPr="00885A44">
        <w:rPr>
          <w:rFonts w:cstheme="minorHAnsi"/>
          <w:b/>
          <w:bCs/>
          <w:color w:val="000000"/>
        </w:rPr>
        <w:lastRenderedPageBreak/>
        <w:t>School Size</w:t>
      </w:r>
      <w:r>
        <w:rPr>
          <w:rFonts w:cstheme="minorHAnsi"/>
          <w:b/>
          <w:bCs/>
          <w:color w:val="000000"/>
        </w:rPr>
        <w:t xml:space="preserve"> and Student Performance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1569"/>
        <w:gridCol w:w="1747"/>
        <w:gridCol w:w="1266"/>
        <w:gridCol w:w="1443"/>
        <w:gridCol w:w="1385"/>
      </w:tblGrid>
      <w:tr w:rsidR="00552D96" w:rsidRPr="00257B43" w:rsidTr="003158DB">
        <w:trPr>
          <w:trHeight w:val="77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885A44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School Size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Math Score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Reading Score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Passing Math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Passing Reading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Overall Passing</w:t>
            </w:r>
          </w:p>
        </w:tc>
      </w:tr>
      <w:tr w:rsidR="00552D96" w:rsidRPr="00257B43" w:rsidTr="003158DB">
        <w:trPr>
          <w:trHeight w:val="77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Small (&lt;1000)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83.821598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83.929843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93.550225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96.099437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89.883853</w:t>
            </w:r>
          </w:p>
        </w:tc>
      </w:tr>
      <w:tr w:rsidR="00552D96" w:rsidRPr="00257B43" w:rsidTr="003158DB">
        <w:trPr>
          <w:trHeight w:val="77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Medium (1000-2000)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83.374684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83.864438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93.599695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96.79068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90.621535</w:t>
            </w:r>
          </w:p>
        </w:tc>
      </w:tr>
      <w:tr w:rsidR="00552D96" w:rsidRPr="00257B43" w:rsidTr="003158DB">
        <w:trPr>
          <w:trHeight w:val="77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Large (2000-5000)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77.746417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81.344493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69.963361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82.766634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2D96" w:rsidRPr="00552D96" w:rsidRDefault="00552D96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552D96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58.286003</w:t>
            </w:r>
          </w:p>
        </w:tc>
      </w:tr>
    </w:tbl>
    <w:p w:rsidR="003158DB" w:rsidRDefault="00552D96" w:rsidP="00257B43">
      <w:pPr>
        <w:spacing w:line="360" w:lineRule="auto"/>
        <w:outlineLvl w:val="1"/>
        <w:rPr>
          <w:rFonts w:cstheme="minorHAnsi"/>
          <w:color w:val="000000"/>
        </w:rPr>
      </w:pPr>
      <w:r w:rsidRPr="00257B43">
        <w:rPr>
          <w:rFonts w:cstheme="minorHAnsi"/>
          <w:color w:val="000000"/>
        </w:rPr>
        <w:t xml:space="preserve">School size has a close correlation with students’ performance. While students in small and medium schools perform </w:t>
      </w:r>
      <w:r w:rsidR="00885A44" w:rsidRPr="00257B43">
        <w:rPr>
          <w:rFonts w:cstheme="minorHAnsi"/>
          <w:color w:val="000000"/>
        </w:rPr>
        <w:t>comparably</w:t>
      </w:r>
      <w:r w:rsidR="00715E9E">
        <w:rPr>
          <w:rFonts w:cstheme="minorHAnsi"/>
          <w:color w:val="000000"/>
        </w:rPr>
        <w:t>,</w:t>
      </w:r>
      <w:r w:rsidRPr="00257B43">
        <w:rPr>
          <w:rFonts w:cstheme="minorHAnsi"/>
          <w:color w:val="000000"/>
        </w:rPr>
        <w:t xml:space="preserve"> </w:t>
      </w:r>
      <w:r w:rsidR="00715E9E">
        <w:rPr>
          <w:rFonts w:cstheme="minorHAnsi"/>
          <w:color w:val="000000"/>
        </w:rPr>
        <w:t>w</w:t>
      </w:r>
      <w:r w:rsidRPr="00257B43">
        <w:rPr>
          <w:rFonts w:cstheme="minorHAnsi"/>
          <w:color w:val="000000"/>
        </w:rPr>
        <w:t xml:space="preserve">e discover that the average score and the passing rate of the students in large schools </w:t>
      </w:r>
      <w:r w:rsidR="00715E9E">
        <w:rPr>
          <w:rFonts w:cstheme="minorHAnsi"/>
          <w:color w:val="000000"/>
        </w:rPr>
        <w:t>are</w:t>
      </w:r>
      <w:r w:rsidRPr="00257B43">
        <w:rPr>
          <w:rFonts w:cstheme="minorHAnsi"/>
          <w:color w:val="000000"/>
        </w:rPr>
        <w:t xml:space="preserve"> drastically lower than </w:t>
      </w:r>
      <w:r w:rsidR="00715E9E">
        <w:rPr>
          <w:rFonts w:cstheme="minorHAnsi"/>
          <w:color w:val="000000"/>
        </w:rPr>
        <w:t>those</w:t>
      </w:r>
      <w:r w:rsidRPr="00257B43">
        <w:rPr>
          <w:rFonts w:cstheme="minorHAnsi"/>
          <w:color w:val="000000"/>
        </w:rPr>
        <w:t xml:space="preserve"> in small and </w:t>
      </w:r>
      <w:r w:rsidR="00715E9E">
        <w:rPr>
          <w:rFonts w:cstheme="minorHAnsi"/>
          <w:color w:val="000000"/>
        </w:rPr>
        <w:t>medium-sized</w:t>
      </w:r>
      <w:r w:rsidRPr="00257B43">
        <w:rPr>
          <w:rFonts w:cstheme="minorHAnsi"/>
          <w:color w:val="000000"/>
        </w:rPr>
        <w:t xml:space="preserve"> schools. The more students there are, the less care and attention is given to each individual. Conventionally, the authorities tend to provide funding to schools to improve education. </w:t>
      </w:r>
      <w:r w:rsidR="00885A44" w:rsidRPr="00257B43">
        <w:rPr>
          <w:rFonts w:cstheme="minorHAnsi"/>
          <w:color w:val="000000"/>
        </w:rPr>
        <w:t>Nevertheless</w:t>
      </w:r>
      <w:r w:rsidRPr="00257B43">
        <w:rPr>
          <w:rFonts w:cstheme="minorHAnsi"/>
          <w:color w:val="000000"/>
        </w:rPr>
        <w:t>, results</w:t>
      </w:r>
      <w:r w:rsidR="003158DB" w:rsidRPr="00257B43">
        <w:rPr>
          <w:rFonts w:cstheme="minorHAnsi"/>
          <w:color w:val="000000"/>
        </w:rPr>
        <w:t xml:space="preserve"> suggest that it is far more important to adjust the school size than to provide </w:t>
      </w:r>
      <w:r w:rsidR="00885A44">
        <w:rPr>
          <w:rFonts w:cstheme="minorHAnsi"/>
          <w:color w:val="000000"/>
        </w:rPr>
        <w:t xml:space="preserve">extra </w:t>
      </w:r>
      <w:r w:rsidR="003158DB" w:rsidRPr="00257B43">
        <w:rPr>
          <w:rFonts w:cstheme="minorHAnsi"/>
          <w:color w:val="000000"/>
        </w:rPr>
        <w:t xml:space="preserve">monetary support for </w:t>
      </w:r>
      <w:r w:rsidR="00885A44">
        <w:rPr>
          <w:rFonts w:cstheme="minorHAnsi"/>
          <w:color w:val="000000"/>
        </w:rPr>
        <w:t>schools</w:t>
      </w:r>
      <w:r w:rsidR="003158DB" w:rsidRPr="00257B43">
        <w:rPr>
          <w:rFonts w:cstheme="minorHAnsi"/>
          <w:color w:val="000000"/>
        </w:rPr>
        <w:t>.</w:t>
      </w:r>
    </w:p>
    <w:p w:rsidR="00885A44" w:rsidRPr="00257B43" w:rsidRDefault="00885A44" w:rsidP="00257B43">
      <w:pPr>
        <w:spacing w:line="360" w:lineRule="auto"/>
        <w:outlineLvl w:val="1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 xml:space="preserve">School Type </w:t>
      </w:r>
      <w:r>
        <w:rPr>
          <w:rFonts w:cstheme="minorHAnsi"/>
          <w:b/>
          <w:bCs/>
          <w:color w:val="000000"/>
        </w:rPr>
        <w:t>and Student Performance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85"/>
        <w:gridCol w:w="1681"/>
        <w:gridCol w:w="1873"/>
        <w:gridCol w:w="1352"/>
        <w:gridCol w:w="1544"/>
        <w:gridCol w:w="1481"/>
      </w:tblGrid>
      <w:tr w:rsidR="003158DB" w:rsidRPr="00257B43" w:rsidTr="003158DB">
        <w:trPr>
          <w:trHeight w:val="77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School Type</w:t>
            </w:r>
          </w:p>
        </w:tc>
        <w:tc>
          <w:tcPr>
            <w:tcW w:w="9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Math Score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Reading Score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Passing Math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Passing Reading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Overall Passing</w:t>
            </w:r>
          </w:p>
        </w:tc>
      </w:tr>
      <w:tr w:rsidR="003158DB" w:rsidRPr="00257B43" w:rsidTr="003158DB">
        <w:trPr>
          <w:trHeight w:val="77"/>
        </w:trPr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Charter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83.473852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83.896421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93.620830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96.586489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90.432244</w:t>
            </w:r>
          </w:p>
        </w:tc>
      </w:tr>
      <w:tr w:rsidR="003158DB" w:rsidRPr="00257B43" w:rsidTr="003158DB">
        <w:trPr>
          <w:trHeight w:val="77"/>
        </w:trPr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District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76.956733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80.966636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66.548453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80.799062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8DB" w:rsidRPr="003158DB" w:rsidRDefault="003158DB" w:rsidP="00257B43">
            <w:pPr>
              <w:spacing w:line="36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3158DB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53.672208</w:t>
            </w:r>
          </w:p>
        </w:tc>
      </w:tr>
    </w:tbl>
    <w:p w:rsidR="00244896" w:rsidRDefault="00885A44" w:rsidP="00257B43">
      <w:pPr>
        <w:spacing w:line="360" w:lineRule="auto"/>
        <w:outlineLvl w:val="1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cstheme="minorHAnsi"/>
          <w:color w:val="000000"/>
        </w:rPr>
        <w:t>T</w:t>
      </w:r>
      <w:r w:rsidR="003158DB" w:rsidRPr="00257B43">
        <w:rPr>
          <w:rFonts w:cstheme="minorHAnsi"/>
          <w:color w:val="000000"/>
        </w:rPr>
        <w:t xml:space="preserve">he type of school a student belongs to also affects his/her academic performance. Students in charter schools </w:t>
      </w:r>
      <w:r w:rsidR="00715E9E">
        <w:rPr>
          <w:rFonts w:cstheme="minorHAnsi"/>
          <w:color w:val="000000"/>
        </w:rPr>
        <w:t>perform</w:t>
      </w:r>
      <w:r w:rsidR="003158DB" w:rsidRPr="00257B43">
        <w:rPr>
          <w:rFonts w:cstheme="minorHAnsi"/>
          <w:color w:val="000000"/>
        </w:rPr>
        <w:t xml:space="preserve"> exceptionally well while students in district schools </w:t>
      </w:r>
      <w:r w:rsidR="00715E9E">
        <w:rPr>
          <w:rFonts w:cstheme="minorHAnsi"/>
          <w:color w:val="000000"/>
        </w:rPr>
        <w:t>give</w:t>
      </w:r>
      <w:r w:rsidR="003158DB" w:rsidRPr="00257B43">
        <w:rPr>
          <w:rFonts w:cstheme="minorHAnsi"/>
          <w:color w:val="000000"/>
        </w:rPr>
        <w:t xml:space="preserve"> disappointing results. The syllabus and the independence from the authorities</w:t>
      </w:r>
      <w:r w:rsidR="003724A0">
        <w:rPr>
          <w:rFonts w:cstheme="minorHAnsi"/>
          <w:color w:val="000000"/>
        </w:rPr>
        <w:t xml:space="preserve"> may</w:t>
      </w:r>
      <w:r w:rsidR="003158DB" w:rsidRPr="00257B43">
        <w:rPr>
          <w:rFonts w:cstheme="minorHAnsi"/>
          <w:color w:val="000000"/>
        </w:rPr>
        <w:t xml:space="preserve"> contribute to </w:t>
      </w:r>
      <w:r w:rsidR="003724A0">
        <w:rPr>
          <w:rFonts w:cstheme="minorHAnsi"/>
          <w:color w:val="000000"/>
        </w:rPr>
        <w:t>this difference</w:t>
      </w:r>
      <w:r w:rsidR="003158DB" w:rsidRPr="00257B43">
        <w:rPr>
          <w:rFonts w:cstheme="minorHAnsi"/>
          <w:color w:val="000000"/>
        </w:rPr>
        <w:t xml:space="preserve">. </w:t>
      </w:r>
      <w:r w:rsidR="003158DB" w:rsidRPr="00257B43">
        <w:rPr>
          <w:rFonts w:eastAsia="Times New Roman" w:cstheme="minorHAnsi"/>
          <w:color w:val="2B2B2B"/>
          <w:kern w:val="0"/>
          <w14:ligatures w14:val="none"/>
        </w:rPr>
        <w:t xml:space="preserve">A reformation </w:t>
      </w:r>
      <w:r w:rsidR="00257B43" w:rsidRPr="00257B43">
        <w:rPr>
          <w:rFonts w:eastAsia="Times New Roman" w:cstheme="minorHAnsi"/>
          <w:color w:val="2B2B2B"/>
          <w:kern w:val="0"/>
          <w14:ligatures w14:val="none"/>
        </w:rPr>
        <w:t>for</w:t>
      </w:r>
      <w:r w:rsidR="003158DB" w:rsidRPr="00257B43">
        <w:rPr>
          <w:rFonts w:eastAsia="Times New Roman" w:cstheme="minorHAnsi"/>
          <w:color w:val="2B2B2B"/>
          <w:kern w:val="0"/>
          <w14:ligatures w14:val="none"/>
        </w:rPr>
        <w:t xml:space="preserve"> district schools is needed </w:t>
      </w:r>
      <w:r w:rsidR="00257B43" w:rsidRPr="00257B43">
        <w:rPr>
          <w:rFonts w:eastAsia="Times New Roman" w:cstheme="minorHAnsi"/>
          <w:color w:val="2B2B2B"/>
          <w:kern w:val="0"/>
          <w14:ligatures w14:val="none"/>
        </w:rPr>
        <w:t xml:space="preserve">in order to narrow the margin between them and their </w:t>
      </w:r>
      <w:r w:rsidR="003724A0">
        <w:rPr>
          <w:rFonts w:eastAsia="Times New Roman" w:cstheme="minorHAnsi"/>
          <w:color w:val="2B2B2B"/>
          <w:kern w:val="0"/>
          <w14:ligatures w14:val="none"/>
        </w:rPr>
        <w:t>(</w:t>
      </w:r>
      <w:r w:rsidR="00257B43" w:rsidRPr="00257B43">
        <w:rPr>
          <w:rFonts w:eastAsia="Times New Roman" w:cstheme="minorHAnsi"/>
          <w:color w:val="2B2B2B"/>
          <w:kern w:val="0"/>
          <w14:ligatures w14:val="none"/>
        </w:rPr>
        <w:t>charter school</w:t>
      </w:r>
      <w:r w:rsidR="003724A0">
        <w:rPr>
          <w:rFonts w:eastAsia="Times New Roman" w:cstheme="minorHAnsi"/>
          <w:color w:val="2B2B2B"/>
          <w:kern w:val="0"/>
          <w14:ligatures w14:val="none"/>
        </w:rPr>
        <w:t>s)</w:t>
      </w:r>
      <w:r w:rsidR="003724A0" w:rsidRPr="00257B43">
        <w:rPr>
          <w:rFonts w:eastAsia="Times New Roman" w:cstheme="minorHAnsi"/>
          <w:color w:val="2B2B2B"/>
          <w:kern w:val="0"/>
          <w14:ligatures w14:val="none"/>
        </w:rPr>
        <w:t xml:space="preserve"> counterparts</w:t>
      </w:r>
      <w:r w:rsidR="00257B43" w:rsidRPr="00257B43">
        <w:rPr>
          <w:rFonts w:eastAsia="Times New Roman" w:cstheme="minorHAnsi"/>
          <w:color w:val="2B2B2B"/>
          <w:kern w:val="0"/>
          <w14:ligatures w14:val="none"/>
        </w:rPr>
        <w:t>.</w:t>
      </w:r>
    </w:p>
    <w:p w:rsidR="00885A44" w:rsidRPr="00257B43" w:rsidRDefault="00885A44" w:rsidP="00257B43">
      <w:pPr>
        <w:spacing w:line="360" w:lineRule="auto"/>
        <w:outlineLvl w:val="1"/>
        <w:rPr>
          <w:rFonts w:eastAsia="Times New Roman" w:cstheme="minorHAnsi"/>
          <w:color w:val="2B2B2B"/>
          <w:kern w:val="0"/>
          <w14:ligatures w14:val="none"/>
        </w:rPr>
      </w:pPr>
    </w:p>
    <w:p w:rsidR="00257B43" w:rsidRPr="00257B43" w:rsidRDefault="00257B43" w:rsidP="00257B43">
      <w:pPr>
        <w:spacing w:line="360" w:lineRule="auto"/>
        <w:outlineLvl w:val="1"/>
        <w:rPr>
          <w:rFonts w:cstheme="minorHAnsi"/>
          <w:color w:val="2B2B2B"/>
        </w:rPr>
      </w:pPr>
      <w:r w:rsidRPr="00257B43">
        <w:rPr>
          <w:rFonts w:eastAsia="Times New Roman" w:cstheme="minorHAnsi"/>
          <w:color w:val="2B2B2B"/>
          <w:kern w:val="0"/>
          <w14:ligatures w14:val="none"/>
        </w:rPr>
        <w:t xml:space="preserve">The results </w:t>
      </w:r>
      <w:r w:rsidR="00943CC7">
        <w:rPr>
          <w:rFonts w:eastAsia="Times New Roman" w:cstheme="minorHAnsi"/>
          <w:color w:val="2B2B2B"/>
          <w:kern w:val="0"/>
          <w14:ligatures w14:val="none"/>
        </w:rPr>
        <w:t>of</w:t>
      </w:r>
      <w:r w:rsidRPr="00257B43">
        <w:rPr>
          <w:rFonts w:eastAsia="Times New Roman" w:cstheme="minorHAnsi"/>
          <w:color w:val="2B2B2B"/>
          <w:kern w:val="0"/>
          <w14:ligatures w14:val="none"/>
        </w:rPr>
        <w:t xml:space="preserve"> this test give insights to the school board </w:t>
      </w:r>
      <w:r w:rsidR="00943CC7">
        <w:rPr>
          <w:rFonts w:eastAsia="Times New Roman" w:cstheme="minorHAnsi"/>
          <w:color w:val="2B2B2B"/>
          <w:kern w:val="0"/>
          <w14:ligatures w14:val="none"/>
        </w:rPr>
        <w:t>into</w:t>
      </w:r>
      <w:r w:rsidRPr="00257B43">
        <w:rPr>
          <w:rFonts w:eastAsia="Times New Roman" w:cstheme="minorHAnsi"/>
          <w:color w:val="2B2B2B"/>
          <w:kern w:val="0"/>
          <w14:ligatures w14:val="none"/>
        </w:rPr>
        <w:t xml:space="preserve"> why and how we should reform our education system so that students can cope with the needs of the </w:t>
      </w:r>
      <w:r w:rsidR="003724A0">
        <w:rPr>
          <w:rFonts w:eastAsia="Times New Roman" w:cstheme="minorHAnsi"/>
          <w:color w:val="2B2B2B"/>
          <w:kern w:val="0"/>
          <w14:ligatures w14:val="none"/>
        </w:rPr>
        <w:t>present and future society</w:t>
      </w:r>
      <w:r w:rsidRPr="00257B43">
        <w:rPr>
          <w:rFonts w:eastAsia="Times New Roman" w:cstheme="minorHAnsi"/>
          <w:color w:val="2B2B2B"/>
          <w:kern w:val="0"/>
          <w14:ligatures w14:val="none"/>
        </w:rPr>
        <w:t xml:space="preserve">. </w:t>
      </w:r>
    </w:p>
    <w:sectPr w:rsidR="00257B43" w:rsidRPr="0025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782E"/>
    <w:multiLevelType w:val="multilevel"/>
    <w:tmpl w:val="AA26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79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96"/>
    <w:rsid w:val="00244896"/>
    <w:rsid w:val="00257B43"/>
    <w:rsid w:val="003158DB"/>
    <w:rsid w:val="003724A0"/>
    <w:rsid w:val="004D6C20"/>
    <w:rsid w:val="00552D96"/>
    <w:rsid w:val="00715E9E"/>
    <w:rsid w:val="00885A44"/>
    <w:rsid w:val="009302FB"/>
    <w:rsid w:val="00943CC7"/>
    <w:rsid w:val="00B125A1"/>
    <w:rsid w:val="00CD3F39"/>
    <w:rsid w:val="00D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9DE3A"/>
  <w15:chartTrackingRefBased/>
  <w15:docId w15:val="{CB088469-FBF5-414C-951B-D227343F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F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8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D3F3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table" w:styleId="TableGrid">
    <w:name w:val="Table Grid"/>
    <w:basedOn w:val="TableNormal"/>
    <w:uiPriority w:val="39"/>
    <w:rsid w:val="004D6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67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97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452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741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Yeung Bernard Tse</dc:creator>
  <cp:keywords/>
  <dc:description/>
  <cp:lastModifiedBy>Sum Yeung Bernard Tse</cp:lastModifiedBy>
  <cp:revision>3</cp:revision>
  <dcterms:created xsi:type="dcterms:W3CDTF">2023-11-14T03:55:00Z</dcterms:created>
  <dcterms:modified xsi:type="dcterms:W3CDTF">2023-11-14T10:00:00Z</dcterms:modified>
</cp:coreProperties>
</file>