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Wards 2020</w:t>
      </w:r>
    </w:p>
    <w:p>
      <w:r>
        <w:t xml:space="preserve">This document was created </w:t>
      </w:r>
      <w:r>
        <w:rPr>
          <w:i/>
        </w:rPr>
        <w:t xml:space="preserve">2022-04-12-11_20 </w:t>
      </w:r>
      <w:r>
        <w:t xml:space="preserve">from the </w:t>
      </w:r>
      <w:r>
        <w:rPr>
          <w:b/>
        </w:rPr>
        <w:t xml:space="preserve">City of Johannesburg Metropolitan Municipality </w:t>
      </w:r>
      <w:r>
        <w:t xml:space="preserve">CP3 system by the following user: </w:t>
      </w:r>
      <w:r>
        <w:rPr>
          <w:i/>
        </w:rPr>
        <w:t xml:space="preserve">'Bernard'. </w:t>
      </w:r>
    </w:p>
    <w:p>
      <w:r>
        <w:t xml:space="preserve">The baseline </w:t>
      </w:r>
      <w:r>
        <w:rPr>
          <w:b/>
        </w:rPr>
        <w:t>'2022/2023_MTREF Planning Capture Baseline_20210823'</w:t>
      </w:r>
      <w:r>
        <w:t xml:space="preserve"> with description: </w:t>
      </w:r>
      <w:r>
        <w:rPr>
          <w:b/>
        </w:rPr>
        <w:t>' 2021/2022_MTREF Rollover + Planning Baseline_20210307 duplicate + 2022/22 budget planning'</w:t>
      </w:r>
      <w:r>
        <w:t xml:space="preserve"> was used. </w:t>
      </w:r>
      <w:r>
        <w:t xml:space="preserve">The spatial feature that was selected for the purpose of this report was: </w:t>
      </w:r>
      <w:r>
        <w:rPr>
          <w:b/>
        </w:rPr>
        <w:t>'Wards 2020'</w:t>
      </w:r>
      <w:r>
        <w:t>.</w:t>
      </w:r>
    </w:p>
    <w:p>
      <w:r>
        <w:t xml:space="preserve">This is a spatial feature report for the </w:t>
      </w:r>
      <w:r>
        <w:rPr>
          <w:i/>
        </w:rPr>
        <w:t>City of Johannesburg Metropolitan Municipality.</w:t>
      </w:r>
      <w:r>
        <w:t xml:space="preserve"> The data contained in this report was sourced directly from the municipality's live CP3 system. The information in this report therefore reflects the data as it was on the </w:t>
      </w:r>
      <w:r>
        <w:rPr>
          <w:i/>
        </w:rPr>
        <w:t>2022-04-12</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Johannesburg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3095</w:t>
      </w:r>
      <w:r>
        <w:t xml:space="preserve"> projects of which a total of </w:t>
      </w:r>
      <w:r>
        <w:rPr>
          <w:i/>
        </w:rPr>
        <w:t>40 (1.29%)</w:t>
      </w:r>
      <w:r>
        <w:t xml:space="preserve"> projects do not have any recorded intersection (overlap) with Wards 2020.The following spatial features are available for queries using this API profile:</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pPr/>
      <w:r>
        <w:br/>
        <w:t>The probable reasons for the 40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Joburg - this is very rarely the reason).</w:t>
      </w:r>
    </w:p>
    <w:p>
      <w:pPr/>
      <w:r>
        <w:br/>
        <w:t>It is important to take note of the 1.29% projects that do not intersect with Wards 2020 feature when appraising this report.</w:t>
      </w:r>
    </w:p>
    <w:p>
      <w:pPr/>
      <w:r>
        <w:t>The 1.29%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Wards 2020 Analysis</w:t>
      </w:r>
    </w:p>
    <w:p/>
    <w:p>
      <w:pPr>
        <w:pStyle w:val="Caption"/>
      </w:pPr>
      <w:r>
        <w:t>Table 1.1: Wards 2020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Number of projects in all Wards 2020 - Overview</w:t>
            </w:r>
          </w:p>
        </w:tc>
        <w:tc>
          <w:tcPr>
            <w:tcW w:type="dxa" w:w="2551"/>
          </w:tcPr>
          <w:p>
            <w:r>
              <w:t>Total in all Wards 2020:</w:t>
              <w:br/>
              <w:t>3055 projects</w:t>
            </w:r>
          </w:p>
        </w:tc>
        <w:tc>
          <w:tcPr>
            <w:tcW w:type="dxa" w:w="2551"/>
          </w:tcPr>
          <w:p>
            <w:r>
              <w:t>Average per Wards 2020:</w:t>
              <w:br/>
              <w:t>22.6 projects</w:t>
            </w:r>
          </w:p>
        </w:tc>
        <w:tc>
          <w:tcPr>
            <w:tcW w:type="dxa" w:w="2551"/>
          </w:tcPr>
          <w:p>
            <w:r>
              <w:t>75th percentile of projects across all Wards 2020:</w:t>
              <w:br/>
              <w:t>28.5 projects</w:t>
            </w:r>
          </w:p>
        </w:tc>
      </w:tr>
      <w:tr>
        <w:tc>
          <w:tcPr>
            <w:tcW w:type="dxa" w:w="2551"/>
          </w:tcPr>
          <w:p>
            <w:r>
              <w:t>The highest number of projects</w:t>
            </w:r>
          </w:p>
        </w:tc>
        <w:tc>
          <w:tcPr>
            <w:tcW w:type="dxa" w:w="2551"/>
          </w:tcPr>
          <w:p>
            <w:r>
              <w:t>Wards 2020:</w:t>
              <w:br/>
              <w:t>In 124</w:t>
            </w:r>
          </w:p>
        </w:tc>
        <w:tc>
          <w:tcPr>
            <w:tcW w:type="dxa" w:w="2551"/>
          </w:tcPr>
          <w:p>
            <w:r>
              <w:t>Number of projects in 124:</w:t>
              <w:br/>
              <w:t>118</w:t>
            </w:r>
          </w:p>
        </w:tc>
        <w:tc>
          <w:tcPr>
            <w:tcW w:type="dxa" w:w="2551"/>
          </w:tcPr>
          <w:p>
            <w:r>
              <w:t>Percentage of total in 124:</w:t>
              <w:br/>
              <w:t>3.86%</w:t>
            </w:r>
          </w:p>
        </w:tc>
      </w:tr>
      <w:tr>
        <w:tc>
          <w:tcPr>
            <w:tcW w:type="dxa" w:w="2551"/>
          </w:tcPr>
          <w:p>
            <w:r>
              <w:t>The lowest number of projects:</w:t>
            </w:r>
          </w:p>
        </w:tc>
        <w:tc>
          <w:tcPr>
            <w:tcW w:type="dxa" w:w="2551"/>
          </w:tcPr>
          <w:p>
            <w:r>
              <w:t>Wards 2020:</w:t>
              <w:br/>
              <w:t>In 50</w:t>
            </w:r>
          </w:p>
        </w:tc>
        <w:tc>
          <w:tcPr>
            <w:tcW w:type="dxa" w:w="2551"/>
          </w:tcPr>
          <w:p>
            <w:r>
              <w:t>Number of projects in 50:</w:t>
              <w:br/>
              <w:t>2</w:t>
            </w:r>
          </w:p>
        </w:tc>
        <w:tc>
          <w:tcPr>
            <w:tcW w:type="dxa" w:w="2551"/>
          </w:tcPr>
          <w:p>
            <w:r>
              <w:t>Percentage of total in 50:</w:t>
              <w:br/>
              <w:t>0.07%</w:t>
            </w:r>
          </w:p>
        </w:tc>
      </w:tr>
      <w:tr>
        <w:tc>
          <w:tcPr>
            <w:tcW w:type="dxa" w:w="2551"/>
          </w:tcPr>
          <w:p>
            <w:r>
              <w:t>The 5 Wards 2020 that collectively have with the highest number of projects</w:t>
            </w:r>
          </w:p>
        </w:tc>
        <w:tc>
          <w:tcPr>
            <w:tcW w:type="dxa" w:w="2551"/>
          </w:tcPr>
          <w:p>
            <w:r>
              <w:t>Wards 2020:</w:t>
              <w:br/>
              <w:t>In 84, 117, 57, 60 and 124</w:t>
            </w:r>
          </w:p>
        </w:tc>
        <w:tc>
          <w:tcPr>
            <w:tcW w:type="dxa" w:w="2551"/>
          </w:tcPr>
          <w:p>
            <w:r>
              <w:t>Number of projects in 84, 117, 57, 60 and 124 together:</w:t>
              <w:br/>
              <w:t>456</w:t>
            </w:r>
          </w:p>
        </w:tc>
        <w:tc>
          <w:tcPr>
            <w:tcW w:type="dxa" w:w="2551"/>
          </w:tcPr>
          <w:p>
            <w:r>
              <w:t>Percentage of total in 84, 117, 57, 60 and 124 together:</w:t>
              <w:br/>
              <w:t>14.93%</w:t>
            </w:r>
          </w:p>
        </w:tc>
      </w:tr>
    </w:tbl>
    <w:p/>
    <w:p>
      <w:pPr>
        <w:pStyle w:val="Caption"/>
      </w:pPr>
      <w:r>
        <w:t>Table 1.2: Wards 2020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Capital demand in all Wards 2020 - Overview</w:t>
            </w:r>
          </w:p>
        </w:tc>
        <w:tc>
          <w:tcPr>
            <w:tcW w:type="dxa" w:w="2551"/>
          </w:tcPr>
          <w:p>
            <w:r>
              <w:t>Total capital demand in all Wards 2020:</w:t>
              <w:br/>
              <w:t>R6,742,492,823</w:t>
            </w:r>
          </w:p>
        </w:tc>
        <w:tc>
          <w:tcPr>
            <w:tcW w:type="dxa" w:w="2551"/>
          </w:tcPr>
          <w:p>
            <w:r>
              <w:t>The average capital demand per Wards 2020:</w:t>
              <w:br/>
              <w:t>R49,944,391</w:t>
            </w:r>
          </w:p>
        </w:tc>
        <w:tc>
          <w:tcPr>
            <w:tcW w:type="dxa" w:w="2551"/>
          </w:tcPr>
          <w:p>
            <w:r>
              <w:t>The 75th percentile of capital demand for Wards 2020:</w:t>
              <w:br/>
              <w:t>R69,411,249</w:t>
            </w:r>
          </w:p>
        </w:tc>
      </w:tr>
      <w:tr>
        <w:tc>
          <w:tcPr>
            <w:tcW w:type="dxa" w:w="2551"/>
          </w:tcPr>
          <w:p>
            <w:r>
              <w:t>The highest capital demand</w:t>
            </w:r>
          </w:p>
        </w:tc>
        <w:tc>
          <w:tcPr>
            <w:tcW w:type="dxa" w:w="2551"/>
          </w:tcPr>
          <w:p>
            <w:r>
              <w:t>Wards 2020:</w:t>
              <w:br/>
              <w:t>In 91</w:t>
            </w:r>
          </w:p>
        </w:tc>
        <w:tc>
          <w:tcPr>
            <w:tcW w:type="dxa" w:w="2551"/>
          </w:tcPr>
          <w:p>
            <w:r>
              <w:t>Capital Demand in 91:</w:t>
              <w:br/>
              <w:t>R799,814,376</w:t>
            </w:r>
          </w:p>
        </w:tc>
        <w:tc>
          <w:tcPr>
            <w:tcW w:type="dxa" w:w="2551"/>
          </w:tcPr>
          <w:p>
            <w:r>
              <w:t>Percentage of total in 91:</w:t>
              <w:br/>
              <w:t>11.86%</w:t>
            </w:r>
          </w:p>
        </w:tc>
      </w:tr>
      <w:tr>
        <w:tc>
          <w:tcPr>
            <w:tcW w:type="dxa" w:w="2551"/>
          </w:tcPr>
          <w:p>
            <w:r>
              <w:t>The lowest capital demand</w:t>
            </w:r>
          </w:p>
        </w:tc>
        <w:tc>
          <w:tcPr>
            <w:tcW w:type="dxa" w:w="2551"/>
          </w:tcPr>
          <w:p>
            <w:r>
              <w:t>Wards 2020:</w:t>
              <w:br/>
              <w:t>In 50</w:t>
            </w:r>
          </w:p>
        </w:tc>
        <w:tc>
          <w:tcPr>
            <w:tcW w:type="dxa" w:w="2551"/>
          </w:tcPr>
          <w:p>
            <w:r>
              <w:t>Capital Demand in 50:</w:t>
              <w:br/>
              <w:t>R0</w:t>
            </w:r>
          </w:p>
        </w:tc>
        <w:tc>
          <w:tcPr>
            <w:tcW w:type="dxa" w:w="2551"/>
          </w:tcPr>
          <w:p>
            <w:r>
              <w:t>Percentage of total in 50:</w:t>
              <w:br/>
              <w:t>0.00%</w:t>
            </w:r>
          </w:p>
        </w:tc>
      </w:tr>
      <w:tr>
        <w:tc>
          <w:tcPr>
            <w:tcW w:type="dxa" w:w="2551"/>
          </w:tcPr>
          <w:p>
            <w:r>
              <w:t>The 5 Wards 2020 that collectively have collective the highest capital demand:</w:t>
            </w:r>
          </w:p>
        </w:tc>
        <w:tc>
          <w:tcPr>
            <w:tcW w:type="dxa" w:w="2551"/>
          </w:tcPr>
          <w:p>
            <w:r>
              <w:t>Wards 2020:</w:t>
              <w:br/>
              <w:t>In 22, 124, 60, 96 and 91</w:t>
            </w:r>
          </w:p>
        </w:tc>
        <w:tc>
          <w:tcPr>
            <w:tcW w:type="dxa" w:w="2551"/>
          </w:tcPr>
          <w:p>
            <w:r>
              <w:t>Capital Demand in 22, 124, 60, 96 and 91 together:</w:t>
              <w:br/>
              <w:t>R1,843,132,366</w:t>
            </w:r>
          </w:p>
        </w:tc>
        <w:tc>
          <w:tcPr>
            <w:tcW w:type="dxa" w:w="2551"/>
          </w:tcPr>
          <w:p>
            <w:r>
              <w:t>Percentage of total in 22, 124, 60, 96 and 91 together:</w:t>
              <w:br/>
              <w:t>27.34%</w:t>
            </w:r>
          </w:p>
        </w:tc>
      </w:tr>
    </w:tbl>
    <w:p/>
    <w:p>
      <w:pPr>
        <w:pStyle w:val="Caption"/>
      </w:pPr>
      <w:r>
        <w:t>Figure 2.1: The single Wards 2020 with the highest value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6120000" cy="4371429"/>
                    </a:xfrm>
                    <a:prstGeom prst="rect"/>
                  </pic:spPr>
                </pic:pic>
              </a:graphicData>
            </a:graphic>
          </wp:inline>
        </w:drawing>
      </w:r>
    </w:p>
    <w:p/>
    <w:p>
      <w:pPr>
        <w:pStyle w:val="Caption"/>
      </w:pPr>
      <w:r>
        <w:t>Figure 2.2: The 5 Wards 2020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6120000" cy="4371429"/>
                    </a:xfrm>
                    <a:prstGeom prst="rect"/>
                  </pic:spPr>
                </pic:pic>
              </a:graphicData>
            </a:graphic>
          </wp:inline>
        </w:drawing>
      </w:r>
    </w:p>
    <w:p>
      <w:r>
        <w:br w:type="page"/>
      </w:r>
    </w:p>
    <w:p/>
    <w:p>
      <w:pPr>
        <w:pStyle w:val="Caption"/>
      </w:pPr>
      <w:r>
        <w:t>Figure 3.1: Projects and Capital Demand per Wards 2020 (1/4)</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1.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Wards 2020 (2/4)</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2.png"/>
                    <pic:cNvPicPr/>
                  </pic:nvPicPr>
                  <pic:blipFill>
                    <a:blip r:embed="rId20"/>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Wards 2020 (3/4)</w:t>
      </w:r>
    </w:p>
    <w:p>
      <w:r>
        <w:drawing>
          <wp:inline xmlns:a="http://schemas.openxmlformats.org/drawingml/2006/main" xmlns:pic="http://schemas.openxmlformats.org/drawingml/2006/picture">
            <wp:extent cx="5400000" cy="6942857"/>
            <wp:docPr id="166" name="Picture 166"/>
            <wp:cNvGraphicFramePr>
              <a:graphicFrameLocks noChangeAspect="1"/>
            </wp:cNvGraphicFramePr>
            <a:graphic>
              <a:graphicData uri="http://schemas.openxmlformats.org/drawingml/2006/picture">
                <pic:pic>
                  <pic:nvPicPr>
                    <pic:cNvPr id="0" name="fig3.3.png"/>
                    <pic:cNvPicPr/>
                  </pic:nvPicPr>
                  <pic:blipFill>
                    <a:blip r:embed="rId21"/>
                    <a:stretch>
                      <a:fillRect/>
                    </a:stretch>
                  </pic:blipFill>
                  <pic:spPr>
                    <a:xfrm>
                      <a:off x="0" y="0"/>
                      <a:ext cx="5400000" cy="6942857"/>
                    </a:xfrm>
                    <a:prstGeom prst="rect"/>
                  </pic:spPr>
                </pic:pic>
              </a:graphicData>
            </a:graphic>
          </wp:inline>
        </w:drawing>
      </w:r>
    </w:p>
    <w:p>
      <w:r>
        <w:br w:type="page"/>
      </w:r>
    </w:p>
    <w:p/>
    <w:p>
      <w:pPr>
        <w:pStyle w:val="Caption"/>
      </w:pPr>
      <w:r>
        <w:t>Figure 3.4: Projects and Capital Demand per Wards 2020 (4/4)</w:t>
      </w:r>
    </w:p>
    <w:p>
      <w:r>
        <w:drawing>
          <wp:inline xmlns:a="http://schemas.openxmlformats.org/drawingml/2006/main" xmlns:pic="http://schemas.openxmlformats.org/drawingml/2006/picture">
            <wp:extent cx="5400000" cy="6942857"/>
            <wp:docPr id="167" name="Picture 167"/>
            <wp:cNvGraphicFramePr>
              <a:graphicFrameLocks noChangeAspect="1"/>
            </wp:cNvGraphicFramePr>
            <a:graphic>
              <a:graphicData uri="http://schemas.openxmlformats.org/drawingml/2006/picture">
                <pic:pic>
                  <pic:nvPicPr>
                    <pic:cNvPr id="0" name="fig3.4.png"/>
                    <pic:cNvPicPr/>
                  </pic:nvPicPr>
                  <pic:blipFill>
                    <a:blip r:embed="rId22"/>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E6FE" w14:textId="77777777" w:rsidR="00C46A2F" w:rsidRDefault="00C46A2F">
      <w:pPr>
        <w:spacing w:after="0" w:line="240" w:lineRule="auto"/>
      </w:pPr>
      <w:r>
        <w:separator/>
      </w:r>
    </w:p>
    <w:p w14:paraId="05A28CB9" w14:textId="77777777" w:rsidR="00C46A2F" w:rsidRDefault="00C46A2F"/>
  </w:endnote>
  <w:endnote w:type="continuationSeparator" w:id="0">
    <w:p w14:paraId="595EC451" w14:textId="77777777" w:rsidR="00C46A2F" w:rsidRDefault="00C46A2F">
      <w:pPr>
        <w:spacing w:after="0" w:line="240" w:lineRule="auto"/>
      </w:pPr>
      <w:r>
        <w:continuationSeparator/>
      </w:r>
    </w:p>
    <w:p w14:paraId="239E37B6" w14:textId="77777777" w:rsidR="00C46A2F" w:rsidRDefault="00C4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4ECC" w14:textId="77777777" w:rsidR="00C46A2F" w:rsidRDefault="00C46A2F">
      <w:pPr>
        <w:spacing w:after="0" w:line="240" w:lineRule="auto"/>
      </w:pPr>
      <w:r>
        <w:separator/>
      </w:r>
    </w:p>
    <w:p w14:paraId="0291DC07" w14:textId="77777777" w:rsidR="00C46A2F" w:rsidRDefault="00C46A2F"/>
  </w:footnote>
  <w:footnote w:type="continuationSeparator" w:id="0">
    <w:p w14:paraId="517B2D9F" w14:textId="77777777" w:rsidR="00C46A2F" w:rsidRDefault="00C46A2F">
      <w:pPr>
        <w:spacing w:after="0" w:line="240" w:lineRule="auto"/>
      </w:pPr>
      <w:r>
        <w:continuationSeparator/>
      </w:r>
    </w:p>
    <w:p w14:paraId="7D91FAE9" w14:textId="77777777" w:rsidR="00C46A2F" w:rsidRDefault="00C46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47</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15</cp:revision>
  <cp:lastPrinted>2016-06-24T12:57:00Z</cp:lastPrinted>
  <dcterms:created xsi:type="dcterms:W3CDTF">2022-04-01T09:10:00Z</dcterms:created>
  <dcterms:modified xsi:type="dcterms:W3CDTF">2022-04-09T21:44:00Z</dcterms:modified>
  <cp:category/>
</cp:coreProperties>
</file>