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Regions</w:t>
      </w:r>
    </w:p>
    <w:p>
      <w:r>
        <w:t xml:space="preserve">This document was created </w:t>
      </w:r>
      <w:r>
        <w:rPr>
          <w:i/>
        </w:rPr>
        <w:t xml:space="preserve">2022-04-23-15_15 </w:t>
      </w:r>
      <w:r>
        <w:t xml:space="preserve">from the </w:t>
      </w:r>
      <w:r>
        <w:rPr>
          <w:b/>
        </w:rPr>
        <w:t xml:space="preserve">City of Johannesburg Metropolitan Municipality </w:t>
      </w:r>
      <w:r>
        <w:t>CP3 system.</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'Regions'</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2022-04-23</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2465</w:t>
      </w:r>
      <w:r>
        <w:t xml:space="preserve"> projects of which a total of </w:t>
      </w:r>
      <w:r>
        <w:rPr>
          <w:i/>
        </w:rPr>
        <w:t>27 (1.1%)</w:t>
      </w:r>
      <w:r>
        <w:t xml:space="preserve"> projects do not have any recorded intersection (overlap) with Regions.The following spatial features are available for queries using this API profile:</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1.1% projects that do not intersect with Regions feature when appraising this report.</w:t>
      </w:r>
    </w:p>
    <w:p>
      <w:pPr/>
      <w:r>
        <w:t>The 1.1%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Region - All Years</w:t>
      </w:r>
    </w:p>
    <w:p>
      <w:r>
        <w:t>Table 1.1 below provides a concise summary of key statistical insights regarding the number of projects that are requesting funding in each of the Regions.</w:t>
      </w:r>
    </w:p>
    <w:p>
      <w:pPr>
        <w:pStyle w:val="Caption"/>
      </w:pPr>
      <w:r>
        <w:t>Table 1.1: Regions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Regions - Overview</w:t>
            </w:r>
          </w:p>
        </w:tc>
        <w:tc>
          <w:tcPr>
            <w:tcW w:type="dxa" w:w="2551"/>
          </w:tcPr>
          <w:p>
            <w:r>
              <w:t>Total in all Regions:</w:t>
              <w:br/>
              <w:t>2438 projects</w:t>
            </w:r>
          </w:p>
        </w:tc>
        <w:tc>
          <w:tcPr>
            <w:tcW w:type="dxa" w:w="2551"/>
          </w:tcPr>
          <w:p>
            <w:r>
              <w:t>Average per Regions:</w:t>
              <w:br/>
              <w:t>348 projects</w:t>
            </w:r>
          </w:p>
        </w:tc>
        <w:tc>
          <w:tcPr>
            <w:tcW w:type="dxa" w:w="2551"/>
          </w:tcPr>
          <w:p>
            <w:r>
              <w:t>75th percentile of projects across all Regions:</w:t>
              <w:br/>
              <w:t>348.0 projects</w:t>
            </w:r>
          </w:p>
        </w:tc>
      </w:tr>
      <w:tr>
        <w:tc>
          <w:tcPr>
            <w:tcW w:type="dxa" w:w="2551"/>
          </w:tcPr>
          <w:p>
            <w:r>
              <w:t>The highest number of projects</w:t>
            </w:r>
          </w:p>
        </w:tc>
        <w:tc>
          <w:tcPr>
            <w:tcW w:type="dxa" w:w="2551"/>
          </w:tcPr>
          <w:p>
            <w:r>
              <w:t>Regions:</w:t>
              <w:br/>
              <w:t>In Region F</w:t>
            </w:r>
          </w:p>
        </w:tc>
        <w:tc>
          <w:tcPr>
            <w:tcW w:type="dxa" w:w="2551"/>
          </w:tcPr>
          <w:p>
            <w:r>
              <w:t>Number of projects in Region F:</w:t>
              <w:br/>
              <w:t>585</w:t>
            </w:r>
          </w:p>
        </w:tc>
        <w:tc>
          <w:tcPr>
            <w:tcW w:type="dxa" w:w="2551"/>
          </w:tcPr>
          <w:p>
            <w:r>
              <w:t>Percentage of total in Region F:</w:t>
              <w:br/>
              <w:t>24.00%</w:t>
            </w:r>
          </w:p>
        </w:tc>
      </w:tr>
      <w:tr>
        <w:tc>
          <w:tcPr>
            <w:tcW w:type="dxa" w:w="2551"/>
          </w:tcPr>
          <w:p>
            <w:r>
              <w:t>The lowest number of projects:</w:t>
            </w:r>
          </w:p>
        </w:tc>
        <w:tc>
          <w:tcPr>
            <w:tcW w:type="dxa" w:w="2551"/>
          </w:tcPr>
          <w:p>
            <w:r>
              <w:t>Regions:</w:t>
              <w:br/>
              <w:t>In Region D</w:t>
            </w:r>
          </w:p>
        </w:tc>
        <w:tc>
          <w:tcPr>
            <w:tcW w:type="dxa" w:w="2551"/>
          </w:tcPr>
          <w:p>
            <w:r>
              <w:t>Number of projects in Region D:</w:t>
              <w:br/>
              <w:t>260</w:t>
            </w:r>
          </w:p>
        </w:tc>
        <w:tc>
          <w:tcPr>
            <w:tcW w:type="dxa" w:w="2551"/>
          </w:tcPr>
          <w:p>
            <w:r>
              <w:t>Percentage of total in Region D:</w:t>
              <w:br/>
              <w:t>10.66%</w:t>
            </w:r>
          </w:p>
        </w:tc>
      </w:tr>
    </w:tbl>
    <w:p>
      <w:r>
        <w:br/>
        <w:t>Table 1.2 below provides a concise summary of key statistical insights regarding the total capital demand per Region.</w:t>
      </w:r>
    </w:p>
    <w:p>
      <w:pPr>
        <w:pStyle w:val="Caption"/>
      </w:pPr>
      <w:r>
        <w:t>Table 1.2: Regions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Regions - Overview</w:t>
            </w:r>
          </w:p>
        </w:tc>
        <w:tc>
          <w:tcPr>
            <w:tcW w:type="dxa" w:w="2551"/>
          </w:tcPr>
          <w:p>
            <w:r>
              <w:t>Total capital demand in all Regions:</w:t>
              <w:br/>
              <w:t>R10,811,043,838</w:t>
            </w:r>
          </w:p>
        </w:tc>
        <w:tc>
          <w:tcPr>
            <w:tcW w:type="dxa" w:w="2551"/>
          </w:tcPr>
          <w:p>
            <w:r>
              <w:t>The average capital demand per Regions:</w:t>
              <w:br/>
              <w:t>R1,544,434,834</w:t>
            </w:r>
          </w:p>
        </w:tc>
        <w:tc>
          <w:tcPr>
            <w:tcW w:type="dxa" w:w="2551"/>
          </w:tcPr>
          <w:p>
            <w:r>
              <w:t>The 75th percentile of capital demand for Regions:</w:t>
              <w:br/>
              <w:t>R1,909,509,391</w:t>
            </w:r>
          </w:p>
        </w:tc>
      </w:tr>
      <w:tr>
        <w:tc>
          <w:tcPr>
            <w:tcW w:type="dxa" w:w="2551"/>
          </w:tcPr>
          <w:p>
            <w:r>
              <w:t>The highest capital demand</w:t>
            </w:r>
          </w:p>
        </w:tc>
        <w:tc>
          <w:tcPr>
            <w:tcW w:type="dxa" w:w="2551"/>
          </w:tcPr>
          <w:p>
            <w:r>
              <w:t>Regions:</w:t>
              <w:br/>
              <w:t>In Region G</w:t>
            </w:r>
          </w:p>
        </w:tc>
        <w:tc>
          <w:tcPr>
            <w:tcW w:type="dxa" w:w="2551"/>
          </w:tcPr>
          <w:p>
            <w:r>
              <w:t>Capital Demand in Region G:</w:t>
              <w:br/>
              <w:t>R2,007,118,178</w:t>
            </w:r>
          </w:p>
        </w:tc>
        <w:tc>
          <w:tcPr>
            <w:tcW w:type="dxa" w:w="2551"/>
          </w:tcPr>
          <w:p>
            <w:r>
              <w:t>Percentage of total in Region G:</w:t>
              <w:br/>
              <w:t>18.57%</w:t>
            </w:r>
          </w:p>
        </w:tc>
      </w:tr>
      <w:tr>
        <w:tc>
          <w:tcPr>
            <w:tcW w:type="dxa" w:w="2551"/>
          </w:tcPr>
          <w:p>
            <w:r>
              <w:t>The lowest capital demand</w:t>
            </w:r>
          </w:p>
        </w:tc>
        <w:tc>
          <w:tcPr>
            <w:tcW w:type="dxa" w:w="2551"/>
          </w:tcPr>
          <w:p>
            <w:r>
              <w:t>Regions:</w:t>
              <w:br/>
              <w:t>In Region B</w:t>
            </w:r>
          </w:p>
        </w:tc>
        <w:tc>
          <w:tcPr>
            <w:tcW w:type="dxa" w:w="2551"/>
          </w:tcPr>
          <w:p>
            <w:r>
              <w:t>Capital Demand in Region B:</w:t>
              <w:br/>
              <w:t>R628,374,717</w:t>
            </w:r>
          </w:p>
        </w:tc>
        <w:tc>
          <w:tcPr>
            <w:tcW w:type="dxa" w:w="2551"/>
          </w:tcPr>
          <w:p>
            <w:r>
              <w:t>Percentage of total in Region B:</w:t>
              <w:br/>
              <w:t>5.81%</w:t>
            </w:r>
          </w:p>
        </w:tc>
      </w:tr>
    </w:tbl>
    <w:p>
      <w:r>
        <w:br/>
        <w:t>The number of projects per Region and the capital demand per Region needs to be looked at together for better insight. Figure 2 assists with further graphical insight into some of the numbers that are provided in Tables 1.1 and 1.2.</w:t>
      </w:r>
    </w:p>
    <w:p>
      <w:pPr>
        <w:pStyle w:val="Caption"/>
      </w:pPr>
      <w:r>
        <w:t>Figure 2: The single Region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Region is in </w:t>
      </w:r>
      <w:r>
        <w:rPr>
          <w:b/>
        </w:rPr>
        <w:t xml:space="preserve">Region F. </w:t>
      </w:r>
      <w:r>
        <w:rPr>
          <w:i/>
        </w:rPr>
        <w:t>That is 585 projects and this is 24.00% of the total number of projects.</w:t>
      </w:r>
      <w:r>
        <w:t xml:space="preserve">The highest capital demand in a single Region is in </w:t>
      </w:r>
      <w:r>
        <w:rPr>
          <w:b/>
        </w:rPr>
        <w:t xml:space="preserve">Region G. </w:t>
      </w:r>
      <w:r>
        <w:rPr>
          <w:i/>
        </w:rPr>
        <w:t>That is R2,007,118,178 and this amounts to 18.57% of the total capital demand.</w:t>
      </w:r>
    </w:p>
    <w:p>
      <w:r>
        <w:t>The following figures provide a bar graph representation of the number of projects per Region with the colour of the bars representing the level of capital demand in each of these Regions.</w:t>
      </w:r>
    </w:p>
    <w:p>
      <w:r>
        <w:br w:type="page"/>
      </w:r>
    </w:p>
    <w:p/>
    <w:p>
      <w:pPr>
        <w:pStyle w:val="Caption"/>
      </w:pPr>
      <w:r>
        <w:t>Figure 3.1: Projects and Capital Demand per Region (1/1)</w:t>
      </w:r>
    </w:p>
    <w:p>
      <w:r>
        <w:drawing>
          <wp:inline xmlns:a="http://schemas.openxmlformats.org/drawingml/2006/main" xmlns:pic="http://schemas.openxmlformats.org/drawingml/2006/picture">
            <wp:extent cx="5760000" cy="7854545"/>
            <wp:docPr id="163" name="Picture 163"/>
            <wp:cNvGraphicFramePr>
              <a:graphicFrameLocks noChangeAspect="1"/>
            </wp:cNvGraphicFramePr>
            <a:graphic>
              <a:graphicData uri="http://schemas.openxmlformats.org/drawingml/2006/picture">
                <pic:pic>
                  <pic:nvPicPr>
                    <pic:cNvPr id="0" name="fig3.11.png"/>
                    <pic:cNvPicPr/>
                  </pic:nvPicPr>
                  <pic:blipFill>
                    <a:blip r:embed="rId18"/>
                    <a:stretch>
                      <a:fillRect/>
                    </a:stretch>
                  </pic:blipFill>
                  <pic:spPr>
                    <a:xfrm>
                      <a:off x="0" y="0"/>
                      <a:ext cx="5760000" cy="7854545"/>
                    </a:xfrm>
                    <a:prstGeom prst="rect"/>
                  </pic:spPr>
                </pic:pic>
              </a:graphicData>
            </a:graphic>
          </wp:inline>
        </w:drawing>
      </w:r>
    </w:p>
    <w:p>
      <w:pPr>
        <w:pStyle w:val="Heading1"/>
      </w:pPr>
      <w:r>
        <w:t>Total Capital Demand per Region - All Years</w:t>
      </w:r>
    </w:p>
    <w:p>
      <w:r>
        <w:t>The following figures provide a histogram representation of the capital demand per Region. A colour breakdown is provided of each year's sub-total that contribute towards the overall total capital demand of each Region. Note that the capital demand beyond the first three years representing the Medium Term Expenditure Framework (MTREF) - years 2023, 2024 and 2025 -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r>
        <w:br w:type="page"/>
      </w:r>
    </w:p>
    <w:p/>
    <w:p>
      <w:pPr>
        <w:pStyle w:val="Caption"/>
      </w:pPr>
      <w:r>
        <w:t>Figure 4.1: Capital Demand per Region - All Years (1/1)</w:t>
      </w:r>
    </w:p>
    <w:p>
      <w:r>
        <w:drawing>
          <wp:inline xmlns:a="http://schemas.openxmlformats.org/drawingml/2006/main" xmlns:pic="http://schemas.openxmlformats.org/drawingml/2006/picture">
            <wp:extent cx="5760000" cy="7854545"/>
            <wp:docPr id="164" name="Picture 164"/>
            <wp:cNvGraphicFramePr>
              <a:graphicFrameLocks noChangeAspect="1"/>
            </wp:cNvGraphicFramePr>
            <a:graphic>
              <a:graphicData uri="http://schemas.openxmlformats.org/drawingml/2006/picture">
                <pic:pic>
                  <pic:nvPicPr>
                    <pic:cNvPr id="0" name="fig4.11.png"/>
                    <pic:cNvPicPr/>
                  </pic:nvPicPr>
                  <pic:blipFill>
                    <a:blip r:embed="rId19"/>
                    <a:stretch>
                      <a:fillRect/>
                    </a:stretch>
                  </pic:blipFill>
                  <pic:spPr>
                    <a:xfrm>
                      <a:off x="0" y="0"/>
                      <a:ext cx="5760000" cy="7854545"/>
                    </a:xfrm>
                    <a:prstGeom prst="rect"/>
                  </pic:spPr>
                </pic:pic>
              </a:graphicData>
            </a:graphic>
          </wp:inline>
        </w:drawing>
      </w:r>
    </w:p>
    <w:p>
      <w:pPr>
        <w:pStyle w:val="Heading1"/>
      </w:pPr>
      <w:r>
        <w:t>Total Capital Demand per Region - MTREF only</w:t>
      </w:r>
    </w:p>
    <w:p>
      <w:r>
        <w:t>Table 2 below provides a concise summary of key statistical insights regarding the total MTREF capital demand per Region.</w:t>
      </w:r>
    </w:p>
    <w:p>
      <w:pPr>
        <w:pStyle w:val="Caption"/>
      </w:pPr>
      <w:r>
        <w:t>Table 2: Regions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Regions - Overview</w:t>
            </w:r>
          </w:p>
        </w:tc>
        <w:tc>
          <w:tcPr>
            <w:tcW w:type="dxa" w:w="2551"/>
          </w:tcPr>
          <w:p>
            <w:r>
              <w:t>MTREF capital demand in all Regions:</w:t>
              <w:br/>
              <w:t>R10,360,543,838</w:t>
            </w:r>
          </w:p>
        </w:tc>
        <w:tc>
          <w:tcPr>
            <w:tcW w:type="dxa" w:w="2551"/>
          </w:tcPr>
          <w:p>
            <w:r>
              <w:t>The average MTREF capital demand per Region:</w:t>
              <w:br/>
              <w:t>R1,480,077,691</w:t>
            </w:r>
          </w:p>
        </w:tc>
        <w:tc>
          <w:tcPr>
            <w:tcW w:type="dxa" w:w="2551"/>
          </w:tcPr>
          <w:p>
            <w:r>
              <w:t>The 75th percentile of MTREF capital demand for Regions:</w:t>
              <w:br/>
              <w:t>R1,865,698,755</w:t>
            </w:r>
          </w:p>
        </w:tc>
      </w:tr>
      <w:tr>
        <w:tc>
          <w:tcPr>
            <w:tcW w:type="dxa" w:w="2551"/>
          </w:tcPr>
          <w:p>
            <w:r>
              <w:t>The highest MTREF capital demand</w:t>
            </w:r>
          </w:p>
        </w:tc>
        <w:tc>
          <w:tcPr>
            <w:tcW w:type="dxa" w:w="2551"/>
          </w:tcPr>
          <w:p>
            <w:r>
              <w:t>In Region:</w:t>
              <w:br/>
              <w:t>Region E</w:t>
            </w:r>
          </w:p>
        </w:tc>
        <w:tc>
          <w:tcPr>
            <w:tcW w:type="dxa" w:w="2551"/>
          </w:tcPr>
          <w:p>
            <w:r>
              <w:t>MTREF capital Demand in Region E:</w:t>
              <w:br/>
              <w:t>R1,998,157,286</w:t>
            </w:r>
          </w:p>
        </w:tc>
        <w:tc>
          <w:tcPr>
            <w:tcW w:type="dxa" w:w="2551"/>
          </w:tcPr>
          <w:p>
            <w:r>
              <w:t>Percentage of total MRTEF capital demand in Region E:</w:t>
              <w:br/>
              <w:t>19.29%</w:t>
            </w:r>
          </w:p>
        </w:tc>
      </w:tr>
      <w:tr>
        <w:tc>
          <w:tcPr>
            <w:tcW w:type="dxa" w:w="2551"/>
          </w:tcPr>
          <w:p>
            <w:r>
              <w:t xml:space="preserve">The lowest MTREF capital demand </w:t>
            </w:r>
          </w:p>
        </w:tc>
        <w:tc>
          <w:tcPr>
            <w:tcW w:type="dxa" w:w="2551"/>
          </w:tcPr>
          <w:p>
            <w:r>
              <w:t>In Region:</w:t>
              <w:br/>
              <w:t>Region B</w:t>
            </w:r>
          </w:p>
        </w:tc>
        <w:tc>
          <w:tcPr>
            <w:tcW w:type="dxa" w:w="2551"/>
          </w:tcPr>
          <w:p>
            <w:r>
              <w:t>MTREF capital Demand in Region B:</w:t>
              <w:br/>
              <w:t>R551,145,584</w:t>
            </w:r>
          </w:p>
        </w:tc>
        <w:tc>
          <w:tcPr>
            <w:tcW w:type="dxa" w:w="2551"/>
          </w:tcPr>
          <w:p>
            <w:r>
              <w:t>Percentage of total MTREF capital demand in Region B:</w:t>
              <w:br/>
              <w:t>5.32%</w:t>
            </w:r>
          </w:p>
        </w:tc>
      </w:tr>
    </w:tbl>
    <w:p>
      <w:r>
        <w:br/>
        <w:t>The following figures provide a histogram representation of the capital demand per Region. A colour breakdown is provided of each year's sub-total that contribute towards the overall MTREF total capital demand of each Region.</w:t>
      </w:r>
    </w:p>
    <w:p>
      <w:r>
        <w:br w:type="page"/>
      </w:r>
    </w:p>
    <w:p/>
    <w:p>
      <w:pPr>
        <w:pStyle w:val="Caption"/>
      </w:pPr>
      <w:r>
        <w:t>Figure 5.1: Capital Demand per Region - MTREF Period (1/1)</w:t>
      </w:r>
    </w:p>
    <w:p>
      <w:r>
        <w:drawing>
          <wp:inline xmlns:a="http://schemas.openxmlformats.org/drawingml/2006/main" xmlns:pic="http://schemas.openxmlformats.org/drawingml/2006/picture">
            <wp:extent cx="5760000" cy="7854545"/>
            <wp:docPr id="165" name="Picture 165"/>
            <wp:cNvGraphicFramePr>
              <a:graphicFrameLocks noChangeAspect="1"/>
            </wp:cNvGraphicFramePr>
            <a:graphic>
              <a:graphicData uri="http://schemas.openxmlformats.org/drawingml/2006/picture">
                <pic:pic>
                  <pic:nvPicPr>
                    <pic:cNvPr id="0" name="fig5.11.png"/>
                    <pic:cNvPicPr/>
                  </pic:nvPicPr>
                  <pic:blipFill>
                    <a:blip r:embed="rId20"/>
                    <a:stretch>
                      <a:fillRect/>
                    </a:stretch>
                  </pic:blipFill>
                  <pic:spPr>
                    <a:xfrm>
                      <a:off x="0" y="0"/>
                      <a:ext cx="5760000" cy="7854545"/>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