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mSCOA Regional Segment</w:t>
      </w:r>
    </w:p>
    <w:p>
      <w:r>
        <w:t xml:space="preserve">This document was created </w:t>
      </w:r>
      <w:r>
        <w:rPr>
          <w:i/>
        </w:rPr>
        <w:t xml:space="preserve">2022-03-31-11_04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mSCOA Regional Segment'</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1029</w:t>
      </w:r>
      <w:r>
        <w:t xml:space="preserve"> projects of which a total of </w:t>
      </w:r>
      <w:r>
        <w:rPr>
          <w:i/>
        </w:rPr>
        <w:t>27 (2.62%)</w:t>
      </w:r>
      <w:r>
        <w:t xml:space="preserve">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27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2.62% projects that do not intersect with any spatial feature when appraising this report because a similar proportion of non-intersecting projects may be present within the specific geographic feature queried.</w:t>
      </w:r>
    </w:p>
    <w:p>
      <w:pPr/>
      <w:r>
        <w:t>The 2.62%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r>
        <w:br w:type="page"/>
      </w:r>
    </w:p>
    <w:p>
      <w:pPr>
        <w:pStyle w:val="Heading1"/>
      </w:pPr>
      <w:r>
        <w:t>2. City of Tshwane mSCOA Regional Segment Analysis</w:t>
      </w:r>
    </w:p>
    <w:p>
      <w:r>
        <w:t xml:space="preserve">There is a total number of </w:t>
      </w:r>
      <w:r>
        <w:rPr>
          <w:i/>
        </w:rPr>
        <w:t>8</w:t>
      </w:r>
      <w:r>
        <w:t xml:space="preserve"> City of Tshwane mSCOA Regional Segment. Each of the City of Tshwane mSCOA Regional Segment has two important perspectives namely:</w:t>
      </w:r>
    </w:p>
    <w:p>
      <w:pPr>
        <w:pStyle w:val="ListBullet"/>
      </w:pPr>
      <w:r>
        <w:t>the number of  projects within each geographic area and;</w:t>
      </w:r>
    </w:p>
    <w:p>
      <w:pPr>
        <w:pStyle w:val="ListBullet"/>
      </w:pPr>
      <w:r>
        <w:t>the total capital demand per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