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pStyle w:val="Title"/>
      </w:pPr>
      <w:r>
        <w:t>Spatial Query Report</w:t>
      </w:r>
    </w:p>
    <w:p>
      <w:pPr>
        <w:pStyle w:val="Subtitle"/>
      </w:pPr>
      <w:r>
        <w:t>City of Tshwane mSCOA Regional Segments</w:t>
      </w:r>
    </w:p>
    <w:p>
      <w:r>
        <w:t xml:space="preserve">This document was created </w:t>
      </w:r>
      <w:r>
        <w:rPr>
          <w:i/>
        </w:rPr>
        <w:t xml:space="preserve">2022-03-31-11_12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The spatial feature that was selected for the purpose of this report was:</w:t>
        <w:br/>
      </w:r>
      <w:r>
        <w:rPr>
          <w:b/>
        </w:rPr>
        <w:t>'City of Tshwane mSCOA Regional Segments'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2022-03-31</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ListBullet"/>
      </w:pPr>
      <w:r>
        <w:t>City of Tshwane mSCOA Regional Segment</w:t>
      </w:r>
    </w:p>
    <w:p>
      <w:pPr>
        <w:pStyle w:val="ListBullet"/>
      </w:pPr>
      <w:r>
        <w:t>City of Tshwane Regions</w:t>
      </w:r>
    </w:p>
    <w:p>
      <w:pPr>
        <w:pStyle w:val="ListBullet"/>
      </w:pPr>
      <w:r>
        <w:t>City of Tshwane Wards</w:t>
      </w:r>
    </w:p>
    <w:p>
      <w:r>
        <w:drawing>
          <wp:inline xmlns:a="http://schemas.openxmlformats.org/drawingml/2006/main" xmlns:pic="http://schemas.openxmlformats.org/drawingml/2006/picture">
            <wp:extent cx="1080000" cy="831836"/>
            <wp:docPr id="1" name="Picture 1"/>
            <wp:cNvGraphicFramePr>
              <a:graphicFrameLocks noChangeAspect="1"/>
            </wp:cNvGraphicFramePr>
            <a:graphic>
              <a:graphicData uri="http://schemas.openxmlformats.org/drawingml/2006/picture">
                <pic:pic>
                  <pic:nvPicPr>
                    <pic:cNvPr id="0" name="CP3logo.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1. Introduction</w:t>
      </w:r>
    </w:p>
    <w:p>
      <w:r>
        <w:t xml:space="preserve">The baseline that was queried for this report contains </w:t>
      </w:r>
      <w:r>
        <w:rPr>
          <w:i/>
        </w:rPr>
        <w:t>1029</w:t>
      </w:r>
      <w:r>
        <w:t xml:space="preserve"> projects of which a total of </w:t>
      </w:r>
      <w:r>
        <w:rPr>
          <w:i/>
        </w:rPr>
        <w:t>27 (2.62%)</w:t>
      </w:r>
      <w:r>
        <w:t xml:space="preserve"> do not have any recorded intersection (overlap) with any of the following spatial features:</w:t>
      </w:r>
    </w:p>
    <w:p>
      <w:pPr>
        <w:pStyle w:val="ListBullet"/>
      </w:pPr>
      <w:r>
        <w:t>City of Tshwane mSCOA Regional Segment</w:t>
      </w:r>
    </w:p>
    <w:p>
      <w:pPr>
        <w:pStyle w:val="ListBullet"/>
      </w:pPr>
      <w:r>
        <w:t>City of Tshwane Regions</w:t>
      </w:r>
    </w:p>
    <w:p>
      <w:pPr>
        <w:pStyle w:val="ListBullet"/>
      </w:pPr>
      <w:r>
        <w:t>City of Tshwane Wards</w:t>
      </w:r>
    </w:p>
    <w:p>
      <w:pPr/>
      <w:r>
        <w:t>The probable reasons for the 27 non intersecting projects reported are that:</w:t>
      </w:r>
    </w:p>
    <w:p>
      <w:pPr>
        <w:pStyle w:val="ListBullet"/>
      </w:pPr>
      <w:r>
        <w:t>these projects simply do not have a location associated with them yet (most frequently the case with 'no-intersect' projects) or;</w:t>
      </w:r>
    </w:p>
    <w:p>
      <w:pPr>
        <w:pStyle w:val="ListBullet"/>
      </w:pPr>
      <w:r>
        <w:t>the location that was captured for some of these projects, may have been in the wrong place (e.g. outside the boundaries of Tshwane - this is very rarely the reason).</w:t>
      </w:r>
    </w:p>
    <w:p>
      <w:pPr/>
      <w:r>
        <w:t>It is important to take note of the 2.62% projects that do not intersect with any spatial feature when appraising this report because a similar proportion of non-intersecting projects may be present within the specific geographic feature queried.</w:t>
      </w:r>
    </w:p>
    <w:p>
      <w:pPr/>
      <w:r>
        <w:t>The 2.62%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2" name="Picture 2"/>
            <wp:cNvGraphicFramePr>
              <a:graphicFrameLocks noChangeAspect="1"/>
            </wp:cNvGraphicFramePr>
            <a:graphic>
              <a:graphicData uri="http://schemas.openxmlformats.org/drawingml/2006/picture">
                <pic:pic>
                  <pic:nvPicPr>
                    <pic:cNvPr id="0" name="fig1.png"/>
                    <pic:cNvPicPr/>
                  </pic:nvPicPr>
                  <pic:blipFill>
                    <a:blip r:embed="rId10"/>
                    <a:stretch>
                      <a:fillRect/>
                    </a:stretch>
                  </pic:blipFill>
                  <pic:spPr>
                    <a:xfrm>
                      <a:off x="0" y="0"/>
                      <a:ext cx="5400000" cy="3857143"/>
                    </a:xfrm>
                    <a:prstGeom prst="rect"/>
                  </pic:spPr>
                </pic:pic>
              </a:graphicData>
            </a:graphic>
          </wp:inline>
        </w:drawing>
      </w:r>
    </w:p>
    <w:p>
      <w:r>
        <w:br w:type="page"/>
      </w:r>
    </w:p>
    <w:p>
      <w:pPr>
        <w:pStyle w:val="Heading1"/>
      </w:pPr>
      <w:r>
        <w:t>2. City of Tshwane mSCOA Regional Segments Analysis</w:t>
      </w:r>
    </w:p>
    <w:p>
      <w:r>
        <w:t xml:space="preserve">There is a total number of </w:t>
      </w:r>
      <w:r>
        <w:rPr>
          <w:b/>
        </w:rPr>
        <w:t>8</w:t>
      </w:r>
      <w:r>
        <w:rPr>
          <w:i/>
        </w:rPr>
        <w:t xml:space="preserve"> City of Tshwane mSCOA Regional Segments.</w:t>
      </w:r>
      <w:r>
        <w:t xml:space="preserve"> Each of the </w:t>
      </w:r>
      <w:r>
        <w:rPr>
          <w:i/>
        </w:rPr>
        <w:t>City of Tshwane mSCOA Regional Segments</w:t>
      </w:r>
      <w:r>
        <w:t xml:space="preserve"> has two important perspectives namely:</w:t>
      </w:r>
    </w:p>
    <w:p>
      <w:pPr>
        <w:pStyle w:val="ListBullet"/>
      </w:pPr>
      <w:r>
        <w:t>the number of  projects within each geographic area and;</w:t>
      </w:r>
    </w:p>
    <w:p>
      <w:pPr>
        <w:pStyle w:val="ListBullet"/>
      </w:pPr>
      <w:r>
        <w:t>the total capital demand per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