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2022-03-31-15_10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Pr>
        <w:pStyle w:val="Heading1"/>
      </w:pPr>
      <w:r>
        <w:t>2. 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ListBullet"/>
      </w:pPr>
      <w:r>
        <w:t>the number of  projects within each geographic area and;</w:t>
      </w:r>
    </w:p>
    <w:p>
      <w:pPr>
        <w:pStyle w:val="ListBullet"/>
      </w:pPr>
      <w:r>
        <w:t>the total capital demand per area.</w:t>
      </w:r>
    </w:p>
    <w:p>
      <w:pPr>
        <w:pStyle w:val="Caption"/>
      </w:pPr>
      <w:r>
        <w:t>Figure 2: Projects and Capital Demand per City of Tshwane Wards</w:t>
      </w:r>
    </w:p>
    <w:p>
      <w:r>
        <w:drawing>
          <wp:inline xmlns:a="http://schemas.openxmlformats.org/drawingml/2006/main" xmlns:pic="http://schemas.openxmlformats.org/drawingml/2006/picture">
            <wp:extent cx="3960000" cy="5657143"/>
            <wp:docPr id="3" name="Picture 3"/>
            <wp:cNvGraphicFramePr>
              <a:graphicFrameLocks noChangeAspect="1"/>
            </wp:cNvGraphicFramePr>
            <a:graphic>
              <a:graphicData uri="http://schemas.openxmlformats.org/drawingml/2006/picture">
                <pic:pic>
                  <pic:nvPicPr>
                    <pic:cNvPr id="0" name="fig2.png"/>
                    <pic:cNvPicPr/>
                  </pic:nvPicPr>
                  <pic:blipFill>
                    <a:blip r:embed="rId11"/>
                    <a:stretch>
                      <a:fillRect/>
                    </a:stretch>
                  </pic:blipFill>
                  <pic:spPr>
                    <a:xfrm>
                      <a:off x="0" y="0"/>
                      <a:ext cx="3960000" cy="565714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