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Project Synthesis — Work to Date</w:t>
      </w:r>
    </w:p>
    <w:p>
      <w:pPr>
        <w:spacing w:after="40"/>
      </w:pPr>
      <w:r>
        <w:rPr>
          <w:i/>
          <w:iCs/>
          <w:sz w:val="24"/>
          <w:szCs w:val="24"/>
        </w:rPr>
        <w:t xml:space="preserve">Exploring the Use of Artificial Intelligence and Music-Based Therapy in Supporting Individuals with Drug Addiction and Substance Use Disorder</w:t>
      </w:r>
    </w:p>
    <w:p>
      <w:pPr>
        <w:spacing w:after="40"/>
      </w:pPr>
      <w:r>
        <w:t xml:space="preserve">Researcher: Bernard G.     </w:t>
      </w:r>
      <w:r>
        <w:t xml:space="preserve">Prepared: 17 June 2026     </w:t>
      </w:r>
      <w:r>
        <w:t xml:space="preserve">Status: consolidated project reference</w:t>
      </w:r>
    </w:p>
    <w:p>
      <w:pPr>
        <w:pBdr>
          <w:bottom w:val="single" w:color="2E75B6" w:sz="6" w:space="1"/>
        </w:pBdr>
        <w:spacing w:after="220"/>
      </w:pPr>
      <w:r>
        <w:t xml:space="preserve"/>
      </w:r>
    </w:p>
    <w:p>
      <w:pPr>
        <w:pStyle w:val="Heading1"/>
      </w:pPr>
      <w:r>
        <w:t xml:space="preserve">1. Purpose of this document</w:t>
      </w:r>
    </w:p>
    <w:p>
      <w:pPr>
        <w:spacing w:after="160" w:line="288"/>
      </w:pPr>
      <w:r>
        <w:t xml:space="preserve">This document consolidates the work completed on the study so far into a single reference. It records what the study is, the conceptual framework that organises it, the methodological decisions that have been locked, the research questions, the deliverables produced, and the principles that govern the work — together with the open task and the next phases. It is a synthesis of progress, not a literature review or a finished chapter; where it characterises evidence it does so to orient the work, and every such characterisation should be re-verified against primary sources before it enters the thesis.</w:t>
      </w:r>
    </w:p>
    <w:p>
      <w:pPr>
        <w:pStyle w:val="Heading1"/>
      </w:pPr>
      <w:r>
        <w:t xml:space="preserve">2. The study in brief</w:t>
      </w:r>
    </w:p>
    <w:p>
      <w:pPr>
        <w:spacing w:after="160" w:line="288"/>
      </w:pPr>
      <w:r>
        <w:t xml:space="preserve">The study examines how artificial intelligence tools and music-based therapeutic interventions can support recovery from substance use disorder. AI and music-based tools are framed throughout as adjuncts to professional, evidence-based treatment, never as replacements for it. Language is person-first (“people with a substance use disorder,” not “addicts”), and the burden of proof for any therapeutic claim sits with the evidence rather than with the appeal of the technology. Privacy, equity of access, and the risk of over-reliance on automated tools are treated as first-class design concerns rather than closing caveats.</w:t>
      </w:r>
    </w:p>
    <w:p>
      <w:pPr>
        <w:pStyle w:val="Heading1"/>
      </w:pPr>
      <w:r>
        <w:t xml:space="preserve">3. Conceptual framework: the four pillars</w:t>
      </w:r>
    </w:p>
    <w:p>
      <w:pPr>
        <w:spacing w:after="160" w:line="288"/>
      </w:pPr>
      <w:r>
        <w:t xml:space="preserve">The study is organised around four functions that AI and music-based interventions might serve in recovery. These pillars are the organising spine for the literature, the methods, and the analysis. They are analytically distinct but empirically entangled — an intervention that improves emotional regulation may, through that mechanism, reduce craving — and part of the contribution of the work is to be precise about which outcomes are actually being measured.</w:t>
      </w:r>
    </w:p>
    <w:p>
      <w:pPr>
        <w:spacing w:after="160" w:line="288"/>
      </w:pPr>
      <w:r>
        <w:rPr>
          <w:b/>
          <w:bCs/>
        </w:rPr>
        <w:t xml:space="preserve">Emotional regulation. </w:t>
      </w:r>
      <w:r>
        <w:t xml:space="preserve">The capacity to recognise, tolerate, and modulate affective states without recourse to substance use. Music bears on this through mood induction, relaxation, and affect-focused techniques; AI bears on it through affect detection and content that adapts to a detected or reported emotional state.</w:t>
      </w:r>
    </w:p>
    <w:p>
      <w:pPr>
        <w:spacing w:after="160" w:line="288"/>
      </w:pPr>
      <w:r>
        <w:rPr>
          <w:b/>
          <w:bCs/>
        </w:rPr>
        <w:t xml:space="preserve">Craving reduction. </w:t>
      </w:r>
      <w:r>
        <w:t xml:space="preserve">The attenuation of the urge to use. This is the pillar with the most direct clinical evidence on the music side, but also the one where music is most clearly double-edged, because music can act as a conditioned cue that induces craving. AI bears on it through lapse- and craving-prediction models and just-in-time adaptive interventions.</w:t>
      </w:r>
    </w:p>
    <w:p>
      <w:pPr>
        <w:spacing w:after="160" w:line="288"/>
      </w:pPr>
      <w:r>
        <w:rPr>
          <w:b/>
          <w:bCs/>
        </w:rPr>
        <w:t xml:space="preserve">Self-expression. </w:t>
      </w:r>
      <w:r>
        <w:t xml:space="preserve">The use of creative and communicative activity to process experience, build insight, and rebuild identity beyond the “addict” role. Clinically this maps onto established music therapy techniques; on the AI side it maps onto generative co-creation tools, which are largely unvalidated in this population.</w:t>
      </w:r>
    </w:p>
    <w:p>
      <w:pPr>
        <w:spacing w:after="160" w:line="288"/>
      </w:pPr>
      <w:r>
        <w:rPr>
          <w:b/>
          <w:bCs/>
        </w:rPr>
        <w:t xml:space="preserve">Personalised recovery support. </w:t>
      </w:r>
      <w:r>
        <w:t xml:space="preserve">The tailoring of support to the individual over time — content, timing, intensity, and modality. This is where recommender systems, conversational agents, and machine-learning personalisation are most relevant, and also where the ethical stakes are highest.</w:t>
      </w:r>
    </w:p>
    <w:p>
      <w:pPr>
        <w:pStyle w:val="Heading1"/>
      </w:pPr>
      <w:r>
        <w:t xml:space="preserve">4. Methodological decisions locked</w:t>
      </w:r>
    </w:p>
    <w:p>
      <w:pPr>
        <w:spacing w:after="160" w:line="288"/>
      </w:pPr>
      <w:r>
        <w:t xml:space="preserve">The scoping and framing phase is complete. Three binding decisions are now fixed and carry through all subsequent work.</w:t>
      </w:r>
    </w:p>
    <w:p>
      <w:pPr>
        <w:spacing w:after="160" w:line="288"/>
      </w:pPr>
      <w:r>
        <w:rPr>
          <w:b/>
          <w:bCs/>
        </w:rPr>
        <w:t xml:space="preserve">Review type. </w:t>
      </w:r>
      <w:r>
        <w:t xml:space="preserve">A scoping review reported against PRISMA-ScR, culminating in a proposed conceptual framework that maps AI and music-based interventions onto the four pillars. A meta-analysis is neither feasible in the timeframe nor the appropriate method for a heterogeneous, emerging, cross-disciplinary field; the scoping search provides transparent, reproducible coverage while the framework carries the original contribution. A standalone conceptual synthesis was rejected as too dependent on the framework's quality and lacking the transparent search examiners increasingly expect.</w:t>
      </w:r>
    </w:p>
    <w:p>
      <w:pPr>
        <w:spacing w:after="160" w:line="288"/>
      </w:pPr>
      <w:r>
        <w:rPr>
          <w:b/>
          <w:bCs/>
        </w:rPr>
        <w:t xml:space="preserve">Synthesis approach. </w:t>
      </w:r>
      <w:r>
        <w:t xml:space="preserve">The music-based and AI literatures are searched and synthesised separately against the shared four-pillar spine, rather than insisting on the three-way intersection of AI, music, and SUD, which is expected to be very thin. The size of that intersection is reported as a finding in its own right; the framework, not the empirical overlap, is the bridge between the two halves.</w:t>
      </w:r>
    </w:p>
    <w:p>
      <w:pPr>
        <w:spacing w:after="160" w:line="288"/>
      </w:pPr>
      <w:r>
        <w:rPr>
          <w:b/>
          <w:bCs/>
        </w:rPr>
        <w:t xml:space="preserve">Population scope. </w:t>
      </w:r>
      <w:r>
        <w:t>The review scope is people with a substance use disorder (SUD), SUD-wide rather than AUD-anchored. Alcohol use disorder (AUD) receives particular attention as the sub-population where the AI literature is densest — ecological momentary assessment, just-in-time adaptive interventions, recommender work, and the Moniz-Lewis perspective all sit here — but substance-specific work is preferred wherever available across the full SUD scope. Broader SUD evidence is admitted where substance-specific work is absent — chiefly on the music-therapy side, where the anchoring synthesis (Ghetti et al., 2022) is SUD-broad — and every such instance is flagged explicitly rather than silently generalised.</w:t>
      </w:r>
    </w:p>
    <w:p>
      <w:pPr>
        <w:pStyle w:val="Heading1"/>
      </w:pPr>
      <w:r>
        <w:t xml:space="preserve">5. Research questions</w:t>
      </w:r>
    </w:p>
    <w:p>
      <w:pPr>
        <w:spacing w:after="160" w:line="288"/>
      </w:pPr>
      <w:r>
        <w:rPr>
          <w:b/>
          <w:bCs/>
        </w:rPr>
        <w:t xml:space="preserve">Overarching. </w:t>
      </w:r>
      <w:r>
        <w:t>In what ways, and with what evidentiary support, can artificial intelligence and music-based interventions potentiate FDA-approved medications and function as adjuncts to professional treatment for people with a substance use disorder?</w:t>
      </w:r>
    </w:p>
    <w:p>
      <w:pPr>
        <w:spacing w:after="120" w:line="288"/>
        <w:ind w:left="360"/>
      </w:pPr>
      <w:r>
        <w:rPr>
          <w:b/>
          <w:bCs/>
        </w:rPr>
        <w:t xml:space="preserve">RQ1 (Emotional regulation). </w:t>
      </w:r>
      <w:r>
        <w:t xml:space="preserve">What is the evidence that music-based interventions and AI-enabled affective tools improve emotional regulation, and through what proposed mechanisms?</w:t>
      </w:r>
    </w:p>
    <w:p>
      <w:pPr>
        <w:spacing w:after="120" w:line="288"/>
        <w:ind w:left="360"/>
      </w:pPr>
      <w:r>
        <w:rPr>
          <w:b/>
          <w:bCs/>
        </w:rPr>
        <w:t xml:space="preserve">RQ2 (Craving). </w:t>
      </w:r>
      <w:r>
        <w:t xml:space="preserve">What is the evidence that these tools reduce craving — and under what conditions might music instead act as a craving cue?</w:t>
      </w:r>
    </w:p>
    <w:p>
      <w:pPr>
        <w:spacing w:after="120" w:line="288"/>
        <w:ind w:left="360"/>
      </w:pPr>
      <w:r>
        <w:rPr>
          <w:b/>
          <w:bCs/>
        </w:rPr>
        <w:t xml:space="preserve">RQ3 (Self-expression). </w:t>
      </w:r>
      <w:r>
        <w:t xml:space="preserve">How do music-based therapeutic techniques and AI co-creation tools support self-expression and identity reconstruction in recovery?</w:t>
      </w:r>
    </w:p>
    <w:p>
      <w:pPr>
        <w:spacing w:after="120" w:line="288"/>
        <w:ind w:left="360"/>
      </w:pPr>
      <w:r>
        <w:rPr>
          <w:b/>
          <w:bCs/>
        </w:rPr>
        <w:t xml:space="preserve">RQ4 (Personalisation). </w:t>
      </w:r>
      <w:r>
        <w:t xml:space="preserve">How can AI personalise recovery support across time, and what are the limits and risks of doing so?</w:t>
      </w:r>
    </w:p>
    <w:p>
      <w:pPr>
        <w:spacing w:after="120" w:line="288"/>
        <w:ind w:left="360"/>
      </w:pPr>
      <w:r>
        <w:rPr>
          <w:b/>
          <w:bCs/>
        </w:rPr>
        <w:t xml:space="preserve">RQ5 (Ethics, cross-cutting). </w:t>
      </w:r>
      <w:r>
        <w:t xml:space="preserve">What ethical, methodological, and equity considerations should govern the responsible development and study of these tools?</w:t>
      </w:r>
    </w:p>
    <w:p>
      <w:pPr>
        <w:pStyle w:val="Heading1"/>
      </w:pPr>
      <w:r>
        <w:t xml:space="preserve">6. Deliverables produced</w:t>
      </w:r>
    </w:p>
    <w:p>
      <w:pPr>
        <w:spacing w:after="160" w:line="288"/>
      </w:pPr>
      <w:r>
        <w:t xml:space="preserve">The following materials have been produced and form the working infrastructure of the project. All are in Word format, academic prose-led with clear headings, and apply stage-neutral language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E7EEF5" w:val="clear"/>
            <w:tcMar>
              <w:top w:type="dxa" w:w="80"/>
              <w:left w:type="dxa" w:w="120"/>
              <w:bottom w:type="dxa" w:w="80"/>
              <w:right w:type="dxa" w:w="120"/>
            </w:tcMar>
          </w:tcPr>
          <w:p>
            <w:pPr>
              <w:spacing w:after="0" w:line="276"/>
            </w:pPr>
            <w:r>
              <w:rPr>
                <w:b/>
                <w:bCs/>
              </w:rPr>
              <w:t xml:space="preserve">Deliverable</w:t>
            </w:r>
          </w:p>
        </w:tc>
        <w:tc>
          <w:tcPr>
            <w:tcW w:type="dxa" w:w="6660"/>
            <w:tcBorders>
              <w:top w:val="single" w:color="CCCCCC" w:sz="1"/>
              <w:left w:val="single" w:color="CCCCCC" w:sz="1"/>
              <w:bottom w:val="single" w:color="CCCCCC" w:sz="1"/>
              <w:right w:val="single" w:color="CCCCCC" w:sz="1"/>
            </w:tcBorders>
            <w:shd w:fill="E7EEF5" w:val="clear"/>
            <w:tcMar>
              <w:top w:type="dxa" w:w="80"/>
              <w:left w:type="dxa" w:w="120"/>
              <w:bottom w:type="dxa" w:w="80"/>
              <w:right w:type="dxa" w:w="120"/>
            </w:tcMar>
          </w:tcPr>
          <w:p>
            <w:pPr>
              <w:spacing w:after="0" w:line="276"/>
            </w:pPr>
            <w:r>
              <w:rPr>
                <w:b/>
                <w:bCs/>
              </w:rPr>
              <w:t xml:space="preserve">Contents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Project instructions and memory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Role, domain framing, source-rigour standards, terminology precision, tone, and the ethical commitments that govern all work in this project. Establishes the four pillars as the organising framework.</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Research strategy and plan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Full strategy, plan, and working instructions, grounded in current evidence: the four pillars, an orientation to the evidence base, the methodological options, search and sourcing strategy, the ethical framework, a phased plan, and standing instructions for written output. Anchored on Ghetti et al. (2022) for music therapy and the craving-cue paradox as a central constraint.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Research tracker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A phased tracker with clickable checkbox controls, milestone statements per phase, and three supervisor checkpoints positioned at the points where a stalled decision is most likely to derail the timeline.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AI dimension expansion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A typology of five AI tool categories — self-monitoring and digital self-management (including the prescription digital therapeutics reSET and reSET-O and their commercial history), gamification and engagement design, wellness metrics and digital biomarkers, predictive analytics, and just-in-time adaptive interventions — each mapped to the pillars with evidence grades and ethics flags. Produced to correct an under-weighting of the AI side relative to the more established music literature.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Cadence concept document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A product brief for a music-supported recovery companion app: the core daily loop, a music library with safe / neutral / trigger tagging, an AI monitoring layer, Spotify API integration notes (including the November 2024 deprecation of audio-features and recommendations endpoints for new apps), clinically grounded gamification that rewards process rather than abstinence, a visual design language, technical architecture, safety-by-design principles, and a scoped MVP.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Protocol skeleton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A one-page protocol skeleton folding in the finalised research questions and the three locked scope decisions, structured across eight sections: scope decisions, review questions, PCC eligibility criteria, information sources and search approach, selection and charting, synthesis and framework, cross-cutting ethical considerations, and orienting reading. Stage-neutral language applied throughout.</w:t>
            </w:r>
          </w:p>
        </w:tc>
      </w:tr>
    </w:tbl>
    <w:p>
      <w:pPr>
        <w:spacing w:after="40"/>
      </w:pPr>
      <w:r>
        <w:t xml:space="preserve"/>
      </w:r>
    </w:p>
    <w:p>
      <w:pPr>
        <w:pStyle w:val="Heading1"/>
      </w:pPr>
      <w:r>
        <w:t xml:space="preserve">7. Governing principles and key learnings</w:t>
      </w:r>
    </w:p>
    <w:p>
      <w:pPr>
        <w:pStyle w:val="ListParagraph"/>
        <w:numPr>
          <w:ilvl w:val="0"/>
          <w:numId w:val="2"/>
        </w:numPr>
        <w:spacing w:after="100" w:line="288"/>
      </w:pPr>
      <w:r>
        <w:rPr>
          <w:b/>
          <w:bCs/>
        </w:rPr>
        <w:t xml:space="preserve">The craving-cue paradox is a first-class constraint. </w:t>
      </w:r>
      <w:r>
        <w:t xml:space="preserve">Because music can trigger as well as soothe craving, the craving pillar cannot be framed simply as “music reduces craving.” Music is a powerful affective and associative stimulus whose effect is context-, person-, and content-dependent. This is treated as a central design constraint throughout, not a footnote.</w:t>
      </w:r>
    </w:p>
    <w:p>
      <w:pPr>
        <w:pStyle w:val="ListParagraph"/>
        <w:numPr>
          <w:ilvl w:val="0"/>
          <w:numId w:val="2"/>
        </w:numPr>
        <w:spacing w:after="100" w:line="288"/>
      </w:pPr>
      <w:r>
        <w:rPr>
          <w:b/>
          <w:bCs/>
        </w:rPr>
        <w:t xml:space="preserve">Evidence is graded honestly. </w:t>
      </w:r>
      <w:r>
        <w:t xml:space="preserve">Every key finding is tagged as established (consistent RCT or meta-analytic support), emerging (early trials or feasibility work), or speculative (proposed mechanism, no direct evidence in the population). This labelling is the spine of an honest contribution in a field prone to hype.</w:t>
      </w:r>
    </w:p>
    <w:p>
      <w:pPr>
        <w:pStyle w:val="ListParagraph"/>
        <w:numPr>
          <w:ilvl w:val="0"/>
          <w:numId w:val="2"/>
        </w:numPr>
        <w:spacing w:after="100" w:line="288"/>
      </w:pPr>
      <w:r>
        <w:rPr>
          <w:b/>
          <w:bCs/>
        </w:rPr>
        <w:t xml:space="preserve">The four pillars are the spine. </w:t>
      </w:r>
      <w:r>
        <w:t xml:space="preserve">All ideas, sources, and findings map back to the four pillars, with each substantive section stating which pillar it serves, the proposed mechanism, the outcome measured, and the strength of evidence.</w:t>
      </w:r>
    </w:p>
    <w:p>
      <w:pPr>
        <w:pStyle w:val="ListParagraph"/>
        <w:numPr>
          <w:ilvl w:val="0"/>
          <w:numId w:val="2"/>
        </w:numPr>
        <w:spacing w:after="100" w:line="288"/>
      </w:pPr>
      <w:r>
        <w:rPr>
          <w:b/>
          <w:bCs/>
        </w:rPr>
        <w:t xml:space="preserve">Separate synthesis over a sparse intersection. </w:t>
      </w:r>
      <w:r>
        <w:t xml:space="preserve">Synthesising the AI and music literatures separately against shared pillars is more tractable and more honest than insisting on the thin three-way intersection.</w:t>
      </w:r>
    </w:p>
    <w:p>
      <w:pPr>
        <w:pStyle w:val="ListParagraph"/>
        <w:numPr>
          <w:ilvl w:val="0"/>
          <w:numId w:val="2"/>
        </w:numPr>
        <w:spacing w:after="100" w:line="288"/>
      </w:pPr>
      <w:r>
        <w:rPr>
          <w:b/>
          <w:bCs/>
        </w:rPr>
        <w:t xml:space="preserve">Equity and over-reliance are surfaced proactively. </w:t>
      </w:r>
      <w:r>
        <w:t xml:space="preserve">Barriers such as the need for a paid streaming tier, and the risk of over-reliance on automated tools — especially a conversational agent during a crisis — are raised next to the claims they qualify, not deferred to a limitations section.</w:t>
      </w:r>
    </w:p>
    <w:p>
      <w:pPr>
        <w:pStyle w:val="ListParagraph"/>
        <w:numPr>
          <w:ilvl w:val="0"/>
          <w:numId w:val="2"/>
        </w:numPr>
        <w:spacing w:after="100" w:line="288"/>
      </w:pPr>
      <w:r>
        <w:rPr>
          <w:b/>
          <w:bCs/>
        </w:rPr>
        <w:t xml:space="preserve">Terminological precision is maintained. </w:t>
      </w:r>
      <w:r>
        <w:t xml:space="preserve">Music therapy delivered by a credentialed therapist, music-based interventions more broadly, and consumer music listening are kept distinct, as are SUD severity levels; terms are defined on first use.</w:t>
      </w:r>
    </w:p>
    <w:p>
      <w:pPr>
        <w:pStyle w:val="ListParagraph"/>
        <w:numPr>
          <w:ilvl w:val="0"/>
          <w:numId w:val="2"/>
        </w:numPr>
        <w:spacing w:after="100" w:line="288"/>
      </w:pPr>
      <w:r>
        <w:rPr>
          <w:b/>
          <w:bCs/>
        </w:rPr>
        <w:t xml:space="preserve">Claims are verified before assertion. </w:t>
      </w:r>
      <w:r>
        <w:t xml:space="preserve">Any empirical or factual claim about a current tool, study, or statistic is checked against an up-to-date primary source rather than reproduced from memory.</w:t>
      </w:r>
    </w:p>
    <w:p>
      <w:pPr>
        <w:pStyle w:val="Heading1"/>
      </w:pPr>
      <w:r>
        <w:t xml:space="preserve">8. Current state and open task</w:t>
      </w:r>
    </w:p>
    <w:p>
      <w:pPr>
        <w:spacing w:after="160" w:line="288"/>
      </w:pPr>
      <w:r>
        <w:t>The scoping and framing phase is complete: the design, synthesis approach, and population scope are locked; the research questions are finalised; the protocol skeleton (SUD_Protocol_Skeleton.docx) is ready for supervisor sign-off; and all eight key orienting citations, including Silverman et al. (2023), which anchors the craving-cue paradox, Ghetti et al. (2022), and Moniz-Lewis et al. (2025), have been verified against primary/publisher records. Phase 2 (search strategy and eligibility criteria), Phase 3 (PRISMA-ScR flow diagram template), and Phase 4 (pillar-keyed evidence extraction matrix) have also been drafted ahead of sign-off, so they are ready the moment the supervisor approves the protocol. The immediate open task remains presenting the protocol skeleton and search strategy to the supervisor for sign-off — the sole gate to running the actual literature search.</w:t>
      </w:r>
    </w:p>
    <w:p>
      <w:pPr>
        <w:pStyle w:val="Heading1"/>
      </w:pPr>
      <w:r>
        <w:t xml:space="preserve">9. On the horizon</w:t>
      </w:r>
    </w:p>
    <w:p>
      <w:pPr>
        <w:pStyle w:val="ListParagraph"/>
        <w:numPr>
          <w:ilvl w:val="0"/>
          <w:numId w:val="2"/>
        </w:numPr>
        <w:spacing w:after="100" w:line="288"/>
      </w:pPr>
      <w:r>
        <w:t xml:space="preserve">Supervisor checkpoint review of the protocol skeleton and research questions.</w:t>
      </w:r>
    </w:p>
    <w:p>
      <w:pPr>
        <w:pStyle w:val="ListParagraph"/>
        <w:numPr>
          <w:ilvl w:val="0"/>
          <w:numId w:val="2"/>
        </w:numPr>
        <w:spacing w:after="100" w:line="288"/>
      </w:pPr>
      <w:r>
        <w:t xml:space="preserve">Finalisation of Boolean search strings, inclusion and exclusion criteria, and appraisal tools, with protocol registration where eligible.</w:t>
      </w:r>
    </w:p>
    <w:p>
      <w:pPr>
        <w:pStyle w:val="ListParagraph"/>
        <w:numPr>
          <w:ilvl w:val="0"/>
          <w:numId w:val="2"/>
        </w:numPr>
        <w:spacing w:after="100" w:line="288"/>
      </w:pPr>
      <w:r>
        <w:t xml:space="preserve">Literature search execution across databases under the locked PRISMA-ScR framework, with deduplication, screening, and a logged PRISMA flow.</w:t>
      </w:r>
    </w:p>
    <w:p>
      <w:pPr>
        <w:pStyle w:val="ListParagraph"/>
        <w:numPr>
          <w:ilvl w:val="0"/>
          <w:numId w:val="2"/>
        </w:numPr>
        <w:spacing w:after="100" w:line="288"/>
      </w:pPr>
      <w:r>
        <w:t xml:space="preserve">Quality appraisal and extraction into a pillar-keyed evidence matrix with strength-of-evidence tags.</w:t>
      </w:r>
    </w:p>
    <w:p>
      <w:pPr>
        <w:pStyle w:val="ListParagraph"/>
        <w:numPr>
          <w:ilvl w:val="0"/>
          <w:numId w:val="2"/>
        </w:numPr>
        <w:spacing w:after="100" w:line="288"/>
      </w:pPr>
      <w:r>
        <w:t xml:space="preserve">Separate synthesis of the AI and music-based literatures against the four-pillar spine.</w:t>
      </w:r>
    </w:p>
    <w:p>
      <w:pPr>
        <w:pStyle w:val="ListParagraph"/>
        <w:numPr>
          <w:ilvl w:val="0"/>
          <w:numId w:val="2"/>
        </w:numPr>
        <w:spacing w:after="100" w:line="288"/>
      </w:pPr>
      <w:r>
        <w:t xml:space="preserve">Construction of the proposed conceptual framework from the synthesised findings, with primary empirical work reserved for future research.</w:t>
      </w:r>
    </w:p>
    <w:p>
      <w:pPr>
        <w:pStyle w:val="Heading1"/>
      </w:pPr>
      <w:r>
        <w:t xml:space="preserve">Primary anchoring sources</w:t>
      </w:r>
    </w:p>
    <w:p>
      <w:pPr>
        <w:spacing w:after="160" w:line="288"/>
      </w:pPr>
      <w:r>
        <w:t xml:space="preserve">These are the working anchors carried through the project. Each should be confirmed and expanded against the primary record.</w:t>
      </w:r>
    </w:p>
    <w:p>
      <w:pPr>
        <w:pStyle w:val="ListParagraph"/>
        <w:numPr>
          <w:ilvl w:val="0"/>
          <w:numId w:val="2"/>
        </w:numPr>
        <w:spacing w:after="100" w:line="288"/>
      </w:pPr>
      <w:r>
        <w:t>Ghetti, C., Chen, X.-J., Brenner, A. K., Hakvoort, L. G., Lien, L., Fachner, J., &amp; Gold, C. (2022). Music therapy for people with substance use disorders. Cochrane Database of Systematic Reviews, 2022(5): CD012576. https://doi.org/10.1002/14651858.CD012576.pub3</w:t>
      </w:r>
    </w:p>
    <w:p>
      <w:pPr>
        <w:pStyle w:val="ListParagraph"/>
        <w:numPr>
          <w:ilvl w:val="0"/>
          <w:numId w:val="2"/>
        </w:numPr>
        <w:spacing w:after="100" w:line="288"/>
      </w:pPr>
      <w:r>
        <w:t>Silverman, M. J., Bourdaghs, S., Abbazio, J., &amp; Riegelman, A. (2023). A systematic review of music-induced substance craving. Musicae Scientiae, 27(1). https://doi.org/10.1177/10298649211030314</w:t>
      </w:r>
      <w:r>
        <w:rPr>
          <w:i/>
          <w:iCs/>
        </w:rPr>
        <w:t xml:space="preserve"> Verified against publisher record.</w:t>
      </w:r>
    </w:p>
    <w:p>
      <w:pPr>
        <w:pStyle w:val="ListParagraph"/>
        <w:numPr>
          <w:ilvl w:val="0"/>
          <w:numId w:val="2"/>
        </w:numPr>
        <w:spacing w:after="100" w:line="288"/>
      </w:pPr>
      <w:r>
        <w:t>Moniz-Lewis, D. I. K., Kirouac, M., McCool, M. W., Schwebel, F. J., &amp; Witkiewitz, K. (2025). Perspective on using artificial intelligence in alcohol research and treatment: Opportunities and ethical considerations. Alcohol Research: Current Reviews, 45(1): 12. https://doi.org/10.35946/arcr.v45.1.12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AI &amp; Music-Based Therapy in SUD Recovery — Project Synthesis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2026-06-17T20:29:34.355Z</dcterms:created>
  <dcterms:modified xsi:type="dcterms:W3CDTF">2026-06-17T20:29:34.355Z</dcterms:modified>
</cp:coreProperties>
</file>

<file path=docProps/custom.xml><?xml version="1.0" encoding="utf-8"?>
<Properties xmlns="http://schemas.openxmlformats.org/officeDocument/2006/custom-properties" xmlns:vt="http://schemas.openxmlformats.org/officeDocument/2006/docPropsVTypes"/>
</file>