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One-Page Protocol Skeleton</w:t>
      </w:r>
    </w:p>
    <w:p>
      <w:pPr>
        <w:spacing w:after="40"/>
      </w:pPr>
      <w:r>
        <w:rPr>
          <w:i/>
          <w:iCs/>
          <w:sz w:val="24"/>
          <w:szCs w:val="24"/>
        </w:rPr>
        <w:t>Exploring the Use of Artificial Intelligence and Music-Based Therapy in Supporting Individuals with Substance Use Disorder</w:t>
      </w:r>
    </w:p>
    <w:p>
      <w:pPr>
        <w:spacing w:after="40"/>
      </w:pPr>
      <w:r>
        <w:t xml:space="preserve">Researcher: Bernard G.    </w:t>
      </w:r>
      <w:r>
        <w:t xml:space="preserve">Prepared: 19 August 2026    </w:t>
      </w:r>
      <w:r>
        <w:t>Status: draft for supervisor sign-off — citations verified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Scope decisions (locked)</w:t>
      </w:r>
    </w:p>
    <w:p>
      <w:pPr>
        <w:spacing w:after="140" w:line="276"/>
      </w:pPr>
      <w:r>
        <w:rPr>
          <w:b/>
          <w:bCs/>
        </w:rPr>
        <w:t xml:space="preserve">Design. </w:t>
      </w:r>
      <w:r>
        <w:t xml:space="preserve">A scoping review reported against PRISMA-ScR, culminating in a proposed conceptual framework that maps artificial-intelligence and music-based interventions onto the four pillars. A meta-analysis is neither feasible in the timeframe nor the appropriate method for a heterogeneous, emerging, cross-disciplinary field; the scoping search provides transparent, reproducible coverage while the framework carries the original contribution.</w:t>
      </w:r>
    </w:p>
    <w:p>
      <w:pPr>
        <w:spacing w:after="140" w:line="276"/>
      </w:pPr>
      <w:r>
        <w:rPr>
          <w:b/>
          <w:bCs/>
        </w:rPr>
        <w:t xml:space="preserve">Literatures. </w:t>
      </w:r>
      <w:r>
        <w:t xml:space="preserve">The music-based and AI literatures are searched and synthesised separately against the shared four-pillar spine, rather than insisting on the three-way intersection (AI and music and SUD), which is expected to be very thin. The size of that intersection is reported as a finding; the framework, not the empirical overlap, is the bridge between the two halves.</w:t>
      </w:r>
    </w:p>
    <w:p>
      <w:pPr>
        <w:spacing w:after="140" w:line="276"/>
      </w:pPr>
      <w:r>
        <w:rPr>
          <w:b/>
          <w:bCs/>
        </w:rPr>
        <w:t xml:space="preserve">Population. </w:t>
      </w:r>
      <w:r>
        <w:t>People with a substance use disorder (SUD). Alcohol use disorder (AUD) receives particular attention as the sub-population where the AI literature is densest, but the review scope is SUD-wide, not AUD-anchored. Substance-specific work is preferred where available; broader SUD evidence is admitted where substance-specific work is absent — chiefly on the music-therapy side, where the anchoring synthesis (Ghetti et al., 2022) is SUD-broad — and every such instance is flagged explicitly rather than silently generalised.</w:t>
      </w:r>
    </w:p>
    <w:p>
      <w:pPr>
        <w:pStyle w:val="Heading1"/>
      </w:pPr>
      <w:r>
        <w:t xml:space="preserve">2. Review questions</w:t>
      </w:r>
    </w:p>
    <w:p>
      <w:pPr>
        <w:spacing w:after="140" w:line="276"/>
      </w:pPr>
      <w:r>
        <w:rPr>
          <w:b/>
          <w:bCs/>
        </w:rPr>
        <w:t xml:space="preserve">Overarching. </w:t>
      </w:r>
      <w:r>
        <w:t>In what ways, and with what evidentiary support, can artificial intelligence and music-based interventions potentiate FDA-approved medications and function as adjuncts to professional treatment for people with a substance use disorder, and how might they be integrated within a framework organised around emotional regulation, craving reduction, self-expression, and personalised recovery support?</w:t>
      </w:r>
    </w:p>
    <w:p>
      <w:pPr>
        <w:spacing w:after="120" w:line="276"/>
        <w:ind w:left="360"/>
      </w:pPr>
      <w:r>
        <w:rPr>
          <w:b/>
          <w:bCs/>
        </w:rPr>
        <w:t xml:space="preserve">RQ1 — Emotional regulation. </w:t>
      </w:r>
      <w:r>
        <w:t>What evidence indicates that music-based interventions and AI-enabled affective tools support emotional regulation in people with a substance use disorder, and through what proposed mechanisms?</w:t>
      </w:r>
    </w:p>
    <w:p>
      <w:pPr>
        <w:spacing w:after="120" w:line="276"/>
        <w:ind w:left="360"/>
      </w:pPr>
      <w:r>
        <w:rPr>
          <w:b/>
          <w:bCs/>
        </w:rPr>
        <w:t xml:space="preserve">RQ2 — Craving reduction. </w:t>
      </w:r>
      <w:r>
        <w:t>What evidence indicates that these tools reduce craving in substance use disorder, and under what conditions might music instead act as a craving cue (the craving-cue paradox; Silverman et al., 2023)?</w:t>
      </w:r>
    </w:p>
    <w:p>
      <w:pPr>
        <w:spacing w:after="120" w:line="276"/>
        <w:ind w:left="360"/>
      </w:pPr>
      <w:r>
        <w:rPr>
          <w:b/>
          <w:bCs/>
        </w:rPr>
        <w:t xml:space="preserve">RQ3 — Self-expression. </w:t>
      </w:r>
      <w:r>
        <w:t>How do music-therapy techniques and AI co-creation tools support self-expression and identity reconstruction in recovery from a substance use disorder?</w:t>
      </w:r>
    </w:p>
    <w:p>
      <w:pPr>
        <w:spacing w:after="120" w:line="276"/>
        <w:ind w:left="360"/>
      </w:pPr>
      <w:r>
        <w:rPr>
          <w:b/>
          <w:bCs/>
        </w:rPr>
        <w:t xml:space="preserve">RQ4 — Personalised support. </w:t>
      </w:r>
      <w:r>
        <w:t>How can AI personalise recovery support across time for people with a substance use disorder, and what are the limits and risks of doing so?</w:t>
      </w:r>
    </w:p>
    <w:p>
      <w:pPr>
        <w:spacing w:after="120" w:line="276"/>
        <w:ind w:left="360"/>
      </w:pPr>
      <w:r>
        <w:rPr>
          <w:b/>
          <w:bCs/>
        </w:rPr>
        <w:t xml:space="preserve">RQ5 — Ethics (cross-cutting). </w:t>
      </w:r>
      <w:r>
        <w:t xml:space="preserve">What ethical, methodological, and equity considerations should govern the responsible development and study of these tools?</w:t>
      </w:r>
    </w:p>
    <w:p>
      <w:pPr>
        <w:pStyle w:val="Heading1"/>
      </w:pPr>
      <w:r>
        <w:t xml:space="preserve">3. Eligibility criteria (PCC)</w:t>
      </w:r>
    </w:p>
    <w:p>
      <w:pPr>
        <w:spacing w:after="140" w:line="276"/>
      </w:pPr>
      <w:r>
        <w:rPr>
          <w:b/>
          <w:bCs/>
        </w:rPr>
        <w:t xml:space="preserve">Population: </w:t>
      </w:r>
      <w:r>
        <w:t>adults with a substance use disorder (DSM-5-TR; specify severity where reported). Alcohol use disorder (AUD) samples receive particular attention as the sub-population with the densest AI literature; broader SUD samples are the default scope, with any substance-specific restriction flagged on use per Section 1.</w:t>
      </w:r>
    </w:p>
    <w:p>
      <w:pPr>
        <w:spacing w:after="140" w:line="276"/>
      </w:pPr>
      <w:r>
        <w:rPr>
          <w:b/>
          <w:bCs/>
        </w:rPr>
        <w:t xml:space="preserve">Concept: </w:t>
      </w:r>
      <w:r>
        <w:t xml:space="preserve">music therapy delivered by a credentialed therapist, broader music-based interventions, and consumer music listening — kept terminologically distinct throughout — and AI tools (affective computing, recommender systems, conversational agents, just-in-time adaptive interventions, predictive models, digital therapeutics).</w:t>
      </w:r>
    </w:p>
    <w:p>
      <w:pPr>
        <w:spacing w:after="140" w:line="276"/>
      </w:pPr>
      <w:r>
        <w:rPr>
          <w:b/>
          <w:bCs/>
        </w:rPr>
        <w:t xml:space="preserve">Context: </w:t>
      </w:r>
      <w:r>
        <w:t xml:space="preserve">prevention, treatment, and recovery settings, framed as adjuncts to professional care. Designs, date range, and language to be finalised when the full protocol is set.</w:t>
      </w:r>
    </w:p>
    <w:p>
      <w:pPr>
        <w:pStyle w:val="Heading1"/>
      </w:pPr>
      <w:r>
        <w:t xml:space="preserve">4. Information sources and search approach</w:t>
      </w:r>
    </w:p>
    <w:p>
      <w:pPr>
        <w:spacing w:after="140" w:line="276"/>
      </w:pPr>
      <w:r>
        <w:t xml:space="preserve">Databases spanning the disciplinary spread: PubMed/MEDLINE, PsycINFO, Cochrane Library, CINAHL (clinical and music-therapy side); IEEE Xplore, ACM Digital Library, Scopus, Web of Science (computational side); music-therapy outlets and RILM for work the biomedical indices miss. Google Scholar for citation-chasing only.</w:t>
      </w:r>
    </w:p>
    <w:p>
      <w:pPr>
        <w:spacing w:after="140" w:line="276"/>
      </w:pPr>
      <w:r>
        <w:t xml:space="preserve">Three Boolean strings built from population, intervention, and outcome concept blocks, run separately: music-only, AI-only, and AI-plus-music. Strings finalised and tested when the full protocol is set.</w:t>
      </w:r>
    </w:p>
    <w:p>
      <w:pPr>
        <w:pStyle w:val="Heading1"/>
      </w:pPr>
      <w:r>
        <w:t xml:space="preserve">5. Selection and charting</w:t>
      </w:r>
    </w:p>
    <w:p>
      <w:pPr>
        <w:spacing w:after="140" w:line="276"/>
      </w:pPr>
      <w:r>
        <w:t xml:space="preserve">Deduplicate; two-stage screening (title/abstract, then full text) against the criteria above, with all decisions recorded in a screening log and counts reported in a PRISMA-ScR flow diagram. Data charted into a matrix keyed to the four pillars, capturing — for AI tools specifically — validation status, dataset provenance, and deployment/regulatory status, alongside the strength-of-evidence tag.</w:t>
      </w:r>
    </w:p>
    <w:p>
      <w:pPr>
        <w:pStyle w:val="Heading1"/>
      </w:pPr>
      <w:r>
        <w:t xml:space="preserve">6. Synthesis and framework</w:t>
      </w:r>
    </w:p>
    <w:p>
      <w:pPr>
        <w:spacing w:after="140" w:line="276"/>
      </w:pPr>
      <w:r>
        <w:t xml:space="preserve">Narrative synthesis pillar by pillar, then across pillars, surfacing mechanisms, gaps, and contradictions. Every key finding is tagged </w:t>
      </w:r>
      <w:r>
        <w:rPr>
          <w:i/>
          <w:iCs/>
        </w:rPr>
        <w:t xml:space="preserve">established</w:t>
      </w:r>
      <w:r>
        <w:t xml:space="preserve">, </w:t>
      </w:r>
      <w:r>
        <w:rPr>
          <w:i/>
          <w:iCs/>
        </w:rPr>
        <w:t xml:space="preserve">emerging</w:t>
      </w:r>
      <w:r>
        <w:t xml:space="preserve">, or </w:t>
      </w:r>
      <w:r>
        <w:rPr>
          <w:i/>
          <w:iCs/>
        </w:rPr>
        <w:t xml:space="preserve">speculative</w:t>
      </w:r>
      <w:r>
        <w:t xml:space="preserve">. The synthesis culminates in the proposed conceptual framework integrating the two literatures across the four pillars.</w:t>
      </w:r>
    </w:p>
    <w:p>
      <w:pPr>
        <w:pStyle w:val="Heading1"/>
      </w:pPr>
      <w:r>
        <w:t xml:space="preserve">7. Ethical considerations (carried throughout)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Adjunct, not replacement. </w:t>
      </w:r>
      <w:r>
        <w:t>Tools are examined for their potential to potentiate FDA-approved medications (e.g., buprenorphine, naltrexone, methadone, acamprosate) and supplement professional, evidence-based SUD treatment by addressing what medication alone cannot — emotional regulation, craving triggers, motivation, identity, and between-session support. Nothing should read as encouraging substitution of a tool for medication or clinical care.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The craving-cue paradox. </w:t>
      </w:r>
      <w:r>
        <w:t xml:space="preserve">Because music can trigger as well as soothe craving, any music-based or music-recommending tool carries a specific, foreseeable risk that is treated explicitly, not as a footnote.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Data sensitivity and privacy. </w:t>
      </w:r>
      <w:r>
        <w:t xml:space="preserve">Recovery data (location, physiological signals, voice, craving logs) is highly sensitive for an already-stigmatised group; strong protection is treated as a requirement.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Equity of access. </w:t>
      </w:r>
      <w:r>
        <w:t xml:space="preserve">Dependence on smartphones, wearables, connectivity, and digital literacy can widen disparities; who is served and who is excluded is asked consistently.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Over-reliance and false reassurance. </w:t>
      </w:r>
      <w:r>
        <w:t xml:space="preserve">Affect-detection and recommendation systems can present more certainty than they possess; human oversight and escalation to crisis resources are required safeguards.</w:t>
      </w:r>
    </w:p>
    <w:p>
      <w:pPr>
        <w:pStyle w:val="Heading1"/>
      </w:pPr>
      <w:r>
        <w:t xml:space="preserve">8. Orienting reading and checkpoint</w:t>
      </w:r>
    </w:p>
    <w:p>
      <w:pPr>
        <w:spacing w:after="140" w:line="276"/>
      </w:pPr>
      <w:r>
        <w:t>Orienting reading: the Cochrane music-therapy review (Ghetti et al., 2022); an AI-in-SUD perspective (Moniz-Lewis et al., 2025); an affective-computing-for-mental-health review. All eight key orienting citations have been verified against primary/publisher records (DOIs confirmed) as of 19 August 2026; see Research_Strategy.md for the full list.</w:t>
      </w:r>
    </w:p>
    <w:p>
      <w:pPr>
        <w:spacing w:after="140" w:line="276"/>
      </w:pPr>
      <w:r>
        <w:rPr>
          <w:b/>
          <w:bCs/>
        </w:rPr>
        <w:t xml:space="preserve">Supervisor checkpoint: </w:t>
      </w:r>
      <w:r>
        <w:t xml:space="preserve">sign-off on the design and the research questions above. Treat the scope decisions in Section 1 as binding once agreed — a late design change is the main way a tight timeline collapses.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2026-06-12T15:21:59.435Z</dcterms:created>
  <dcterms:modified xsi:type="dcterms:W3CDTF">2026-06-12T15:21:59.436Z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