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D3F2" w14:textId="77777777" w:rsidR="00F24013" w:rsidRDefault="00D20FA1">
      <w:pPr>
        <w:spacing w:after="60"/>
      </w:pPr>
      <w:r>
        <w:rPr>
          <w:b/>
          <w:bCs/>
          <w:sz w:val="40"/>
          <w:szCs w:val="40"/>
        </w:rPr>
        <w:t>Strengthening the AI Dimension</w:t>
      </w:r>
    </w:p>
    <w:p w14:paraId="2FA6CDAC" w14:textId="77777777" w:rsidR="00F24013" w:rsidRDefault="00D20FA1">
      <w:pPr>
        <w:spacing w:after="200"/>
      </w:pPr>
      <w:r>
        <w:rPr>
          <w:i/>
          <w:iCs/>
          <w:color w:val="444444"/>
        </w:rPr>
        <w:t>Expansion to the Research Strategy — AI tools for self-monitoring, gamification, wellness metrics, and predictive analytics</w:t>
      </w:r>
    </w:p>
    <w:p w14:paraId="2D2D028C" w14:textId="77777777" w:rsidR="00F24013" w:rsidRDefault="00D20FA1">
      <w:pPr>
        <w:spacing w:after="160" w:line="276" w:lineRule="auto"/>
        <w:jc w:val="both"/>
      </w:pPr>
      <w:r>
        <w:t xml:space="preserve">This note expands the AI half of the </w:t>
      </w:r>
      <w:proofErr w:type="gramStart"/>
      <w:r>
        <w:t>study</w:t>
      </w:r>
      <w:proofErr w:type="gramEnd"/>
      <w:r>
        <w:t xml:space="preserve"> so it carries equal analytic weight to the music half. It introduces a working typology of AI tool categories, maps each to the four pillars, grades the evidence honestly, and supplies the additional sub-questions, search terms, appraisal points, and tracker tasks needed to fold them in. Two framing commitments carry over unchanged: every tool here is an </w:t>
      </w:r>
      <w:r>
        <w:rPr>
          <w:b/>
          <w:bCs/>
        </w:rPr>
        <w:t>adjunct</w:t>
      </w:r>
      <w:r>
        <w:t xml:space="preserve"> to professional, evidence-based treatment, not a replacement; and the burden of proof sits with the evidence. A blunt summary of that evidenc</w:t>
      </w:r>
      <w:r>
        <w:t>e is useful up front — with the partial exception of the FDA-cleared prescription digital therapeutics, almost everything in this space is at the feasibility, pilot, or protocol stage, and claims of effectiveness on hard outcomes (sustained abstinence, retention, overdose) are mostly not yet established.</w:t>
      </w:r>
    </w:p>
    <w:p w14:paraId="32C77E24" w14:textId="77777777" w:rsidR="00F24013" w:rsidRDefault="00F24013">
      <w:pPr>
        <w:pBdr>
          <w:bottom w:val="single" w:sz="6" w:space="1" w:color="888888"/>
        </w:pBdr>
        <w:spacing w:before="60" w:after="200"/>
      </w:pPr>
    </w:p>
    <w:p w14:paraId="2A3EF748" w14:textId="77777777" w:rsidR="00F24013" w:rsidRDefault="00D20FA1">
      <w:pPr>
        <w:pStyle w:val="Heading1"/>
      </w:pPr>
      <w:r>
        <w:t>1. A working typology of AI tools in SUD recovery</w:t>
      </w:r>
    </w:p>
    <w:p w14:paraId="4CA15494" w14:textId="77777777" w:rsidR="00F24013" w:rsidRDefault="00D20FA1">
      <w:pPr>
        <w:spacing w:after="160" w:line="276" w:lineRule="auto"/>
        <w:jc w:val="both"/>
      </w:pPr>
      <w:r>
        <w:t xml:space="preserve">The categories below are not mutually </w:t>
      </w:r>
      <w:proofErr w:type="gramStart"/>
      <w:r>
        <w:t>exclusive — a</w:t>
      </w:r>
      <w:proofErr w:type="gramEnd"/>
      <w:r>
        <w:t xml:space="preserve"> single app may self-monitor, gamify, sense, predict, and act — but separating them keeps the analysis precise about what is being claimed and tested. For each, state the pillar(s) served, the proposed mechanism, the outcome measured, and a strength-of-evidence label (established / emerging / speculative).</w:t>
      </w:r>
    </w:p>
    <w:p w14:paraId="6436A048" w14:textId="77777777" w:rsidR="00F24013" w:rsidRDefault="00D20FA1">
      <w:pPr>
        <w:pStyle w:val="Heading2"/>
      </w:pPr>
      <w:r>
        <w:t>1.1 Self-monitoring and digital self-management</w:t>
      </w:r>
    </w:p>
    <w:p w14:paraId="1EAFE74A" w14:textId="77777777" w:rsidR="00F24013" w:rsidRDefault="00D20FA1">
      <w:pPr>
        <w:spacing w:after="160" w:line="276" w:lineRule="auto"/>
        <w:jc w:val="both"/>
      </w:pPr>
      <w:r>
        <w:rPr>
          <w:i/>
          <w:iCs/>
        </w:rPr>
        <w:t>Pillars: 4 (</w:t>
      </w:r>
      <w:proofErr w:type="spellStart"/>
      <w:r>
        <w:rPr>
          <w:i/>
          <w:iCs/>
        </w:rPr>
        <w:t>personalisation</w:t>
      </w:r>
      <w:proofErr w:type="spellEnd"/>
      <w:r>
        <w:rPr>
          <w:i/>
          <w:iCs/>
        </w:rPr>
        <w:t>), 1 (emotional regulation), 2 (craving).</w:t>
      </w:r>
      <w:r>
        <w:t xml:space="preserve"> Tools in which a person logs mood, cravings, triggers, and </w:t>
      </w:r>
      <w:proofErr w:type="gramStart"/>
      <w:r>
        <w:t>use</w:t>
      </w:r>
      <w:proofErr w:type="gramEnd"/>
      <w:r>
        <w:t xml:space="preserve"> in near-real time — ecological momentary assessment (EMA) and self-tracking apps — and structured self-guided </w:t>
      </w:r>
      <w:proofErr w:type="spellStart"/>
      <w:r>
        <w:t>programmes</w:t>
      </w:r>
      <w:proofErr w:type="spellEnd"/>
      <w:r>
        <w:t xml:space="preserve">. The clearest validated example is the prescription digital therapeutic (PDT) class: </w:t>
      </w:r>
      <w:proofErr w:type="spellStart"/>
      <w:r>
        <w:t>reSET</w:t>
      </w:r>
      <w:proofErr w:type="spellEnd"/>
      <w:r>
        <w:t xml:space="preserve">, cleared by the FDA in 2017 for substance use disorder, and </w:t>
      </w:r>
      <w:proofErr w:type="spellStart"/>
      <w:r>
        <w:t>reSET</w:t>
      </w:r>
      <w:proofErr w:type="spellEnd"/>
      <w:r>
        <w:t xml:space="preserve">-O, cleared in 2018 for opioid use disorder, deliver a self-guided twelve-week course of cognitive </w:t>
      </w:r>
      <w:proofErr w:type="spellStart"/>
      <w:r>
        <w:t>behavioural</w:t>
      </w:r>
      <w:proofErr w:type="spellEnd"/>
      <w:r>
        <w:t xml:space="preserve"> ther</w:t>
      </w:r>
      <w:r>
        <w:t xml:space="preserve">apy with </w:t>
      </w:r>
      <w:proofErr w:type="spellStart"/>
      <w:r>
        <w:t>incentivised</w:t>
      </w:r>
      <w:proofErr w:type="spellEnd"/>
      <w:r>
        <w:t xml:space="preserve"> lesson completion, positioned strictly as adjuncts to clinician-supervised outpatient care; </w:t>
      </w:r>
      <w:proofErr w:type="spellStart"/>
      <w:r>
        <w:t>reSET</w:t>
      </w:r>
      <w:proofErr w:type="spellEnd"/>
      <w:r>
        <w:t>-O’s labelling frames it as increasing treatment retention. Their commercial history is itself a cautionary lesson distinct from efficacy: the original developer (Pear Therapeutics) filed for bankruptcy in 2023, the products went dormant, and a different company (</w:t>
      </w:r>
      <w:proofErr w:type="spellStart"/>
      <w:r>
        <w:t>PursueCare</w:t>
      </w:r>
      <w:proofErr w:type="spellEnd"/>
      <w:r>
        <w:t xml:space="preserve">) acquired and relaunched them in 2024 — regulatory clearance does not guarantee sustained access. </w:t>
      </w:r>
      <w:r>
        <w:rPr>
          <w:i/>
          <w:iCs/>
        </w:rPr>
        <w:t>Mechanism:</w:t>
      </w:r>
      <w:r>
        <w:t xml:space="preserve"> self-awar</w:t>
      </w:r>
      <w:r>
        <w:t xml:space="preserve">eness, structured routine, reinforcement. </w:t>
      </w:r>
      <w:r>
        <w:rPr>
          <w:i/>
          <w:iCs/>
        </w:rPr>
        <w:t xml:space="preserve">Evidence: established for the </w:t>
      </w:r>
      <w:proofErr w:type="spellStart"/>
      <w:r>
        <w:rPr>
          <w:i/>
          <w:iCs/>
        </w:rPr>
        <w:t>reSET</w:t>
      </w:r>
      <w:proofErr w:type="spellEnd"/>
      <w:r>
        <w:rPr>
          <w:i/>
          <w:iCs/>
        </w:rPr>
        <w:t xml:space="preserve"> products (FDA-cleared with efficacy labelling) but adjunctive and narrow; broader self-monitoring apps are emerging, with engagement inconsistently measured and follow-up typically short.</w:t>
      </w:r>
    </w:p>
    <w:p w14:paraId="5D48C265" w14:textId="77777777" w:rsidR="00F24013" w:rsidRDefault="00D20FA1">
      <w:pPr>
        <w:pStyle w:val="Heading2"/>
      </w:pPr>
      <w:r>
        <w:t>1.2 Gamification and engagement design</w:t>
      </w:r>
    </w:p>
    <w:p w14:paraId="4B568597" w14:textId="77777777" w:rsidR="00F24013" w:rsidRDefault="00D20FA1">
      <w:pPr>
        <w:spacing w:after="160" w:line="276" w:lineRule="auto"/>
        <w:jc w:val="both"/>
      </w:pPr>
      <w:r>
        <w:rPr>
          <w:i/>
          <w:iCs/>
        </w:rPr>
        <w:t>Pillars: 4 (</w:t>
      </w:r>
      <w:proofErr w:type="spellStart"/>
      <w:r>
        <w:rPr>
          <w:i/>
          <w:iCs/>
        </w:rPr>
        <w:t>personalisation</w:t>
      </w:r>
      <w:proofErr w:type="spellEnd"/>
      <w:r>
        <w:rPr>
          <w:i/>
          <w:iCs/>
        </w:rPr>
        <w:t>), 3 (self-expression, via mastery and identity), 2 (craving, indirectly).</w:t>
      </w:r>
      <w:r>
        <w:t xml:space="preserve"> Points, badges, streaks, progress </w:t>
      </w:r>
      <w:proofErr w:type="spellStart"/>
      <w:r>
        <w:t>visualisation</w:t>
      </w:r>
      <w:proofErr w:type="spellEnd"/>
      <w:r>
        <w:t xml:space="preserve">, challenges, peer/social features, and contingency-management-style incentives. </w:t>
      </w:r>
      <w:r>
        <w:rPr>
          <w:i/>
          <w:iCs/>
        </w:rPr>
        <w:t>Mechanism:</w:t>
      </w:r>
      <w:r>
        <w:t xml:space="preserve"> sustains engagement and reinforces coping and help-seeking by recruiting reward circuitry that substance use also engages. </w:t>
      </w:r>
      <w:r>
        <w:rPr>
          <w:i/>
          <w:iCs/>
        </w:rPr>
        <w:t>Evidence: mixed / emerging</w:t>
      </w:r>
      <w:r>
        <w:t xml:space="preserve"> — some </w:t>
      </w:r>
      <w:proofErr w:type="spellStart"/>
      <w:r>
        <w:t>randomised</w:t>
      </w:r>
      <w:proofErr w:type="spellEnd"/>
      <w:r>
        <w:t xml:space="preserve"> trials show benefit while others show minimal </w:t>
      </w:r>
      <w:r>
        <w:lastRenderedPageBreak/>
        <w:t>or even adverse effects; engagement is inconsistently assessed, makin</w:t>
      </w:r>
      <w:r>
        <w:t xml:space="preserve">g a meaningful “dose” hard to define. Reviews caution that gamification must be designed so it does not </w:t>
      </w:r>
      <w:proofErr w:type="spellStart"/>
      <w:r>
        <w:t>trivialise</w:t>
      </w:r>
      <w:proofErr w:type="spellEnd"/>
      <w:r>
        <w:t xml:space="preserve"> a serious condition or substitute one compulsive loop for another. Note that contingency management is itself an evidence-based </w:t>
      </w:r>
      <w:proofErr w:type="spellStart"/>
      <w:r>
        <w:t>behavioural</w:t>
      </w:r>
      <w:proofErr w:type="spellEnd"/>
      <w:r>
        <w:t xml:space="preserve"> treatment, so app-delivered incentive schemes are a promising bridge rather than a novelty.</w:t>
      </w:r>
    </w:p>
    <w:p w14:paraId="514FD715" w14:textId="77777777" w:rsidR="00F24013" w:rsidRDefault="00D20FA1">
      <w:pPr>
        <w:pStyle w:val="Heading2"/>
      </w:pPr>
      <w:r>
        <w:t>1.3 Wellness metrics and digital biomarkers</w:t>
      </w:r>
    </w:p>
    <w:p w14:paraId="7EFB29AD" w14:textId="77777777" w:rsidR="00F24013" w:rsidRDefault="00D20FA1">
      <w:pPr>
        <w:spacing w:after="160" w:line="276" w:lineRule="auto"/>
        <w:jc w:val="both"/>
      </w:pPr>
      <w:r>
        <w:rPr>
          <w:i/>
          <w:iCs/>
        </w:rPr>
        <w:t>Pillars: 1 (emotional regulation), 2 (craving), 4 (</w:t>
      </w:r>
      <w:proofErr w:type="spellStart"/>
      <w:r>
        <w:rPr>
          <w:i/>
          <w:iCs/>
        </w:rPr>
        <w:t>personalisation</w:t>
      </w:r>
      <w:proofErr w:type="spellEnd"/>
      <w:r>
        <w:rPr>
          <w:i/>
          <w:iCs/>
        </w:rPr>
        <w:t>).</w:t>
      </w:r>
      <w:r>
        <w:t xml:space="preserve"> Wearables capture physiological signals — electrodermal activity, heart rate, temperature, sleep, and activity — while smartphones yield digital-phenotyping signals such as GPS and typing patterns. Systems such as RAE Health pair a wearable, an app, and a clinician portal to detect stress and craving states from continuous data. </w:t>
      </w:r>
      <w:r>
        <w:rPr>
          <w:i/>
          <w:iCs/>
        </w:rPr>
        <w:t>Mechanism:</w:t>
      </w:r>
      <w:r>
        <w:t xml:space="preserve"> an objective, continuous read on arousal and affect that self-report alone misses. </w:t>
      </w:r>
      <w:r>
        <w:rPr>
          <w:i/>
          <w:iCs/>
        </w:rPr>
        <w:t>Evidence: emerging / feasibility-stage</w:t>
      </w:r>
      <w:r>
        <w:t xml:space="preserve"> — pilots and observational tri</w:t>
      </w:r>
      <w:r>
        <w:t>als show wrist-worn sensors can track stress, craving, and withdrawal-related signals, but actual relapse events are hard to label, so stress or affect is typically used as a proxy; accuracy in the target population and outside controlled settings is not yet established.</w:t>
      </w:r>
    </w:p>
    <w:p w14:paraId="047AC504" w14:textId="77777777" w:rsidR="00F24013" w:rsidRDefault="00D20FA1">
      <w:pPr>
        <w:pStyle w:val="Heading2"/>
      </w:pPr>
      <w:r>
        <w:t>1.4 Predictive analytics</w:t>
      </w:r>
    </w:p>
    <w:p w14:paraId="74E4E4F8" w14:textId="77777777" w:rsidR="00F24013" w:rsidRDefault="00D20FA1">
      <w:pPr>
        <w:spacing w:after="160" w:line="276" w:lineRule="auto"/>
        <w:jc w:val="both"/>
      </w:pPr>
      <w:r>
        <w:rPr>
          <w:i/>
          <w:iCs/>
        </w:rPr>
        <w:t>Pillars: 2 (craving), 4 (</w:t>
      </w:r>
      <w:proofErr w:type="spellStart"/>
      <w:r>
        <w:rPr>
          <w:i/>
          <w:iCs/>
        </w:rPr>
        <w:t>personalisation</w:t>
      </w:r>
      <w:proofErr w:type="spellEnd"/>
      <w:r>
        <w:rPr>
          <w:i/>
          <w:iCs/>
        </w:rPr>
        <w:t>).</w:t>
      </w:r>
      <w:r>
        <w:t xml:space="preserve"> Machine-learning models that forecast </w:t>
      </w:r>
      <w:proofErr w:type="gramStart"/>
      <w:r>
        <w:t>lapse</w:t>
      </w:r>
      <w:proofErr w:type="gramEnd"/>
      <w:r>
        <w:t xml:space="preserve">, </w:t>
      </w:r>
      <w:proofErr w:type="gramStart"/>
      <w:r>
        <w:t>relapse</w:t>
      </w:r>
      <w:proofErr w:type="gramEnd"/>
      <w:r>
        <w:t xml:space="preserve">, treatment </w:t>
      </w:r>
      <w:proofErr w:type="gramStart"/>
      <w:r>
        <w:t>dropout</w:t>
      </w:r>
      <w:proofErr w:type="gramEnd"/>
      <w:r>
        <w:t xml:space="preserve">, or medication non-adherence from EMA, </w:t>
      </w:r>
      <w:proofErr w:type="gramStart"/>
      <w:r>
        <w:t>sensor</w:t>
      </w:r>
      <w:proofErr w:type="gramEnd"/>
      <w:r>
        <w:t xml:space="preserve">, and </w:t>
      </w:r>
      <w:proofErr w:type="spellStart"/>
      <w:r>
        <w:t>behavioural</w:t>
      </w:r>
      <w:proofErr w:type="spellEnd"/>
      <w:r>
        <w:t xml:space="preserve"> data — for example, deep-learning prediction of non-prescribed opioid use and treatment retention. </w:t>
      </w:r>
      <w:r>
        <w:rPr>
          <w:i/>
          <w:iCs/>
        </w:rPr>
        <w:t>Mechanism:</w:t>
      </w:r>
      <w:r>
        <w:t xml:space="preserve"> anticipate high-risk windows so that support can be timed to need. </w:t>
      </w:r>
      <w:r>
        <w:rPr>
          <w:i/>
          <w:iCs/>
        </w:rPr>
        <w:t>Evidence: emerging, largely pre-deployment</w:t>
      </w:r>
      <w:r>
        <w:t xml:space="preserve"> — a growing set of models and study protocols exists (some combining wearable data with facial emotion recognition), but very few are valid</w:t>
      </w:r>
      <w:r>
        <w:t>ated and clinically deployed; false positives and false negatives, and models trained on non-representative data, are central risks.</w:t>
      </w:r>
    </w:p>
    <w:p w14:paraId="0C30F8FB" w14:textId="77777777" w:rsidR="00F24013" w:rsidRDefault="00D20FA1">
      <w:pPr>
        <w:pStyle w:val="Heading2"/>
      </w:pPr>
      <w:r>
        <w:t>1.5 Just-in-time adaptive interventions (JITAIs)</w:t>
      </w:r>
    </w:p>
    <w:p w14:paraId="4DCC6476" w14:textId="77777777" w:rsidR="00F24013" w:rsidRDefault="00D20FA1">
      <w:pPr>
        <w:spacing w:after="160" w:line="276" w:lineRule="auto"/>
        <w:jc w:val="both"/>
      </w:pPr>
      <w:r>
        <w:rPr>
          <w:i/>
          <w:iCs/>
        </w:rPr>
        <w:t>The action layer that closes the loop across Pillars 1, 2, and 4.</w:t>
      </w:r>
      <w:r>
        <w:t xml:space="preserve"> The purpose of sensing and prediction is to trigger timely, tailored support — a prompt, a coping exercise, a recommended piece of music, or escalation to a human — </w:t>
      </w:r>
      <w:proofErr w:type="gramStart"/>
      <w:r>
        <w:t>at the moment</w:t>
      </w:r>
      <w:proofErr w:type="gramEnd"/>
      <w:r>
        <w:t xml:space="preserve"> of elevated risk. </w:t>
      </w:r>
      <w:r>
        <w:rPr>
          <w:i/>
          <w:iCs/>
        </w:rPr>
        <w:t>Evidence: emerging</w:t>
      </w:r>
      <w:r>
        <w:t xml:space="preserve"> — feasibility and acceptability studies exist; effectiveness on hard outcomes is not yet established. Alarm fatigue (too many alerts) and false reassurance (a missed alert read as “all clear”) are specific, foreseeable failure modes.</w:t>
      </w:r>
    </w:p>
    <w:p w14:paraId="3536F44F" w14:textId="77777777" w:rsidR="00F24013" w:rsidRDefault="00D20FA1">
      <w:pPr>
        <w:pStyle w:val="Heading2"/>
      </w:pPr>
      <w:r>
        <w:t>1.6 Already in the strategy</w:t>
      </w:r>
    </w:p>
    <w:p w14:paraId="184754B1" w14:textId="77777777" w:rsidR="00F24013" w:rsidRDefault="00D20FA1">
      <w:pPr>
        <w:spacing w:after="160" w:line="276" w:lineRule="auto"/>
        <w:jc w:val="both"/>
      </w:pPr>
      <w:r>
        <w:t xml:space="preserve">Two categories the original strategy already names complete the picture: </w:t>
      </w:r>
      <w:r>
        <w:rPr>
          <w:b/>
          <w:bCs/>
        </w:rPr>
        <w:t>conversational agents</w:t>
      </w:r>
      <w:r>
        <w:t xml:space="preserve"> (Pillar 4; emerging, with documented accuracy and safety concerns on real drug-related questions), and </w:t>
      </w:r>
      <w:r>
        <w:rPr>
          <w:b/>
          <w:bCs/>
        </w:rPr>
        <w:t>emotion-aware music recommendation / recommender systems</w:t>
      </w:r>
      <w:r>
        <w:t xml:space="preserve"> — the direct bridge to the music half, but speculative in SUD specifically and constrained by the reliability limits of music emotion recognition noted in the strategy’s Section 4.3.</w:t>
      </w:r>
    </w:p>
    <w:p w14:paraId="0388C38D" w14:textId="77777777" w:rsidR="00F24013" w:rsidRDefault="00D20FA1">
      <w:pPr>
        <w:pStyle w:val="Heading1"/>
      </w:pPr>
      <w:r>
        <w:t>2. How the AI categories enrich each pillar</w:t>
      </w:r>
    </w:p>
    <w:p w14:paraId="30C2A302" w14:textId="77777777" w:rsidR="00F24013" w:rsidRDefault="00D20FA1">
      <w:pPr>
        <w:spacing w:after="160" w:line="276" w:lineRule="auto"/>
        <w:jc w:val="both"/>
      </w:pPr>
      <w:r>
        <w:rPr>
          <w:b/>
          <w:bCs/>
        </w:rPr>
        <w:lastRenderedPageBreak/>
        <w:t>Pillar 1 — Emotional regulation.</w:t>
      </w:r>
      <w:r>
        <w:t xml:space="preserve"> Wellness metrics and digital biomarkers add an objective signal of affective state; JITAIs can deliver a regulation prompt or a calming track at the detected moment; recommender systems </w:t>
      </w:r>
      <w:proofErr w:type="spellStart"/>
      <w:r>
        <w:t>personalise</w:t>
      </w:r>
      <w:proofErr w:type="spellEnd"/>
      <w:r>
        <w:t xml:space="preserve"> the content. </w:t>
      </w:r>
      <w:r>
        <w:rPr>
          <w:i/>
          <w:iCs/>
        </w:rPr>
        <w:t>Mainly emerging/speculative in SUD.</w:t>
      </w:r>
    </w:p>
    <w:p w14:paraId="35F452B4" w14:textId="77777777" w:rsidR="00F24013" w:rsidRDefault="00D20FA1">
      <w:pPr>
        <w:spacing w:after="160" w:line="276" w:lineRule="auto"/>
        <w:jc w:val="both"/>
      </w:pPr>
      <w:r>
        <w:rPr>
          <w:b/>
          <w:bCs/>
        </w:rPr>
        <w:t>Pillar 2 — Craving reduction.</w:t>
      </w:r>
      <w:r>
        <w:t xml:space="preserve"> Predictive analytics forecast craving/lapse windows; biomarkers detect craving states; JITAIs intervene; self-</w:t>
      </w:r>
      <w:proofErr w:type="gramStart"/>
      <w:r>
        <w:t>monitoring builds</w:t>
      </w:r>
      <w:proofErr w:type="gramEnd"/>
      <w:r>
        <w:t xml:space="preserve"> trigger awareness. This is also where the craving-cue paradox bites — a recommender that misjudges and serves a cue-laden track could </w:t>
      </w:r>
      <w:r>
        <w:rPr>
          <w:i/>
          <w:iCs/>
        </w:rPr>
        <w:t>induce</w:t>
      </w:r>
      <w:r>
        <w:t xml:space="preserve"> craving. </w:t>
      </w:r>
      <w:r>
        <w:rPr>
          <w:i/>
          <w:iCs/>
        </w:rPr>
        <w:t>Prediction emerging; intervention effectiveness unproven.</w:t>
      </w:r>
    </w:p>
    <w:p w14:paraId="79158819" w14:textId="77777777" w:rsidR="00F24013" w:rsidRDefault="00D20FA1">
      <w:pPr>
        <w:spacing w:after="160" w:line="276" w:lineRule="auto"/>
        <w:jc w:val="both"/>
      </w:pPr>
      <w:r>
        <w:rPr>
          <w:b/>
          <w:bCs/>
        </w:rPr>
        <w:t>Pillar 3 — Self-expression.</w:t>
      </w:r>
      <w:r>
        <w:t xml:space="preserve"> The weakest fit for these </w:t>
      </w:r>
      <w:proofErr w:type="gramStart"/>
      <w:r>
        <w:t>particular tools</w:t>
      </w:r>
      <w:proofErr w:type="gramEnd"/>
      <w:r>
        <w:t xml:space="preserve">; gamified mastery and identity-building, and generative co-creation, are the relevant threads, both </w:t>
      </w:r>
      <w:r>
        <w:rPr>
          <w:i/>
          <w:iCs/>
        </w:rPr>
        <w:t>speculative</w:t>
      </w:r>
      <w:r>
        <w:t xml:space="preserve"> in this population.</w:t>
      </w:r>
    </w:p>
    <w:p w14:paraId="4A131693" w14:textId="77777777" w:rsidR="00F24013" w:rsidRDefault="00D20FA1">
      <w:pPr>
        <w:spacing w:after="160" w:line="276" w:lineRule="auto"/>
        <w:jc w:val="both"/>
      </w:pPr>
      <w:r>
        <w:rPr>
          <w:b/>
          <w:bCs/>
        </w:rPr>
        <w:t xml:space="preserve">Pillar 4 — </w:t>
      </w:r>
      <w:proofErr w:type="spellStart"/>
      <w:r>
        <w:rPr>
          <w:b/>
          <w:bCs/>
        </w:rPr>
        <w:t>Personalised</w:t>
      </w:r>
      <w:proofErr w:type="spellEnd"/>
      <w:r>
        <w:rPr>
          <w:b/>
          <w:bCs/>
        </w:rPr>
        <w:t xml:space="preserve"> recovery support.</w:t>
      </w:r>
      <w:r>
        <w:t xml:space="preserve"> The natural home for all five categories — self-monitoring, gamification, biomarkers, prediction, and JITAIs together describe a </w:t>
      </w:r>
      <w:proofErr w:type="spellStart"/>
      <w:r>
        <w:t>personalised</w:t>
      </w:r>
      <w:proofErr w:type="spellEnd"/>
      <w:r>
        <w:t xml:space="preserve">, adaptive support loop. </w:t>
      </w:r>
      <w:r>
        <w:rPr>
          <w:i/>
          <w:iCs/>
        </w:rPr>
        <w:t>Genuine promise, thin validated evidence, highest ethical stakes.</w:t>
      </w:r>
    </w:p>
    <w:p w14:paraId="5955EA08" w14:textId="77777777" w:rsidR="00F24013" w:rsidRDefault="00D20FA1">
      <w:pPr>
        <w:pStyle w:val="Heading1"/>
      </w:pPr>
      <w:r>
        <w:t>3. AI sub-questions to add (refining RQ4)</w:t>
      </w:r>
    </w:p>
    <w:p w14:paraId="50000C92" w14:textId="77777777" w:rsidR="00F24013" w:rsidRDefault="00D20FA1">
      <w:pPr>
        <w:pStyle w:val="ListParagraph"/>
        <w:numPr>
          <w:ilvl w:val="0"/>
          <w:numId w:val="2"/>
        </w:numPr>
        <w:spacing w:after="90" w:line="268" w:lineRule="auto"/>
      </w:pPr>
      <w:r>
        <w:t>How effective and acceptable are AI-enabled self-monitoring tools (EMA, digital therapeutics) as adjuncts, and what sustains engagement over time?</w:t>
      </w:r>
    </w:p>
    <w:p w14:paraId="2CEF2ACF" w14:textId="77777777" w:rsidR="00F24013" w:rsidRDefault="00D20FA1">
      <w:pPr>
        <w:pStyle w:val="ListParagraph"/>
        <w:numPr>
          <w:ilvl w:val="0"/>
          <w:numId w:val="2"/>
        </w:numPr>
        <w:spacing w:after="90" w:line="268" w:lineRule="auto"/>
      </w:pPr>
      <w:r>
        <w:t>What is the evidence that gamification improves engagement and outcomes without introducing harm (</w:t>
      </w:r>
      <w:proofErr w:type="spellStart"/>
      <w:r>
        <w:t>trivialisation</w:t>
      </w:r>
      <w:proofErr w:type="spellEnd"/>
      <w:r>
        <w:t>, compulsion, dependence on the app)?</w:t>
      </w:r>
    </w:p>
    <w:p w14:paraId="6E4A2502" w14:textId="77777777" w:rsidR="00F24013" w:rsidRDefault="00D20FA1">
      <w:pPr>
        <w:pStyle w:val="ListParagraph"/>
        <w:numPr>
          <w:ilvl w:val="0"/>
          <w:numId w:val="2"/>
        </w:numPr>
        <w:spacing w:after="90" w:line="268" w:lineRule="auto"/>
      </w:pPr>
      <w:r>
        <w:t xml:space="preserve">Can wearable-derived wellness metrics and digital biomarkers reliably detect craving and </w:t>
      </w:r>
      <w:proofErr w:type="gramStart"/>
      <w:r>
        <w:t>stress states</w:t>
      </w:r>
      <w:proofErr w:type="gramEnd"/>
      <w:r>
        <w:t xml:space="preserve"> in people with SUD — with what accuracy, in whom, and outside the lab?</w:t>
      </w:r>
    </w:p>
    <w:p w14:paraId="2D7AA774" w14:textId="77777777" w:rsidR="00F24013" w:rsidRDefault="00D20FA1">
      <w:pPr>
        <w:pStyle w:val="ListParagraph"/>
        <w:numPr>
          <w:ilvl w:val="0"/>
          <w:numId w:val="2"/>
        </w:numPr>
        <w:spacing w:after="90" w:line="268" w:lineRule="auto"/>
      </w:pPr>
      <w:r>
        <w:t xml:space="preserve">How well do predictive-analytics models forecast </w:t>
      </w:r>
      <w:proofErr w:type="gramStart"/>
      <w:r>
        <w:t>lapse</w:t>
      </w:r>
      <w:proofErr w:type="gramEnd"/>
      <w:r>
        <w:t xml:space="preserve"> and </w:t>
      </w:r>
      <w:proofErr w:type="gramStart"/>
      <w:r>
        <w:t>relapse</w:t>
      </w:r>
      <w:proofErr w:type="gramEnd"/>
      <w:r>
        <w:t>, and have they been validated in the target population rather than borrowed from adjacent ones?</w:t>
      </w:r>
    </w:p>
    <w:p w14:paraId="5576CC01" w14:textId="77777777" w:rsidR="00F24013" w:rsidRDefault="00D20FA1">
      <w:pPr>
        <w:pStyle w:val="ListParagraph"/>
        <w:numPr>
          <w:ilvl w:val="0"/>
          <w:numId w:val="2"/>
        </w:numPr>
        <w:spacing w:after="90" w:line="268" w:lineRule="auto"/>
      </w:pPr>
      <w:r>
        <w:t>Do JITAIs that act on these signals improve outcomes, and what are their failure modes (alarm fatigue, false reassurance)?</w:t>
      </w:r>
    </w:p>
    <w:p w14:paraId="497D2B6A" w14:textId="77777777" w:rsidR="00F24013" w:rsidRDefault="00D20FA1">
      <w:pPr>
        <w:pStyle w:val="Heading1"/>
      </w:pPr>
      <w:r>
        <w:t>4. Search-term additions (AI block)</w:t>
      </w:r>
    </w:p>
    <w:p w14:paraId="61F74E4F" w14:textId="77777777" w:rsidR="00F24013" w:rsidRDefault="00D20FA1">
      <w:pPr>
        <w:spacing w:after="160" w:line="276" w:lineRule="auto"/>
        <w:jc w:val="both"/>
      </w:pPr>
      <w:r>
        <w:t>Extend the intervention block of the search scaffolding (Strategy, Section 6) with the following, combined with OR:</w:t>
      </w:r>
    </w:p>
    <w:p w14:paraId="67840D81" w14:textId="77777777" w:rsidR="00F24013" w:rsidRDefault="00D20FA1">
      <w:pPr>
        <w:pStyle w:val="ListParagraph"/>
        <w:numPr>
          <w:ilvl w:val="0"/>
          <w:numId w:val="2"/>
        </w:numPr>
        <w:spacing w:after="90" w:line="268" w:lineRule="auto"/>
      </w:pPr>
      <w:r>
        <w:t>Self-monitoring: “ecological momentary assessment” OR EMA OR “self-monitoring” OR “digital self-management” OR “digital therapeutic” OR “prescription digital therapeutic” OR mHealth OR “smartphone app”</w:t>
      </w:r>
    </w:p>
    <w:p w14:paraId="500701C7" w14:textId="77777777" w:rsidR="00F24013" w:rsidRDefault="00D20FA1">
      <w:pPr>
        <w:pStyle w:val="ListParagraph"/>
        <w:numPr>
          <w:ilvl w:val="0"/>
          <w:numId w:val="2"/>
        </w:numPr>
        <w:spacing w:after="90" w:line="268" w:lineRule="auto"/>
      </w:pPr>
      <w:r>
        <w:t>Gamification: gamification OR “serious game” OR “contingency management” OR “reward-based” OR “badges” OR “engagement design”</w:t>
      </w:r>
    </w:p>
    <w:p w14:paraId="37DC090F" w14:textId="77777777" w:rsidR="00F24013" w:rsidRDefault="00D20FA1">
      <w:pPr>
        <w:pStyle w:val="ListParagraph"/>
        <w:numPr>
          <w:ilvl w:val="0"/>
          <w:numId w:val="2"/>
        </w:numPr>
        <w:spacing w:after="90" w:line="268" w:lineRule="auto"/>
      </w:pPr>
      <w:r>
        <w:t>Wellness metrics / biomarkers: wearable OR “digital biomarker” OR “digital phenotyping” OR “physiological sensor” OR “electrodermal activity” OR “heart rate variability” OR “passive sensing”</w:t>
      </w:r>
    </w:p>
    <w:p w14:paraId="0F544F28" w14:textId="77777777" w:rsidR="00F24013" w:rsidRDefault="00D20FA1">
      <w:pPr>
        <w:pStyle w:val="ListParagraph"/>
        <w:numPr>
          <w:ilvl w:val="0"/>
          <w:numId w:val="2"/>
        </w:numPr>
        <w:spacing w:after="90" w:line="268" w:lineRule="auto"/>
      </w:pPr>
      <w:r>
        <w:lastRenderedPageBreak/>
        <w:t>Predictive analytics: “predictive analytics” OR “relapse prediction” OR “lapse prediction” OR “risk model” OR “machine learning” OR “deep learning”</w:t>
      </w:r>
    </w:p>
    <w:p w14:paraId="306D68AE" w14:textId="77777777" w:rsidR="00F24013" w:rsidRDefault="00D20FA1">
      <w:pPr>
        <w:pStyle w:val="ListParagraph"/>
        <w:numPr>
          <w:ilvl w:val="0"/>
          <w:numId w:val="2"/>
        </w:numPr>
        <w:spacing w:after="90" w:line="268" w:lineRule="auto"/>
      </w:pPr>
      <w:r>
        <w:t>Action layer: “just-in-time adaptive intervention” OR JITAI OR “micro-intervention” OR “real-time intervention”</w:t>
      </w:r>
    </w:p>
    <w:p w14:paraId="7055A90F" w14:textId="77777777" w:rsidR="00F24013" w:rsidRDefault="00D20FA1">
      <w:pPr>
        <w:pStyle w:val="Heading1"/>
      </w:pPr>
      <w:r>
        <w:t>5. Appraisal and ethics specific to these tools</w:t>
      </w:r>
    </w:p>
    <w:p w14:paraId="21439A17" w14:textId="77777777" w:rsidR="00F24013" w:rsidRDefault="00D20FA1">
      <w:pPr>
        <w:spacing w:after="160" w:line="276" w:lineRule="auto"/>
        <w:jc w:val="both"/>
      </w:pPr>
      <w:r>
        <w:t xml:space="preserve">When appraising AI tools, go beyond outcomes to four extra checks: validation status (tested in clinical SUD populations, or only in adjacent groups?), dataset provenance and representativeness, deployment and regulatory status (FDA clearance, as with </w:t>
      </w:r>
      <w:proofErr w:type="spellStart"/>
      <w:r>
        <w:t>reSET</w:t>
      </w:r>
      <w:proofErr w:type="spellEnd"/>
      <w:r>
        <w:t>, is the exception not the rule), and whether effectiveness claims rest on hard outcomes or on proxies and engagement metrics. The following ethical concerns are specific to this category and belong next to the claims they qualify, not in a closing chapter:</w:t>
      </w:r>
    </w:p>
    <w:p w14:paraId="397B1EBA" w14:textId="77777777" w:rsidR="00F24013" w:rsidRDefault="00D20FA1">
      <w:pPr>
        <w:pStyle w:val="ListParagraph"/>
        <w:numPr>
          <w:ilvl w:val="0"/>
          <w:numId w:val="2"/>
        </w:numPr>
        <w:spacing w:after="90" w:line="268" w:lineRule="auto"/>
      </w:pPr>
      <w:r>
        <w:rPr>
          <w:b/>
          <w:bCs/>
        </w:rPr>
        <w:t>Continuous monitoring as surveillance.</w:t>
      </w:r>
      <w:r>
        <w:t xml:space="preserve"> Passive location and physiological data are among the most sensitive data that exist for an already-</w:t>
      </w:r>
      <w:proofErr w:type="spellStart"/>
      <w:r>
        <w:t>stigmatised</w:t>
      </w:r>
      <w:proofErr w:type="spellEnd"/>
      <w:r>
        <w:t xml:space="preserve"> group; consent must be ongoing and meaningful, and data </w:t>
      </w:r>
      <w:proofErr w:type="spellStart"/>
      <w:r>
        <w:t>minimisation</w:t>
      </w:r>
      <w:proofErr w:type="spellEnd"/>
      <w:r>
        <w:t xml:space="preserve"> a default.</w:t>
      </w:r>
    </w:p>
    <w:p w14:paraId="43568C27" w14:textId="77777777" w:rsidR="00F24013" w:rsidRDefault="00D20FA1">
      <w:pPr>
        <w:pStyle w:val="ListParagraph"/>
        <w:numPr>
          <w:ilvl w:val="0"/>
          <w:numId w:val="2"/>
        </w:numPr>
        <w:spacing w:after="90" w:line="268" w:lineRule="auto"/>
      </w:pPr>
      <w:r>
        <w:rPr>
          <w:b/>
          <w:bCs/>
        </w:rPr>
        <w:t>Accuracy and false alerts.</w:t>
      </w:r>
      <w:r>
        <w:t xml:space="preserve"> A false negative can give false reassurance; a stream of false positives causes alarm fatigue and erodes trust. Both are safety issues, not just usability ones.</w:t>
      </w:r>
    </w:p>
    <w:p w14:paraId="6A4B920D" w14:textId="77777777" w:rsidR="00F24013" w:rsidRDefault="00D20FA1">
      <w:pPr>
        <w:pStyle w:val="ListParagraph"/>
        <w:numPr>
          <w:ilvl w:val="0"/>
          <w:numId w:val="2"/>
        </w:numPr>
        <w:spacing w:after="90" w:line="268" w:lineRule="auto"/>
      </w:pPr>
      <w:r>
        <w:rPr>
          <w:b/>
          <w:bCs/>
        </w:rPr>
        <w:t>Gamification harms.</w:t>
      </w:r>
      <w:r>
        <w:t xml:space="preserve"> Incentive structures must be clinically </w:t>
      </w:r>
      <w:proofErr w:type="gramStart"/>
      <w:r>
        <w:t>grounded</w:t>
      </w:r>
      <w:proofErr w:type="gramEnd"/>
      <w:r>
        <w:t xml:space="preserve"> so they reinforce coping rather than </w:t>
      </w:r>
      <w:proofErr w:type="spellStart"/>
      <w:r>
        <w:t>trivialising</w:t>
      </w:r>
      <w:proofErr w:type="spellEnd"/>
      <w:r>
        <w:t xml:space="preserve"> the condition or </w:t>
      </w:r>
      <w:proofErr w:type="gramStart"/>
      <w:r>
        <w:t>seeding</w:t>
      </w:r>
      <w:proofErr w:type="gramEnd"/>
      <w:r>
        <w:t xml:space="preserve"> a new compulsive loop.</w:t>
      </w:r>
    </w:p>
    <w:p w14:paraId="702EED6A" w14:textId="77777777" w:rsidR="00F24013" w:rsidRDefault="00D20FA1">
      <w:pPr>
        <w:pStyle w:val="ListParagraph"/>
        <w:numPr>
          <w:ilvl w:val="0"/>
          <w:numId w:val="2"/>
        </w:numPr>
        <w:spacing w:after="90" w:line="268" w:lineRule="auto"/>
      </w:pPr>
      <w:r>
        <w:rPr>
          <w:b/>
          <w:bCs/>
        </w:rPr>
        <w:t>Equity of access.</w:t>
      </w:r>
      <w:r>
        <w:t xml:space="preserve"> Wearables, smartphones, data plans, and digital literacy gate entry; a tool can widen disparities even as it helps those it reaches.</w:t>
      </w:r>
    </w:p>
    <w:p w14:paraId="5356DC8A" w14:textId="77777777" w:rsidR="00F24013" w:rsidRDefault="00D20FA1">
      <w:pPr>
        <w:pStyle w:val="ListParagraph"/>
        <w:numPr>
          <w:ilvl w:val="0"/>
          <w:numId w:val="2"/>
        </w:numPr>
        <w:spacing w:after="90" w:line="268" w:lineRule="auto"/>
      </w:pPr>
      <w:r>
        <w:rPr>
          <w:b/>
          <w:bCs/>
        </w:rPr>
        <w:t>Over-reliance and the human in the loop.</w:t>
      </w:r>
      <w:r>
        <w:t xml:space="preserve"> Automated support must escalate to people and crisis resources and must never stand in for clinical judgement — especially acute for predictive and conversational tools during a crisis.</w:t>
      </w:r>
    </w:p>
    <w:p w14:paraId="46577CAA" w14:textId="77777777" w:rsidR="00F24013" w:rsidRDefault="00D20FA1">
      <w:pPr>
        <w:pStyle w:val="Heading1"/>
      </w:pPr>
      <w:r>
        <w:t>6. Tasks to add to the 8-week tracker</w:t>
      </w:r>
    </w:p>
    <w:p w14:paraId="25565A21" w14:textId="77777777" w:rsidR="00F24013" w:rsidRDefault="00D20FA1">
      <w:pPr>
        <w:pStyle w:val="ListParagraph"/>
        <w:numPr>
          <w:ilvl w:val="0"/>
          <w:numId w:val="2"/>
        </w:numPr>
        <w:spacing w:after="90" w:line="268" w:lineRule="auto"/>
      </w:pPr>
      <w:r>
        <w:rPr>
          <w:b/>
          <w:bCs/>
        </w:rPr>
        <w:t>Week 1:</w:t>
      </w:r>
      <w:r>
        <w:t xml:space="preserve"> decide which AI categories are in scope (self-monitoring, gamification, wellness metrics/wearables, predictive analytics, JITAIs, conversational agents, recommenders); record the decision in the protocol.</w:t>
      </w:r>
    </w:p>
    <w:p w14:paraId="7CCC6BB1" w14:textId="77777777" w:rsidR="00F24013" w:rsidRDefault="00D20FA1">
      <w:pPr>
        <w:pStyle w:val="ListParagraph"/>
        <w:numPr>
          <w:ilvl w:val="0"/>
          <w:numId w:val="2"/>
        </w:numPr>
        <w:spacing w:after="90" w:line="268" w:lineRule="auto"/>
      </w:pPr>
      <w:r>
        <w:rPr>
          <w:b/>
          <w:bCs/>
        </w:rPr>
        <w:t>Week 2:</w:t>
      </w:r>
      <w:r>
        <w:t xml:space="preserve"> extend the AI search block with the terms in Section 4; add the four AI-specific appraisal checks to the protocol.</w:t>
      </w:r>
    </w:p>
    <w:p w14:paraId="494C5EFC" w14:textId="77777777" w:rsidR="00F24013" w:rsidRDefault="00D20FA1">
      <w:pPr>
        <w:pStyle w:val="ListParagraph"/>
        <w:numPr>
          <w:ilvl w:val="0"/>
          <w:numId w:val="2"/>
        </w:numPr>
        <w:spacing w:after="90" w:line="268" w:lineRule="auto"/>
      </w:pPr>
      <w:r>
        <w:rPr>
          <w:b/>
          <w:bCs/>
        </w:rPr>
        <w:t>Weeks 4–5:</w:t>
      </w:r>
      <w:r>
        <w:t xml:space="preserve"> add columns to the extraction matrix for AI tool category, validation status, data types collected, and deployment/regulatory status.</w:t>
      </w:r>
    </w:p>
    <w:p w14:paraId="11E4C2CA" w14:textId="77777777" w:rsidR="00F24013" w:rsidRDefault="00D20FA1">
      <w:pPr>
        <w:pStyle w:val="ListParagraph"/>
        <w:numPr>
          <w:ilvl w:val="0"/>
          <w:numId w:val="2"/>
        </w:numPr>
        <w:spacing w:after="90" w:line="268" w:lineRule="auto"/>
      </w:pPr>
      <w:r>
        <w:rPr>
          <w:b/>
          <w:bCs/>
        </w:rPr>
        <w:t>Week 6:</w:t>
      </w:r>
      <w:r>
        <w:t xml:space="preserve"> write an AI-tools sub-section under each pillar and build a small typology table (category × pillar × evidence strength).</w:t>
      </w:r>
    </w:p>
    <w:p w14:paraId="10117FAD" w14:textId="77777777" w:rsidR="00F24013" w:rsidRDefault="00D20FA1">
      <w:pPr>
        <w:pStyle w:val="Heading1"/>
      </w:pPr>
      <w:r>
        <w:t>Orienting references for the AI dimension</w:t>
      </w:r>
    </w:p>
    <w:p w14:paraId="0A5BBD7C" w14:textId="77777777" w:rsidR="00F24013" w:rsidRDefault="00D20FA1">
      <w:pPr>
        <w:spacing w:after="160" w:line="276" w:lineRule="auto"/>
        <w:jc w:val="both"/>
      </w:pPr>
      <w:r>
        <w:t>Verify and expand each against the primary record.</w:t>
      </w:r>
    </w:p>
    <w:p w14:paraId="7C80E2E9" w14:textId="77777777" w:rsidR="00F24013" w:rsidRDefault="00D20FA1">
      <w:pPr>
        <w:pStyle w:val="ListParagraph"/>
        <w:numPr>
          <w:ilvl w:val="0"/>
          <w:numId w:val="2"/>
        </w:numPr>
        <w:spacing w:after="110" w:line="262" w:lineRule="auto"/>
      </w:pPr>
      <w:r>
        <w:lastRenderedPageBreak/>
        <w:t>Heinz, M. V., et al. (2025). Ecological momentary assessment and deep learning to predict non-prescribed opioid use, treatment retention, and medication nonadherence in MOUD. Journal of Substance Use and Addiction Treatment, 173: 209685.</w:t>
      </w:r>
    </w:p>
    <w:p w14:paraId="778DEC91" w14:textId="77777777" w:rsidR="00F24013" w:rsidRDefault="00D20FA1">
      <w:pPr>
        <w:pStyle w:val="ListParagraph"/>
        <w:numPr>
          <w:ilvl w:val="0"/>
          <w:numId w:val="2"/>
        </w:numPr>
        <w:spacing w:after="110" w:line="262" w:lineRule="auto"/>
      </w:pPr>
      <w:r>
        <w:t>Carreiro, S., et al. (2021). Realize, Analyze, Engage (RAE): a digital tool to support recovery from substance use disorder. Journal of Psychiatry and Brain Science, 6. (See also the 2024 observational accuracy/engagement evaluation.)</w:t>
      </w:r>
    </w:p>
    <w:p w14:paraId="1AB9747C" w14:textId="77777777" w:rsidR="00F24013" w:rsidRDefault="00D20FA1">
      <w:pPr>
        <w:pStyle w:val="ListParagraph"/>
        <w:numPr>
          <w:ilvl w:val="0"/>
          <w:numId w:val="2"/>
        </w:numPr>
        <w:spacing w:after="110" w:line="262" w:lineRule="auto"/>
      </w:pPr>
      <w:r>
        <w:t>Digital phenotyping to enhance substance use treatment (2020), and subsequent reviews of wearable/passive-sensing approaches to relapse risk.</w:t>
      </w:r>
    </w:p>
    <w:p w14:paraId="57B66B9F" w14:textId="77777777" w:rsidR="00F24013" w:rsidRDefault="00D20FA1">
      <w:pPr>
        <w:pStyle w:val="ListParagraph"/>
        <w:numPr>
          <w:ilvl w:val="0"/>
          <w:numId w:val="2"/>
        </w:numPr>
        <w:spacing w:after="110" w:line="262" w:lineRule="auto"/>
      </w:pPr>
      <w:r>
        <w:t>Review: Digital therapies for substance use disorders — recent advances and engagement strategies (2026), Substance Abuse and Rehabilitation — for the mixed gamification/engagement evidence.</w:t>
      </w:r>
    </w:p>
    <w:p w14:paraId="0C4BA3E8" w14:textId="77777777" w:rsidR="00F24013" w:rsidRDefault="00D20FA1">
      <w:pPr>
        <w:pStyle w:val="ListParagraph"/>
        <w:numPr>
          <w:ilvl w:val="0"/>
          <w:numId w:val="2"/>
        </w:numPr>
        <w:spacing w:after="110" w:line="262" w:lineRule="auto"/>
      </w:pPr>
      <w:r>
        <w:t xml:space="preserve">Manning, V., et al. (2026). Patient engagement with a gamified, </w:t>
      </w:r>
      <w:proofErr w:type="spellStart"/>
      <w:r>
        <w:t>personalised</w:t>
      </w:r>
      <w:proofErr w:type="spellEnd"/>
      <w:r>
        <w:t xml:space="preserve"> approach-bias-modification app for harmful alcohol use: a qualitative study. Addiction Science &amp; Clinical Practice.</w:t>
      </w:r>
    </w:p>
    <w:p w14:paraId="4CDBB965" w14:textId="77777777" w:rsidR="00F24013" w:rsidRDefault="00D20FA1">
      <w:pPr>
        <w:pStyle w:val="ListParagraph"/>
        <w:numPr>
          <w:ilvl w:val="0"/>
          <w:numId w:val="2"/>
        </w:numPr>
        <w:spacing w:after="110" w:line="262" w:lineRule="auto"/>
      </w:pPr>
      <w:r>
        <w:t>Predictive model protocol combining passive digital biomarkers, psychological assessment, and facial emotion recognition for SUD rehabilitation (2025), JMIR Research Protocols, e71374.</w:t>
      </w:r>
    </w:p>
    <w:p w14:paraId="246447C9" w14:textId="77777777" w:rsidR="00F24013" w:rsidRDefault="00D20FA1">
      <w:pPr>
        <w:pStyle w:val="ListParagraph"/>
        <w:numPr>
          <w:ilvl w:val="0"/>
          <w:numId w:val="2"/>
        </w:numPr>
        <w:spacing w:after="110" w:line="262" w:lineRule="auto"/>
      </w:pPr>
      <w:r>
        <w:t xml:space="preserve">FDA clearance and history of </w:t>
      </w:r>
      <w:proofErr w:type="spellStart"/>
      <w:r>
        <w:t>reSET</w:t>
      </w:r>
      <w:proofErr w:type="spellEnd"/>
      <w:r>
        <w:t xml:space="preserve"> (2017) and </w:t>
      </w:r>
      <w:proofErr w:type="spellStart"/>
      <w:r>
        <w:t>reSET</w:t>
      </w:r>
      <w:proofErr w:type="spellEnd"/>
      <w:r>
        <w:t xml:space="preserve">-O (2018); Pear Therapeutics bankruptcy (2023); acquisition and relaunch by </w:t>
      </w:r>
      <w:proofErr w:type="spellStart"/>
      <w:r>
        <w:t>PursueCare</w:t>
      </w:r>
      <w:proofErr w:type="spellEnd"/>
      <w:r>
        <w:t xml:space="preserve"> (</w:t>
      </w:r>
      <w:proofErr w:type="gramStart"/>
      <w:r>
        <w:t>2024) —</w:t>
      </w:r>
      <w:proofErr w:type="gramEnd"/>
      <w:r>
        <w:t xml:space="preserve"> verify against FDA decision summaries and contemporaneous reporting.</w:t>
      </w:r>
    </w:p>
    <w:p w14:paraId="3622B9AB" w14:textId="77777777" w:rsidR="00F24013" w:rsidRDefault="00D20FA1">
      <w:pPr>
        <w:pStyle w:val="ListParagraph"/>
        <w:numPr>
          <w:ilvl w:val="0"/>
          <w:numId w:val="2"/>
        </w:numPr>
        <w:spacing w:after="110" w:line="262" w:lineRule="auto"/>
      </w:pPr>
      <w:r>
        <w:t>Giorgi, S., et al. (2024). Evaluating generative AI responses to real-world drug-related questions. Psychiatry Research, 339: 116058.</w:t>
      </w:r>
    </w:p>
    <w:sectPr w:rsidR="00F240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C13C5" w14:textId="77777777" w:rsidR="00D20FA1" w:rsidRDefault="00D20FA1">
      <w:r>
        <w:separator/>
      </w:r>
    </w:p>
  </w:endnote>
  <w:endnote w:type="continuationSeparator" w:id="0">
    <w:p w14:paraId="6D29A076" w14:textId="77777777" w:rsidR="00D20FA1" w:rsidRDefault="00D20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B9D5" w14:textId="77777777" w:rsidR="00F24013" w:rsidRDefault="00D20FA1">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A90E1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D9A6" w14:textId="77777777" w:rsidR="00D20FA1" w:rsidRDefault="00D20FA1">
      <w:r>
        <w:separator/>
      </w:r>
    </w:p>
  </w:footnote>
  <w:footnote w:type="continuationSeparator" w:id="0">
    <w:p w14:paraId="4FC2777C" w14:textId="77777777" w:rsidR="00D20FA1" w:rsidRDefault="00D20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891" w14:textId="77777777" w:rsidR="00F24013" w:rsidRDefault="00D20FA1">
    <w:pPr>
      <w:pBdr>
        <w:bottom w:val="single" w:sz="4" w:space="4" w:color="CCCCCC"/>
      </w:pBdr>
    </w:pPr>
    <w:r>
      <w:rPr>
        <w:color w:val="777777"/>
        <w:sz w:val="16"/>
        <w:szCs w:val="16"/>
      </w:rPr>
      <w:t>Strengthening the AI Dimension — Expansion to the Research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0E63"/>
    <w:multiLevelType w:val="hybridMultilevel"/>
    <w:tmpl w:val="31C491A6"/>
    <w:lvl w:ilvl="0" w:tplc="2A9ACFEA">
      <w:start w:val="1"/>
      <w:numFmt w:val="bullet"/>
      <w:lvlText w:val="●"/>
      <w:lvlJc w:val="left"/>
      <w:pPr>
        <w:ind w:left="720" w:hanging="360"/>
      </w:pPr>
    </w:lvl>
    <w:lvl w:ilvl="1" w:tplc="F9C0023E">
      <w:start w:val="1"/>
      <w:numFmt w:val="bullet"/>
      <w:lvlText w:val="○"/>
      <w:lvlJc w:val="left"/>
      <w:pPr>
        <w:ind w:left="1440" w:hanging="360"/>
      </w:pPr>
    </w:lvl>
    <w:lvl w:ilvl="2" w:tplc="3CFCE54A">
      <w:start w:val="1"/>
      <w:numFmt w:val="bullet"/>
      <w:lvlText w:val="■"/>
      <w:lvlJc w:val="left"/>
      <w:pPr>
        <w:ind w:left="2160" w:hanging="360"/>
      </w:pPr>
    </w:lvl>
    <w:lvl w:ilvl="3" w:tplc="D63C663C">
      <w:start w:val="1"/>
      <w:numFmt w:val="bullet"/>
      <w:lvlText w:val="●"/>
      <w:lvlJc w:val="left"/>
      <w:pPr>
        <w:ind w:left="2880" w:hanging="360"/>
      </w:pPr>
    </w:lvl>
    <w:lvl w:ilvl="4" w:tplc="78CCA006">
      <w:start w:val="1"/>
      <w:numFmt w:val="bullet"/>
      <w:lvlText w:val="○"/>
      <w:lvlJc w:val="left"/>
      <w:pPr>
        <w:ind w:left="3600" w:hanging="360"/>
      </w:pPr>
    </w:lvl>
    <w:lvl w:ilvl="5" w:tplc="A47A4934">
      <w:start w:val="1"/>
      <w:numFmt w:val="bullet"/>
      <w:lvlText w:val="■"/>
      <w:lvlJc w:val="left"/>
      <w:pPr>
        <w:ind w:left="4320" w:hanging="360"/>
      </w:pPr>
    </w:lvl>
    <w:lvl w:ilvl="6" w:tplc="E840A324">
      <w:start w:val="1"/>
      <w:numFmt w:val="bullet"/>
      <w:lvlText w:val="●"/>
      <w:lvlJc w:val="left"/>
      <w:pPr>
        <w:ind w:left="5040" w:hanging="360"/>
      </w:pPr>
    </w:lvl>
    <w:lvl w:ilvl="7" w:tplc="11DCA526">
      <w:start w:val="1"/>
      <w:numFmt w:val="bullet"/>
      <w:lvlText w:val="●"/>
      <w:lvlJc w:val="left"/>
      <w:pPr>
        <w:ind w:left="5760" w:hanging="360"/>
      </w:pPr>
    </w:lvl>
    <w:lvl w:ilvl="8" w:tplc="410CD170">
      <w:start w:val="1"/>
      <w:numFmt w:val="bullet"/>
      <w:lvlText w:val="●"/>
      <w:lvlJc w:val="left"/>
      <w:pPr>
        <w:ind w:left="6480" w:hanging="360"/>
      </w:pPr>
    </w:lvl>
  </w:abstractNum>
  <w:abstractNum w:abstractNumId="1" w15:restartNumberingAfterBreak="0">
    <w:nsid w:val="63B15BB5"/>
    <w:multiLevelType w:val="hybridMultilevel"/>
    <w:tmpl w:val="D8E0B00C"/>
    <w:lvl w:ilvl="0" w:tplc="2E6093EC">
      <w:start w:val="1"/>
      <w:numFmt w:val="bullet"/>
      <w:lvlText w:val="•"/>
      <w:lvlJc w:val="left"/>
      <w:pPr>
        <w:ind w:left="720" w:hanging="360"/>
      </w:pPr>
    </w:lvl>
    <w:lvl w:ilvl="1" w:tplc="66869E56">
      <w:numFmt w:val="decimal"/>
      <w:lvlText w:val=""/>
      <w:lvlJc w:val="left"/>
    </w:lvl>
    <w:lvl w:ilvl="2" w:tplc="B368351A">
      <w:numFmt w:val="decimal"/>
      <w:lvlText w:val=""/>
      <w:lvlJc w:val="left"/>
    </w:lvl>
    <w:lvl w:ilvl="3" w:tplc="9F54DE0C">
      <w:numFmt w:val="decimal"/>
      <w:lvlText w:val=""/>
      <w:lvlJc w:val="left"/>
    </w:lvl>
    <w:lvl w:ilvl="4" w:tplc="0B763034">
      <w:numFmt w:val="decimal"/>
      <w:lvlText w:val=""/>
      <w:lvlJc w:val="left"/>
    </w:lvl>
    <w:lvl w:ilvl="5" w:tplc="C444E5C4">
      <w:numFmt w:val="decimal"/>
      <w:lvlText w:val=""/>
      <w:lvlJc w:val="left"/>
    </w:lvl>
    <w:lvl w:ilvl="6" w:tplc="463859C8">
      <w:numFmt w:val="decimal"/>
      <w:lvlText w:val=""/>
      <w:lvlJc w:val="left"/>
    </w:lvl>
    <w:lvl w:ilvl="7" w:tplc="CB9E21C6">
      <w:numFmt w:val="decimal"/>
      <w:lvlText w:val=""/>
      <w:lvlJc w:val="left"/>
    </w:lvl>
    <w:lvl w:ilvl="8" w:tplc="126AF0A4">
      <w:numFmt w:val="decimal"/>
      <w:lvlText w:val=""/>
      <w:lvlJc w:val="left"/>
    </w:lvl>
  </w:abstractNum>
  <w:num w:numId="1" w16cid:durableId="200437732">
    <w:abstractNumId w:val="0"/>
    <w:lvlOverride w:ilvl="0">
      <w:startOverride w:val="1"/>
    </w:lvlOverride>
  </w:num>
  <w:num w:numId="2" w16cid:durableId="15011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013"/>
    <w:rsid w:val="00A34762"/>
    <w:rsid w:val="00A90E1C"/>
    <w:rsid w:val="00D20FA1"/>
    <w:rsid w:val="00F24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1574C"/>
  <w15:docId w15:val="{C9910118-110C-4D26-9869-FF0AE592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160" w:after="9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1938</Words>
  <Characters>11047</Characters>
  <Application>Microsoft Office Word</Application>
  <DocSecurity>0</DocSecurity>
  <Lines>92</Lines>
  <Paragraphs>25</Paragraphs>
  <ScaleCrop>false</ScaleCrop>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Godwin Bernard</cp:lastModifiedBy>
  <cp:revision>2</cp:revision>
  <dcterms:created xsi:type="dcterms:W3CDTF">2026-06-17T20:19:00Z</dcterms:created>
  <dcterms:modified xsi:type="dcterms:W3CDTF">2026-06-17T20:19:00Z</dcterms:modified>
</cp:coreProperties>
</file>