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Project Synthesis — Work to Date</w:t>
      </w:r>
    </w:p>
    <w:p>
      <w:pPr>
        <w:spacing w:after="40"/>
      </w:pPr>
      <w:r>
        <w:rPr>
          <w:i/>
          <w:iCs/>
          <w:sz w:val="24"/>
          <w:szCs w:val="24"/>
        </w:rPr>
        <w:t xml:space="preserve">Exploring the Use of Artificial Intelligence and Music-Based Therapy in Supporting Individuals with Drug Addiction and Substance Use Disorder</w:t>
      </w:r>
    </w:p>
    <w:p>
      <w:pPr>
        <w:spacing w:after="40"/>
      </w:pPr>
      <w:r>
        <w:t xml:space="preserve">Researcher: Bernard G.     </w:t>
      </w:r>
      <w:r>
        <w:t xml:space="preserve">Prepared: 17 June 2026     </w:t>
      </w:r>
      <w:r>
        <w:t xml:space="preserve">Status: consolidated project reference</w:t>
      </w:r>
    </w:p>
    <w:p>
      <w:pPr>
        <w:pBdr>
          <w:bottom w:val="single" w:color="2E75B6" w:sz="6" w:space="1"/>
        </w:pBdr>
        <w:spacing w:after="220"/>
      </w:pPr>
      <w:r>
        <w:t xml:space="preserve"/>
      </w:r>
    </w:p>
    <w:p>
      <w:pPr>
        <w:pStyle w:val="Heading1"/>
      </w:pPr>
      <w:r>
        <w:t xml:space="preserve">1. Purpose of this document</w:t>
      </w:r>
    </w:p>
    <w:p>
      <w:pPr>
        <w:spacing w:after="160" w:line="288"/>
      </w:pPr>
      <w:r>
        <w:t xml:space="preserve">This document consolidates the work completed on the study so far into a single reference. It records what the study is, the conceptual framework that organises it, the methodological decisions that have been locked, the research questions, the deliverables produced, and the principles that govern the work — together with the open task and the next phases. It is a synthesis of progress, not a literature review or a finished chapter; where it characterises evidence it does so to orient the work, and every such characterisation should be re-verified against primary sources before it enters the thesis.</w:t>
      </w:r>
    </w:p>
    <w:p>
      <w:pPr>
        <w:pStyle w:val="Heading1"/>
      </w:pPr>
      <w:r>
        <w:t xml:space="preserve">2. The study in brief</w:t>
      </w:r>
    </w:p>
    <w:p>
      <w:pPr>
        <w:spacing w:after="160" w:line="288"/>
      </w:pPr>
      <w:r>
        <w:t xml:space="preserve">The study examines how artificial intelligence tools and music-based therapeutic interventions can support recovery from substance use disorder. AI and music-based tools are framed throughout as adjuncts to professional, evidence-based treatment, never as replacements for it. Language is person-first (“people with a substance use disorder,” not “addicts”), and the burden of proof for any therapeutic claim sits with the evidence rather than with the appeal of the technology. Privacy, equity of access, and the risk of over-reliance on automated tools are treated as first-class design concerns rather than closing caveats.</w:t>
      </w:r>
    </w:p>
    <w:p>
      <w:pPr>
        <w:pStyle w:val="Heading1"/>
      </w:pPr>
      <w:r>
        <w:t xml:space="preserve">3. Conceptual framework: the four pillars</w:t>
      </w:r>
    </w:p>
    <w:p>
      <w:pPr>
        <w:spacing w:after="160" w:line="288"/>
      </w:pPr>
      <w:r>
        <w:t xml:space="preserve">The study is organised around four functions that AI and music-based interventions might serve in recovery. These pillars are the organising spine for the literature, the methods, and the analysis. They are analytically distinct but empirically entangled — an intervention that improves emotional regulation may, through that mechanism, reduce craving — and part of the contribution of the work is to be precise about which outcomes are actually being measured.</w:t>
      </w:r>
    </w:p>
    <w:p>
      <w:pPr>
        <w:spacing w:after="160" w:line="288"/>
      </w:pPr>
      <w:r>
        <w:rPr>
          <w:b/>
          <w:bCs/>
        </w:rPr>
        <w:t xml:space="preserve">Emotional regulation. </w:t>
      </w:r>
      <w:r>
        <w:t xml:space="preserve">The capacity to recognise, tolerate, and modulate affective states without recourse to substance use. Music bears on this through mood induction, relaxation, and affect-focused techniques; AI bears on it through affect detection and content that adapts to a detected or reported emotional state.</w:t>
      </w:r>
    </w:p>
    <w:p>
      <w:pPr>
        <w:spacing w:after="160" w:line="288"/>
      </w:pPr>
      <w:r>
        <w:rPr>
          <w:b/>
          <w:bCs/>
        </w:rPr>
        <w:t xml:space="preserve">Craving reduction. </w:t>
      </w:r>
      <w:r>
        <w:t xml:space="preserve">The attenuation of the urge to use. This is the pillar with the most direct clinical evidence on the music side, but also the one where music is most clearly double-edged, because music can act as a conditioned cue that induces craving. AI bears on it through lapse- and craving-prediction models and just-in-time adaptive interventions.</w:t>
      </w:r>
    </w:p>
    <w:p>
      <w:pPr>
        <w:spacing w:after="160" w:line="288"/>
      </w:pPr>
      <w:r>
        <w:rPr>
          <w:b/>
          <w:bCs/>
        </w:rPr>
        <w:t xml:space="preserve">Self-expression. </w:t>
      </w:r>
      <w:r>
        <w:t xml:space="preserve">The use of creative and communicative activity to process experience, build insight, and rebuild identity beyond the “addict” role. Clinically this maps onto established music therapy techniques; on the AI side it maps onto generative co-creation tools, which are largely unvalidated in this population.</w:t>
      </w:r>
    </w:p>
    <w:p>
      <w:pPr>
        <w:spacing w:after="160" w:line="288"/>
      </w:pPr>
      <w:r>
        <w:rPr>
          <w:b/>
          <w:bCs/>
        </w:rPr>
        <w:t xml:space="preserve">Personalised recovery support. </w:t>
      </w:r>
      <w:r>
        <w:t xml:space="preserve">The tailoring of support to the individual over time — content, timing, intensity, and modality. This is where recommender systems, conversational agents, and machine-learning personalisation are most relevant, and also where the ethical stakes are highest.</w:t>
      </w:r>
    </w:p>
    <w:p>
      <w:pPr>
        <w:pStyle w:val="Heading1"/>
      </w:pPr>
      <w:r>
        <w:t xml:space="preserve">4. Methodological decisions locked</w:t>
      </w:r>
    </w:p>
    <w:p>
      <w:pPr>
        <w:spacing w:after="160" w:line="288"/>
      </w:pPr>
      <w:r>
        <w:t xml:space="preserve">The scoping and framing phase is complete. Three binding decisions are now fixed and carry through all subsequent work.</w:t>
      </w:r>
    </w:p>
    <w:p>
      <w:pPr>
        <w:spacing w:after="160" w:line="288"/>
      </w:pPr>
      <w:r>
        <w:rPr>
          <w:b/>
          <w:bCs/>
        </w:rPr>
        <w:t xml:space="preserve">Review type. </w:t>
      </w:r>
      <w:r>
        <w:t xml:space="preserve">A scoping review reported against PRISMA-ScR, culminating in a proposed conceptual framework that maps AI and music-based interventions onto the four pillars. A meta-analysis is neither feasible in the timeframe nor the appropriate method for a heterogeneous, emerging, cross-disciplinary field; the scoping search provides transparent, reproducible coverage while the framework carries the original contribution. A standalone conceptual synthesis was rejected as too dependent on the framework's quality and lacking the transparent search examiners increasingly expect.</w:t>
      </w:r>
    </w:p>
    <w:p>
      <w:pPr>
        <w:spacing w:after="160" w:line="288"/>
      </w:pPr>
      <w:r>
        <w:rPr>
          <w:b/>
          <w:bCs/>
        </w:rPr>
        <w:t xml:space="preserve">Synthesis approach. </w:t>
      </w:r>
      <w:r>
        <w:t xml:space="preserve">The music-based and AI literatures are searched and synthesised separately against the shared four-pillar spine, rather than insisting on the three-way intersection of AI, music, and SUD, which is expected to be very thin. The size of that intersection is reported as a finding in its own right; the framework, not the empirical overlap, is the bridge between the two halves.</w:t>
      </w:r>
    </w:p>
    <w:p>
      <w:pPr>
        <w:spacing w:after="160" w:line="288"/>
      </w:pPr>
      <w:r>
        <w:rPr>
          <w:b/>
          <w:bCs/>
        </w:rPr>
        <w:t xml:space="preserve">Population scope. </w:t>
      </w:r>
      <w:r>
        <w:t xml:space="preserve">Anchored on people with alcohol use disorder (AUD), where the AI literature is densest — ecological momentary assessment, just-in-time adaptive interventions, recommender work, and the Moniz-Lewis perspective all sit here. Broader substance use disorder evidence is admitted only where AUD-specific work is absent — chiefly on the music-therapy side, where the anchoring synthesis is SUD-broad — and every such instance is flagged explicitly rather than silently generalised.</w:t>
      </w:r>
    </w:p>
    <w:p>
      <w:pPr>
        <w:pStyle w:val="Heading1"/>
      </w:pPr>
      <w:r>
        <w:t xml:space="preserve">5. Research questions</w:t>
      </w:r>
    </w:p>
    <w:p>
      <w:pPr>
        <w:spacing w:after="160" w:line="288"/>
      </w:pPr>
      <w:r>
        <w:rPr>
          <w:b/>
          <w:bCs/>
        </w:rPr>
        <w:t xml:space="preserve">Overarching. </w:t>
      </w:r>
      <w:r>
        <w:t xml:space="preserve">In what ways, and with what evidentiary support, can artificial intelligence and music-based interventions function as adjuncts to professional treatment for people with alcohol use disorder?</w:t>
      </w:r>
    </w:p>
    <w:p>
      <w:pPr>
        <w:spacing w:after="120" w:line="288"/>
        <w:ind w:left="360"/>
      </w:pPr>
      <w:r>
        <w:rPr>
          <w:b/>
          <w:bCs/>
        </w:rPr>
        <w:t xml:space="preserve">RQ1 (Emotional regulation). </w:t>
      </w:r>
      <w:r>
        <w:t xml:space="preserve">What is the evidence that music-based interventions and AI-enabled affective tools improve emotional regulation, and through what proposed mechanisms?</w:t>
      </w:r>
    </w:p>
    <w:p>
      <w:pPr>
        <w:spacing w:after="120" w:line="288"/>
        <w:ind w:left="360"/>
      </w:pPr>
      <w:r>
        <w:rPr>
          <w:b/>
          <w:bCs/>
        </w:rPr>
        <w:t xml:space="preserve">RQ2 (Craving). </w:t>
      </w:r>
      <w:r>
        <w:t xml:space="preserve">What is the evidence that these tools reduce craving — and under what conditions might music instead act as a craving cue?</w:t>
      </w:r>
    </w:p>
    <w:p>
      <w:pPr>
        <w:spacing w:after="120" w:line="288"/>
        <w:ind w:left="360"/>
      </w:pPr>
      <w:r>
        <w:rPr>
          <w:b/>
          <w:bCs/>
        </w:rPr>
        <w:t xml:space="preserve">RQ3 (Self-expression). </w:t>
      </w:r>
      <w:r>
        <w:t xml:space="preserve">How do music-based therapeutic techniques and AI co-creation tools support self-expression and identity reconstruction in recovery?</w:t>
      </w:r>
    </w:p>
    <w:p>
      <w:pPr>
        <w:spacing w:after="120" w:line="288"/>
        <w:ind w:left="360"/>
      </w:pPr>
      <w:r>
        <w:rPr>
          <w:b/>
          <w:bCs/>
        </w:rPr>
        <w:t xml:space="preserve">RQ4 (Personalisation). </w:t>
      </w:r>
      <w:r>
        <w:t xml:space="preserve">How can AI personalise recovery support across time, and what are the limits and risks of doing so?</w:t>
      </w:r>
    </w:p>
    <w:p>
      <w:pPr>
        <w:spacing w:after="120" w:line="288"/>
        <w:ind w:left="360"/>
      </w:pPr>
      <w:r>
        <w:rPr>
          <w:b/>
          <w:bCs/>
        </w:rPr>
        <w:t xml:space="preserve">RQ5 (Ethics, cross-cutting). </w:t>
      </w:r>
      <w:r>
        <w:t xml:space="preserve">What ethical, methodological, and equity considerations should govern the responsible development and study of these tools?</w:t>
      </w:r>
    </w:p>
    <w:p>
      <w:pPr>
        <w:pStyle w:val="Heading1"/>
      </w:pPr>
      <w:r>
        <w:t xml:space="preserve">6. Deliverables produced</w:t>
      </w:r>
    </w:p>
    <w:p>
      <w:pPr>
        <w:spacing w:after="160" w:line="288"/>
      </w:pPr>
      <w:r>
        <w:t xml:space="preserve">The following materials have been produced and form the working infrastructure of the project. All are in Word format, academic prose-led with clear headings, and apply stage-neutral language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E7EEF5" w:val="clear"/>
            <w:tcMar>
              <w:top w:type="dxa" w:w="80"/>
              <w:left w:type="dxa" w:w="120"/>
              <w:bottom w:type="dxa" w:w="80"/>
              <w:right w:type="dxa" w:w="120"/>
            </w:tcMar>
          </w:tcPr>
          <w:p>
            <w:pPr>
              <w:spacing w:after="0" w:line="276"/>
            </w:pPr>
            <w:r>
              <w:rPr>
                <w:b/>
                <w:bCs/>
              </w:rPr>
              <w:t xml:space="preserve">Deliverable</w:t>
            </w:r>
          </w:p>
        </w:tc>
        <w:tc>
          <w:tcPr>
            <w:tcW w:type="dxa" w:w="6660"/>
            <w:tcBorders>
              <w:top w:val="single" w:color="CCCCCC" w:sz="1"/>
              <w:left w:val="single" w:color="CCCCCC" w:sz="1"/>
              <w:bottom w:val="single" w:color="CCCCCC" w:sz="1"/>
              <w:right w:val="single" w:color="CCCCCC" w:sz="1"/>
            </w:tcBorders>
            <w:shd w:fill="E7EEF5" w:val="clear"/>
            <w:tcMar>
              <w:top w:type="dxa" w:w="80"/>
              <w:left w:type="dxa" w:w="120"/>
              <w:bottom w:type="dxa" w:w="80"/>
              <w:right w:type="dxa" w:w="120"/>
            </w:tcMar>
          </w:tcPr>
          <w:p>
            <w:pPr>
              <w:spacing w:after="0" w:line="276"/>
            </w:pPr>
            <w:r>
              <w:rPr>
                <w:b/>
                <w:bCs/>
              </w:rPr>
              <w:t xml:space="preserve">Contents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bCs/>
              </w:rPr>
              <w:t xml:space="preserve">Project instructions and memory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val="false"/>
                <w:bCs w:val="false"/>
              </w:rPr>
              <w:t xml:space="preserve">Role, domain framing, source-rigour standards, terminology precision, tone, and the ethical commitments that govern all work in this project. Establishes the four pillars as the organising framework.</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bCs/>
              </w:rPr>
              <w:t xml:space="preserve">Research strategy and plan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val="false"/>
                <w:bCs w:val="false"/>
              </w:rPr>
              <w:t xml:space="preserve">Full strategy, plan, and working instructions, grounded in current evidence: the four pillars, an orientation to the evidence base, the methodological options, search and sourcing strategy, the ethical framework, a phased plan, and standing instructions for written output. Anchored on Ghetti et al. (2022) for music therapy and the craving-cue paradox as a central constraint.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bCs/>
              </w:rPr>
              <w:t xml:space="preserve">Research tracker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val="false"/>
                <w:bCs w:val="false"/>
              </w:rPr>
              <w:t xml:space="preserve">A phased tracker with clickable checkbox controls, milestone statements per phase, and three supervisor checkpoints positioned at the points where a stalled decision is most likely to derail the timeline.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bCs/>
              </w:rPr>
              <w:t xml:space="preserve">AI dimension expansion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val="false"/>
                <w:bCs w:val="false"/>
              </w:rPr>
              <w:t xml:space="preserve">A typology of five AI tool categories — self-monitoring and digital self-management (including the prescription digital therapeutics reSET and reSET-O and their commercial history), gamification and engagement design, wellness metrics and digital biomarkers, predictive analytics, and just-in-time adaptive interventions — each mapped to the pillars with evidence grades and ethics flags. Produced to correct an under-weighting of the AI side relative to the more established music literature.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bCs/>
              </w:rPr>
              <w:t xml:space="preserve">Cadence concept document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val="false"/>
                <w:bCs w:val="false"/>
              </w:rPr>
              <w:t xml:space="preserve">A product brief for a music-supported recovery companion app: the core daily loop, a music library with safe / neutral / trigger tagging, an AI monitoring layer, Spotify API integration notes (including the November 2024 deprecation of audio-features and recommendations endpoints for new apps), clinically grounded gamification that rewards process rather than abstinence, a visual design language, technical architecture, safety-by-design principles, and a scoped MVP.</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bCs/>
              </w:rPr>
              <w:t xml:space="preserve">Protocol skeleton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b w:val="false"/>
                <w:bCs w:val="false"/>
              </w:rPr>
              <w:t xml:space="preserve">A one-page protocol skeleton folding in the finalised research questions and the three locked scope decisions, structured across eight sections: scope decisions, review questions, PCC eligibility criteria, information sources and search approach, selection and charting, synthesis and framework, cross-cutting ethical considerations, and orienting reading. Stage-neutral language applied throughout.</w:t>
            </w:r>
          </w:p>
        </w:tc>
      </w:tr>
    </w:tbl>
    <w:p>
      <w:pPr>
        <w:spacing w:after="40"/>
      </w:pPr>
      <w:r>
        <w:t xml:space="preserve"/>
      </w:r>
    </w:p>
    <w:p>
      <w:pPr>
        <w:pStyle w:val="Heading1"/>
      </w:pPr>
      <w:r>
        <w:t xml:space="preserve">7. Governing principles and key learnings</w:t>
      </w:r>
    </w:p>
    <w:p>
      <w:pPr>
        <w:pStyle w:val="ListParagraph"/>
        <w:numPr>
          <w:ilvl w:val="0"/>
          <w:numId w:val="2"/>
        </w:numPr>
        <w:spacing w:after="100" w:line="288"/>
      </w:pPr>
      <w:r>
        <w:rPr>
          <w:b/>
          <w:bCs/>
        </w:rPr>
        <w:t xml:space="preserve">The craving-cue paradox is a first-class constraint. </w:t>
      </w:r>
      <w:r>
        <w:t xml:space="preserve">Because music can trigger as well as soothe craving, the craving pillar cannot be framed simply as “music reduces craving.” Music is a powerful affective and associative stimulus whose effect is context-, person-, and content-dependent. This is treated as a central design constraint throughout, not a footnote.</w:t>
      </w:r>
    </w:p>
    <w:p>
      <w:pPr>
        <w:pStyle w:val="ListParagraph"/>
        <w:numPr>
          <w:ilvl w:val="0"/>
          <w:numId w:val="2"/>
        </w:numPr>
        <w:spacing w:after="100" w:line="288"/>
      </w:pPr>
      <w:r>
        <w:rPr>
          <w:b/>
          <w:bCs/>
        </w:rPr>
        <w:t xml:space="preserve">Evidence is graded honestly. </w:t>
      </w:r>
      <w:r>
        <w:t xml:space="preserve">Every key finding is tagged as established (consistent RCT or meta-analytic support), emerging (early trials or feasibility work), or speculative (proposed mechanism, no direct evidence in the population). This labelling is the spine of an honest contribution in a field prone to hype.</w:t>
      </w:r>
    </w:p>
    <w:p>
      <w:pPr>
        <w:pStyle w:val="ListParagraph"/>
        <w:numPr>
          <w:ilvl w:val="0"/>
          <w:numId w:val="2"/>
        </w:numPr>
        <w:spacing w:after="100" w:line="288"/>
      </w:pPr>
      <w:r>
        <w:rPr>
          <w:b/>
          <w:bCs/>
        </w:rPr>
        <w:t xml:space="preserve">The four pillars are the spine. </w:t>
      </w:r>
      <w:r>
        <w:t xml:space="preserve">All ideas, sources, and findings map back to the four pillars, with each substantive section stating which pillar it serves, the proposed mechanism, the outcome measured, and the strength of evidence.</w:t>
      </w:r>
    </w:p>
    <w:p>
      <w:pPr>
        <w:pStyle w:val="ListParagraph"/>
        <w:numPr>
          <w:ilvl w:val="0"/>
          <w:numId w:val="2"/>
        </w:numPr>
        <w:spacing w:after="100" w:line="288"/>
      </w:pPr>
      <w:r>
        <w:rPr>
          <w:b/>
          <w:bCs/>
        </w:rPr>
        <w:t xml:space="preserve">Separate synthesis over a sparse intersection. </w:t>
      </w:r>
      <w:r>
        <w:t xml:space="preserve">Synthesising the AI and music literatures separately against shared pillars is more tractable and more honest than insisting on the thin three-way intersection.</w:t>
      </w:r>
    </w:p>
    <w:p>
      <w:pPr>
        <w:pStyle w:val="ListParagraph"/>
        <w:numPr>
          <w:ilvl w:val="0"/>
          <w:numId w:val="2"/>
        </w:numPr>
        <w:spacing w:after="100" w:line="288"/>
      </w:pPr>
      <w:r>
        <w:rPr>
          <w:b/>
          <w:bCs/>
        </w:rPr>
        <w:t xml:space="preserve">Equity and over-reliance are surfaced proactively. </w:t>
      </w:r>
      <w:r>
        <w:t xml:space="preserve">Barriers such as the need for a paid streaming tier, and the risk of over-reliance on automated tools — especially a conversational agent during a crisis — are raised next to the claims they qualify, not deferred to a limitations section.</w:t>
      </w:r>
    </w:p>
    <w:p>
      <w:pPr>
        <w:pStyle w:val="ListParagraph"/>
        <w:numPr>
          <w:ilvl w:val="0"/>
          <w:numId w:val="2"/>
        </w:numPr>
        <w:spacing w:after="100" w:line="288"/>
      </w:pPr>
      <w:r>
        <w:rPr>
          <w:b/>
          <w:bCs/>
        </w:rPr>
        <w:t xml:space="preserve">Terminological precision is maintained. </w:t>
      </w:r>
      <w:r>
        <w:t xml:space="preserve">Music therapy delivered by a credentialed therapist, music-based interventions more broadly, and consumer music listening are kept distinct, as are SUD severity levels; terms are defined on first use.</w:t>
      </w:r>
    </w:p>
    <w:p>
      <w:pPr>
        <w:pStyle w:val="ListParagraph"/>
        <w:numPr>
          <w:ilvl w:val="0"/>
          <w:numId w:val="2"/>
        </w:numPr>
        <w:spacing w:after="100" w:line="288"/>
      </w:pPr>
      <w:r>
        <w:rPr>
          <w:b/>
          <w:bCs/>
        </w:rPr>
        <w:t xml:space="preserve">Claims are verified before assertion. </w:t>
      </w:r>
      <w:r>
        <w:t xml:space="preserve">Any empirical or factual claim about a current tool, study, or statistic is checked against an up-to-date primary source rather than reproduced from memory.</w:t>
      </w:r>
    </w:p>
    <w:p>
      <w:pPr>
        <w:pStyle w:val="Heading1"/>
      </w:pPr>
      <w:r>
        <w:t xml:space="preserve">8. Current state and open task</w:t>
      </w:r>
    </w:p>
    <w:p>
      <w:pPr>
        <w:spacing w:after="160" w:line="288"/>
      </w:pPr>
      <w:r>
        <w:t xml:space="preserve">The scoping and framing phase is complete: the design, synthesis approach, and population scope are locked; the research questions are finalised; and the protocol skeleton is ready for supervisor sign-off. The immediate open task is citation verification. In particular, the Silverman et al. (2023) systematic review on music as a cue for substance craving — which anchors the craving-cue paradox — remains unverified and requires confirmation of its full citation against the primary record before it is relied upon in any submitted material. The Ghetti et al. (2022) and Moniz-Lewis et al. (2025) anchors should be confirmed in the same pass.</w:t>
      </w:r>
    </w:p>
    <w:p>
      <w:pPr>
        <w:pStyle w:val="Heading1"/>
      </w:pPr>
      <w:r>
        <w:t xml:space="preserve">9. On the horizon</w:t>
      </w:r>
    </w:p>
    <w:p>
      <w:pPr>
        <w:pStyle w:val="ListParagraph"/>
        <w:numPr>
          <w:ilvl w:val="0"/>
          <w:numId w:val="2"/>
        </w:numPr>
        <w:spacing w:after="100" w:line="288"/>
      </w:pPr>
      <w:r>
        <w:t xml:space="preserve">Supervisor checkpoint review of the protocol skeleton and research questions.</w:t>
      </w:r>
    </w:p>
    <w:p>
      <w:pPr>
        <w:pStyle w:val="ListParagraph"/>
        <w:numPr>
          <w:ilvl w:val="0"/>
          <w:numId w:val="2"/>
        </w:numPr>
        <w:spacing w:after="100" w:line="288"/>
      </w:pPr>
      <w:r>
        <w:t xml:space="preserve">Finalisation of Boolean search strings, inclusion and exclusion criteria, and appraisal tools, with protocol registration where eligible.</w:t>
      </w:r>
    </w:p>
    <w:p>
      <w:pPr>
        <w:pStyle w:val="ListParagraph"/>
        <w:numPr>
          <w:ilvl w:val="0"/>
          <w:numId w:val="2"/>
        </w:numPr>
        <w:spacing w:after="100" w:line="288"/>
      </w:pPr>
      <w:r>
        <w:t xml:space="preserve">Literature search execution across databases under the locked PRISMA-ScR framework, with deduplication, screening, and a logged PRISMA flow.</w:t>
      </w:r>
    </w:p>
    <w:p>
      <w:pPr>
        <w:pStyle w:val="ListParagraph"/>
        <w:numPr>
          <w:ilvl w:val="0"/>
          <w:numId w:val="2"/>
        </w:numPr>
        <w:spacing w:after="100" w:line="288"/>
      </w:pPr>
      <w:r>
        <w:t xml:space="preserve">Quality appraisal and extraction into a pillar-keyed evidence matrix with strength-of-evidence tags.</w:t>
      </w:r>
    </w:p>
    <w:p>
      <w:pPr>
        <w:pStyle w:val="ListParagraph"/>
        <w:numPr>
          <w:ilvl w:val="0"/>
          <w:numId w:val="2"/>
        </w:numPr>
        <w:spacing w:after="100" w:line="288"/>
      </w:pPr>
      <w:r>
        <w:t xml:space="preserve">Separate synthesis of the AI and music-based literatures against the four-pillar spine.</w:t>
      </w:r>
    </w:p>
    <w:p>
      <w:pPr>
        <w:pStyle w:val="ListParagraph"/>
        <w:numPr>
          <w:ilvl w:val="0"/>
          <w:numId w:val="2"/>
        </w:numPr>
        <w:spacing w:after="100" w:line="288"/>
      </w:pPr>
      <w:r>
        <w:t xml:space="preserve">Construction of the proposed conceptual framework from the synthesised findings, with primary empirical work reserved for future research.</w:t>
      </w:r>
    </w:p>
    <w:p>
      <w:pPr>
        <w:pStyle w:val="Heading1"/>
      </w:pPr>
      <w:r>
        <w:t xml:space="preserve">Primary anchoring sources</w:t>
      </w:r>
    </w:p>
    <w:p>
      <w:pPr>
        <w:spacing w:after="160" w:line="288"/>
      </w:pPr>
      <w:r>
        <w:t xml:space="preserve">These are the working anchors carried through the project. Each should be confirmed and expanded against the primary record.</w:t>
      </w:r>
    </w:p>
    <w:p>
      <w:pPr>
        <w:pStyle w:val="ListParagraph"/>
        <w:numPr>
          <w:ilvl w:val="0"/>
          <w:numId w:val="2"/>
        </w:numPr>
        <w:spacing w:after="100" w:line="288"/>
      </w:pPr>
      <w:r>
        <w:t xml:space="preserve">Ghetti, C., Chen, X.-J., Brenner, A. K., Hakvoort, L. G., Lien, L., Fachner, J., et al. (2022). Music therapy for people with substance use disorders. Cochrane Database of Systematic Reviews, 5: CD012576.</w:t>
      </w:r>
    </w:p>
    <w:p>
      <w:pPr>
        <w:pStyle w:val="ListParagraph"/>
        <w:numPr>
          <w:ilvl w:val="0"/>
          <w:numId w:val="2"/>
        </w:numPr>
        <w:spacing w:after="100" w:line="288"/>
      </w:pPr>
      <w:r>
        <w:t xml:space="preserve">Silverman, M. J., et al. (2023). Systematic review on music as a cue for substance craving. </w:t>
      </w:r>
      <w:r>
        <w:rPr>
          <w:i/>
          <w:iCs/>
        </w:rPr>
        <w:t xml:space="preserve">Full citation unverified — requires confirmation.</w:t>
      </w:r>
    </w:p>
    <w:p>
      <w:pPr>
        <w:pStyle w:val="ListParagraph"/>
        <w:numPr>
          <w:ilvl w:val="0"/>
          <w:numId w:val="2"/>
        </w:numPr>
        <w:spacing w:after="100" w:line="288"/>
      </w:pPr>
      <w:r>
        <w:t xml:space="preserve">Moniz-Lewis, D. I. K., Kirouac, M., McCool, M. W., Schwebel, F. J., &amp; Witkiewitz, K. (2025). Perspective on using artificial intelligence in alcohol research and treatment: Opportunities and ethical considerations. Alcohol Research: Current Reviews, 45(1).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AI &amp; Music-Based Therapy in SUD Recovery — Project Synthesis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2026-06-17T20:29:34.355Z</dcterms:created>
  <dcterms:modified xsi:type="dcterms:W3CDTF">2026-06-17T20:29:34.355Z</dcterms:modified>
</cp:coreProperties>
</file>

<file path=docProps/custom.xml><?xml version="1.0" encoding="utf-8"?>
<Properties xmlns="http://schemas.openxmlformats.org/officeDocument/2006/custom-properties" xmlns:vt="http://schemas.openxmlformats.org/officeDocument/2006/docPropsVTypes"/>
</file>