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jc w:val="left"/>
        <w:rPr>
          <w:rFonts w:ascii="Arial" w:hAnsi="Arial"/>
        </w:rPr>
      </w:pPr>
      <w:bookmarkStart w:id="0" w:name="__RefHeading___Toc143_2557962395"/>
      <w:bookmarkEnd w:id="0"/>
      <w:r>
        <w:rPr>
          <w:rFonts w:ascii="Arial" w:hAnsi="Arial"/>
        </w:rPr>
        <w:t>THÈME :</w:t>
      </w:r>
      <w:r>
        <w:rPr>
          <w:rFonts w:cs="Times New Roman" w:ascii="Arial" w:hAnsi="Arial"/>
          <w:b/>
          <w:bCs/>
          <w:sz w:val="36"/>
          <w:szCs w:val="36"/>
        </w:rPr>
        <w:t>NORMES DE QUALITÉ DANS L'INDUSTRIE</w:t>
      </w:r>
    </w:p>
    <w:p>
      <w:pPr>
        <w:pStyle w:val="Heading1"/>
        <w:bidi w:val="0"/>
        <w:ind w:hanging="0" w:left="0"/>
        <w:jc w:val="left"/>
        <w:rPr>
          <w:rFonts w:ascii="Arial" w:hAnsi="Arial"/>
        </w:rPr>
      </w:pPr>
      <w:bookmarkStart w:id="1" w:name="__RefHeading___Toc145_2557962395"/>
      <w:bookmarkEnd w:id="1"/>
      <w:r>
        <w:rPr>
          <w:rFonts w:ascii="Arial" w:hAnsi="Arial"/>
        </w:rPr>
        <w:t>DES PRODUITS CARNÉS.</w:t>
      </w:r>
      <w:r>
        <w:br w:type="page"/>
      </w:r>
    </w:p>
    <w:p>
      <w:pPr>
        <w:pStyle w:val="Heading1"/>
        <w:numPr>
          <w:ilvl w:val="0"/>
          <w:numId w:val="0"/>
        </w:numPr>
        <w:bidi w:val="0"/>
        <w:ind w:hanging="0" w:left="0"/>
        <w:jc w:val="left"/>
        <w:rPr>
          <w:sz w:val="24"/>
          <w:szCs w:val="24"/>
        </w:rPr>
      </w:pPr>
      <w:r>
        <w:rPr>
          <w:sz w:val="24"/>
          <w:szCs w:val="24"/>
        </w:rPr>
      </w:r>
      <w:bookmarkStart w:id="2" w:name="__RefHeading___Toc147_2557962395"/>
      <w:bookmarkEnd w:id="2"/>
    </w:p>
    <w:sdt>
      <w:sdtPr>
        <w:docPartObj>
          <w:docPartGallery w:val="Table of Contents"/>
          <w:docPartUnique w:val="true"/>
        </w:docPartObj>
      </w:sdtPr>
      <w:sdtContent>
        <w:p>
          <w:pPr>
            <w:pStyle w:val="TOCHeading"/>
            <w:bidi w:val="0"/>
            <w:jc w:val="left"/>
            <w:rPr/>
          </w:pPr>
          <w:r>
            <w:rPr/>
            <w:t>Table des matières</w:t>
          </w:r>
        </w:p>
        <w:p>
          <w:pPr>
            <w:pStyle w:val="TOC1"/>
            <w:tabs>
              <w:tab w:val="clear" w:pos="9638"/>
              <w:tab w:val="right" w:pos="9637" w:leader="dot"/>
            </w:tabs>
            <w:bidi w:val="0"/>
            <w:jc w:val="left"/>
            <w:rPr/>
          </w:pPr>
          <w:r>
            <w:fldChar w:fldCharType="begin"/>
          </w:r>
          <w:r>
            <w:rPr>
              <w:rStyle w:val="Sautdindex"/>
            </w:rPr>
            <w:instrText xml:space="preserve"> TOC \f \o "1-9" \h</w:instrText>
          </w:r>
          <w:r>
            <w:rPr>
              <w:rStyle w:val="Sautdindex"/>
            </w:rPr>
            <w:fldChar w:fldCharType="separate"/>
          </w:r>
          <w:hyperlink w:anchor="__RefHeading___Toc143_2557962395" w:tooltip="THÈME :NORMES DE QUALITÉ DANS L'INDUSTRIE">
            <w:r>
              <w:rPr>
                <w:rStyle w:val="Sautdindex"/>
              </w:rPr>
              <w:t>THÈME :NORMES DE QUALITÉ DANS L'INDUSTRIE</w:t>
              <w:tab/>
              <w:t>1</w:t>
            </w:r>
          </w:hyperlink>
        </w:p>
        <w:p>
          <w:pPr>
            <w:pStyle w:val="TOC1"/>
            <w:tabs>
              <w:tab w:val="clear" w:pos="9638"/>
              <w:tab w:val="right" w:pos="9637" w:leader="dot"/>
            </w:tabs>
            <w:bidi w:val="0"/>
            <w:jc w:val="left"/>
            <w:rPr/>
          </w:pPr>
          <w:hyperlink w:anchor="__RefHeading___Toc145_2557962395" w:tooltip="DES PRODUITS CARNÉS.">
            <w:r>
              <w:rPr>
                <w:rStyle w:val="Sautdindex"/>
              </w:rPr>
              <w:t>DES PRODUITS CARNÉS.</w:t>
              <w:tab/>
              <w:t>1</w:t>
            </w:r>
          </w:hyperlink>
        </w:p>
        <w:p>
          <w:pPr>
            <w:pStyle w:val="TOC1"/>
            <w:tabs>
              <w:tab w:val="clear" w:pos="9638"/>
              <w:tab w:val="right" w:pos="9637" w:leader="dot"/>
            </w:tabs>
            <w:bidi w:val="0"/>
            <w:jc w:val="left"/>
            <w:rPr/>
          </w:pPr>
          <w:hyperlink w:anchor="__RefHeading___Toc1643_2557962395" w:tooltip="INTRODUCTION">
            <w:r>
              <w:rPr>
                <w:rStyle w:val="Sautdindex"/>
              </w:rPr>
              <w:t>INTRODUCTION</w:t>
              <w:tab/>
              <w:t>3</w:t>
            </w:r>
          </w:hyperlink>
        </w:p>
        <w:p>
          <w:pPr>
            <w:pStyle w:val="TOC2"/>
            <w:tabs>
              <w:tab w:val="clear" w:pos="9355"/>
              <w:tab w:val="right" w:pos="9637" w:leader="dot"/>
            </w:tabs>
            <w:bidi w:val="0"/>
            <w:jc w:val="left"/>
            <w:rPr/>
          </w:pPr>
          <w:hyperlink w:anchor="__RefHeading___Toc1645_2557962395" w:tooltip="L'industrie des produits carnés occupe une place centrale dans les systèmes alimentaires mondiaux, tant sur le plan économique que nutritionnel. À l'échelle mondiale, la production de viande dépasse les 340 millions de tonnes par an, mobilisant des millions d'acteurs tout au long de filières complexes qui vont de l'élevage à la distribution en passant par l'abattage et la transformation.">
            <w:r>
              <w:rPr>
                <w:rStyle w:val="Sautdindex"/>
              </w:rPr>
              <w:t>L'industrie des produits carnés occupe une place centrale dans les systèmes alimentaires mondiaux, tant sur le plan économique que nutritionnel. À l'échelle mondiale, la production de viande dépasse les 340 millions de tonnes par an, mobilisant des millions d'acteurs tout au long de filières complexes qui vont de l'élevage à la distribution en passant par l'abattage et la transformation.</w:t>
              <w:tab/>
              <w:t>3</w:t>
            </w:r>
          </w:hyperlink>
        </w:p>
        <w:p>
          <w:pPr>
            <w:pStyle w:val="TOC1"/>
            <w:tabs>
              <w:tab w:val="clear" w:pos="9638"/>
              <w:tab w:val="right" w:pos="9637" w:leader="dot"/>
            </w:tabs>
            <w:bidi w:val="0"/>
            <w:jc w:val="left"/>
            <w:rPr/>
          </w:pPr>
          <w:hyperlink w:anchor="__RefHeading___Toc1647_2557962395" w:tooltip=" I. CADRE CONCEPTUEL ET RÉGLEMENTAIRE DES NORMES DE QUALITÉ">
            <w:r>
              <w:rPr>
                <w:rStyle w:val="Sautdindex"/>
              </w:rPr>
              <w:t xml:space="preserve"> </w:t>
            </w:r>
            <w:r>
              <w:rPr>
                <w:rStyle w:val="Sautdindex"/>
              </w:rPr>
              <w:t>I. CADRE CONCEPTUEL ET RÉGLEMENTAIRE DES NORMES DE QUALITÉ</w:t>
              <w:tab/>
              <w:t>3</w:t>
            </w:r>
          </w:hyperlink>
        </w:p>
        <w:p>
          <w:pPr>
            <w:pStyle w:val="TOC2"/>
            <w:tabs>
              <w:tab w:val="clear" w:pos="9355"/>
              <w:tab w:val="right" w:pos="9637" w:leader="dot"/>
            </w:tabs>
            <w:bidi w:val="0"/>
            <w:jc w:val="left"/>
            <w:rPr/>
          </w:pPr>
          <w:hyperlink w:anchor="__RefHeading___Toc1649_2557962395" w:tooltip="La qualité d'un produit carné est une notion multidimensionnelle qui recouvre l'ensemble des propriétés et caractéristiques conférant à ce produit l'aptitude à satisfaire des besoins explicites et implicites. Selon la norme ISO 9000:2015, la qualité désigne « l'aptitude d'un ensemble de caractéristiques intrinsèques d'un objet à satisfaire des exigences ». Appliquée aux produits carnés, cette définition intègre des aspects aussi variés que l'innocuité sanitaire, les propriétés organoleptiques, la valeur nutritionnelle et la conformité aux cahiers des charges.">
            <w:r>
              <w:rPr>
                <w:rStyle w:val="Sautdindex"/>
              </w:rPr>
              <w:t>La qualité d'un produit carné est une notion multidimensionnelle qui recouvre l'ensemble des propriétés et caractéristiques conférant à ce produit l'aptitude à satisfaire des besoins explicites et implicites. Selon la norme ISO 9000:2015, la qualité désigne « l'aptitude d'un ensemble de caractéristiques intrinsèques d'un objet à satisfaire des exigences ». Appliquée aux produits carnés, cette définition intègre des aspects aussi variés que l'innocuité sanitaire, les propriétés organoleptiques, la valeur nutritionnelle et la conformité aux cahiers des charges.</w:t>
              <w:tab/>
              <w:t>3</w:t>
            </w:r>
          </w:hyperlink>
        </w:p>
        <w:p>
          <w:pPr>
            <w:pStyle w:val="TOC2"/>
            <w:tabs>
              <w:tab w:val="clear" w:pos="9355"/>
              <w:tab w:val="right" w:pos="9637" w:leader="dot"/>
            </w:tabs>
            <w:bidi w:val="0"/>
            <w:jc w:val="left"/>
            <w:rPr/>
          </w:pPr>
          <w:hyperlink w:anchor="__RefHeading___Toc1651_2557962395" w:tooltip="CONCLUSION">
            <w:r>
              <w:rPr>
                <w:rStyle w:val="Sautdindex"/>
              </w:rPr>
              <w:t>CONCLUSION</w:t>
              <w:tab/>
              <w:t>3</w:t>
            </w:r>
          </w:hyperlink>
        </w:p>
        <w:p>
          <w:pPr>
            <w:pStyle w:val="TOC2"/>
            <w:tabs>
              <w:tab w:val="clear" w:pos="9355"/>
              <w:tab w:val="right" w:pos="9637" w:leader="dot"/>
            </w:tabs>
            <w:bidi w:val="0"/>
            <w:jc w:val="left"/>
            <w:rPr/>
          </w:pPr>
          <w:hyperlink w:anchor="__RefHeading___Toc1653_2557962395" w:tooltip="Une norme est un document de référence, élaboré par consensus et approuvé par un organisme reconnu, fournissant des règles, des lignes directrices ou des caractéristiques relatives à des activités ou à leurs résultats. La conformité désigne le respect des exigences spécifiées dans ces normes. La certification, quant à elle, est l'acte par lequel un organisme tiers indépendant et accrédité atteste qu'un produit, un service ou un système de management satisfait aux exigences d'une norme donnée.">
            <w:r>
              <w:rPr>
                <w:rStyle w:val="Sautdindex"/>
              </w:rPr>
              <w:t>Une norme est un document de référence, élaboré par consensus et approuvé par un organisme reconnu, fournissant des règles, des lignes directrices ou des caractéristiques relatives à des activités ou à leurs résultats. La conformité désigne le respect des exigences spécifiées dans ces normes. La certification, quant à elle, est l'acte par lequel un organisme tiers indépendant et accrédité atteste qu'un produit, un service ou un système de management satisfait aux exigences d'une norme donnée.</w:t>
              <w:tab/>
              <w:t>3</w:t>
            </w:r>
          </w:hyperlink>
          <w:r>
            <w:rPr>
              <w:rStyle w:val="Sautdindex"/>
            </w:rPr>
            <w:fldChar w:fldCharType="end"/>
          </w:r>
        </w:p>
      </w:sdtContent>
    </w:sdt>
    <w:p>
      <w:pPr>
        <w:pStyle w:val="Heading1"/>
        <w:numPr>
          <w:ilvl w:val="0"/>
          <w:numId w:val="0"/>
        </w:numPr>
        <w:bidi w:val="0"/>
        <w:jc w:val="left"/>
        <w:rPr/>
      </w:pPr>
      <w:r>
        <w:rPr/>
      </w:r>
      <w:r>
        <w:br w:type="page"/>
      </w:r>
    </w:p>
    <w:p>
      <w:pPr>
        <w:pStyle w:val="Heading1"/>
        <w:bidi w:val="0"/>
        <w:ind w:hanging="0" w:left="0"/>
        <w:jc w:val="center"/>
        <w:rPr/>
      </w:pPr>
      <w:bookmarkStart w:id="3" w:name="__RefHeading___Toc1643_2557962395"/>
      <w:bookmarkEnd w:id="3"/>
      <w:r>
        <w:rPr/>
        <w:t>INTRODUCTION</w:t>
      </w:r>
    </w:p>
    <w:p>
      <w:pPr>
        <w:pStyle w:val="Heading2"/>
        <w:bidi w:val="0"/>
        <w:ind w:hanging="0" w:left="0"/>
        <w:jc w:val="left"/>
        <w:rPr>
          <w:b w:val="false"/>
          <w:bCs w:val="false"/>
          <w:sz w:val="24"/>
          <w:szCs w:val="24"/>
        </w:rPr>
      </w:pPr>
      <w:bookmarkStart w:id="4" w:name="__RefHeading___Toc1645_2557962395"/>
      <w:bookmarkEnd w:id="4"/>
      <w:r>
        <w:rPr>
          <w:b w:val="false"/>
          <w:bCs w:val="false"/>
          <w:sz w:val="24"/>
          <w:szCs w:val="24"/>
        </w:rPr>
        <w:t>L'industrie des produits carnés occupe une place centrale dans les systèmes alimentaires mondiaux, tant sur le plan économique que nutritionnel. À l'échelle mondiale, la production de viande dépasse les 340 millions de tonnes par an, mobilisant des millions d'acteurs tout au long de filières complexes qui vont de l'élevage à la distribution en passant par l'abattage et la transformation.</w:t>
      </w:r>
    </w:p>
    <w:p>
      <w:pPr>
        <w:pStyle w:val="Normal"/>
        <w:bidi w:val="0"/>
        <w:jc w:val="both"/>
        <w:rPr>
          <w:rFonts w:ascii="Times New Roman" w:hAnsi="Times New Roman" w:cs="Times New Roman"/>
          <w:sz w:val="24"/>
          <w:szCs w:val="24"/>
        </w:rPr>
      </w:pPr>
      <w:r>
        <w:rPr>
          <w:rFonts w:cs="Times New Roman" w:ascii="Times New Roman" w:hAnsi="Times New Roman"/>
          <w:sz w:val="24"/>
          <w:szCs w:val="24"/>
        </w:rPr>
      </w:r>
    </w:p>
    <w:p>
      <w:pPr>
        <w:pStyle w:val="Heading1"/>
        <w:bidi w:val="0"/>
        <w:ind w:hanging="0" w:left="0"/>
        <w:jc w:val="left"/>
        <w:rPr>
          <w:rFonts w:ascii="Arial" w:hAnsi="Arial"/>
        </w:rPr>
      </w:pPr>
      <w:bookmarkStart w:id="5" w:name="__RefHeading___Toc1647_2557962395"/>
      <w:bookmarkEnd w:id="5"/>
      <w:r>
        <w:rPr>
          <w:rFonts w:cs="Times New Roman" w:ascii="Arial" w:hAnsi="Arial"/>
          <w:sz w:val="24"/>
          <w:szCs w:val="24"/>
        </w:rPr>
        <w:t xml:space="preserve">   </w:t>
      </w:r>
      <w:r>
        <w:rPr>
          <w:rFonts w:cs="Times New Roman" w:ascii="Arial" w:hAnsi="Arial"/>
          <w:b/>
          <w:bCs/>
          <w:sz w:val="24"/>
          <w:szCs w:val="24"/>
        </w:rPr>
        <w:t xml:space="preserve"> </w:t>
      </w:r>
      <w:r>
        <w:rPr>
          <w:rFonts w:cs="Times New Roman" w:ascii="Arial" w:hAnsi="Arial"/>
          <w:b/>
          <w:bCs/>
          <w:sz w:val="24"/>
          <w:szCs w:val="24"/>
        </w:rPr>
        <w:t>I. CADRE CONCEPTUEL ET RÉGLEMENTAIRE DES NORMES DE QUALITÉ</w:t>
      </w:r>
    </w:p>
    <w:p>
      <w:pPr>
        <w:pStyle w:val="Normal"/>
        <w:bidi w:val="0"/>
        <w:jc w:val="both"/>
        <w:rPr>
          <w:rFonts w:ascii="Times New Roman" w:hAnsi="Times New Roman" w:cs="Times New Roman"/>
          <w:sz w:val="24"/>
          <w:szCs w:val="24"/>
        </w:rPr>
      </w:pPr>
      <w:r>
        <w:rPr>
          <w:rFonts w:cs="Times New Roman" w:ascii="Times New Roman" w:hAnsi="Times New Roman"/>
          <w:sz w:val="24"/>
          <w:szCs w:val="24"/>
        </w:rPr>
      </w:r>
    </w:p>
    <w:p>
      <w:pPr>
        <w:pStyle w:val="Heading2"/>
        <w:bidi w:val="0"/>
        <w:ind w:hanging="0" w:left="0"/>
        <w:jc w:val="both"/>
        <w:rPr>
          <w:b w:val="false"/>
          <w:bCs w:val="false"/>
          <w:sz w:val="24"/>
          <w:szCs w:val="24"/>
        </w:rPr>
      </w:pPr>
      <w:bookmarkStart w:id="6" w:name="__RefHeading___Toc1649_2557962395"/>
      <w:bookmarkEnd w:id="6"/>
      <w:r>
        <w:rPr>
          <w:b w:val="false"/>
          <w:bCs w:val="false"/>
          <w:sz w:val="24"/>
          <w:szCs w:val="24"/>
        </w:rPr>
        <w:t>La qualité d'un produit carné est une notion multidimensionnelle qui recouvre l'ensemble des propriétés et caractéristiques conférant à ce produit l'aptitude à satisfaire des besoins explicites et implicites. Selon la norme ISO 9000:2015, la qualité désigne « l'aptitude d'un ensemble de caractéristiques intrinsèques d'un objet à satisfaire des exigences ». Appliquée aux produits carnés, cette définition intègre des aspects aussi variés que l'innocuité sanitaire, les propriétés organoleptiques, la valeur nutritionnelle et la conformité aux cahiers des charges.</w:t>
      </w:r>
    </w:p>
    <w:p>
      <w:pPr>
        <w:pStyle w:val="Normal"/>
        <w:bidi w:val="0"/>
        <w:jc w:val="both"/>
        <w:rPr>
          <w:rFonts w:ascii="Times New Roman" w:hAnsi="Times New Roman" w:cs="Times New Roman"/>
          <w:sz w:val="24"/>
          <w:szCs w:val="24"/>
        </w:rPr>
      </w:pPr>
      <w:r>
        <w:rPr>
          <w:rFonts w:cs="Times New Roman" w:ascii="Times New Roman" w:hAnsi="Times New Roman"/>
          <w:sz w:val="24"/>
          <w:szCs w:val="24"/>
        </w:rPr>
      </w:r>
    </w:p>
    <w:p>
      <w:pPr>
        <w:pStyle w:val="Normal"/>
        <w:bidi w:val="0"/>
        <w:jc w:val="both"/>
        <w:rPr>
          <w:rFonts w:ascii="Times New Roman" w:hAnsi="Times New Roman" w:cs="Times New Roman"/>
          <w:sz w:val="24"/>
          <w:szCs w:val="24"/>
        </w:rPr>
      </w:pPr>
      <w:r>
        <w:rPr>
          <w:rFonts w:cs="Times New Roman" w:ascii="Times New Roman" w:hAnsi="Times New Roman"/>
          <w:sz w:val="24"/>
          <w:szCs w:val="24"/>
        </w:rPr>
      </w:r>
    </w:p>
    <w:p>
      <w:pPr>
        <w:pStyle w:val="Heading2"/>
        <w:bidi w:val="0"/>
        <w:ind w:hanging="0" w:left="0"/>
        <w:jc w:val="center"/>
        <w:rPr>
          <w:sz w:val="24"/>
          <w:szCs w:val="24"/>
        </w:rPr>
      </w:pPr>
      <w:bookmarkStart w:id="7" w:name="__RefHeading___Toc1651_2557962395"/>
      <w:bookmarkEnd w:id="7"/>
      <w:r>
        <w:rPr>
          <w:sz w:val="24"/>
          <w:szCs w:val="24"/>
        </w:rPr>
        <w:t>CONCLUSION</w:t>
      </w:r>
    </w:p>
    <w:p>
      <w:pPr>
        <w:pStyle w:val="BodyText"/>
        <w:bidi w:val="0"/>
        <w:jc w:val="center"/>
        <w:rPr>
          <w:sz w:val="24"/>
          <w:szCs w:val="24"/>
        </w:rPr>
      </w:pPr>
      <w:r>
        <w:rPr>
          <w:sz w:val="24"/>
          <w:szCs w:val="24"/>
        </w:rPr>
      </w:r>
    </w:p>
    <w:p>
      <w:pPr>
        <w:pStyle w:val="Heading2"/>
        <w:bidi w:val="0"/>
        <w:ind w:hanging="0" w:left="0"/>
        <w:jc w:val="both"/>
        <w:rPr>
          <w:b w:val="false"/>
          <w:bCs w:val="false"/>
          <w:sz w:val="24"/>
          <w:szCs w:val="24"/>
        </w:rPr>
      </w:pPr>
      <w:bookmarkStart w:id="8" w:name="__RefHeading___Toc1653_2557962395"/>
      <w:bookmarkEnd w:id="8"/>
      <w:r>
        <w:rPr>
          <w:b w:val="false"/>
          <w:bCs w:val="false"/>
          <w:sz w:val="24"/>
          <w:szCs w:val="24"/>
        </w:rPr>
        <w:t>Une norme est un document de référence, élaboré par consensus et approuvé par un organisme reconnu, fournissant des règles, des lignes directrices ou des caractéristiques relatives à des activités ou à leurs résultats. La conformité désigne le respect des exigences spécifiées dans ces normes. La certification, quant à elle, est l'acte par lequel un organisme tiers indépendant et accrédité atteste qu'un produit, un service ou un système de management satisfait aux exigences d'une norme donnée.</w:t>
      </w:r>
    </w:p>
    <w:p>
      <w:pPr>
        <w:pStyle w:val="Normal"/>
        <w:bidi w:val="0"/>
        <w:jc w:val="both"/>
        <w:rPr>
          <w:b w:val="false"/>
          <w:bCs w:val="false"/>
          <w:sz w:val="24"/>
          <w:szCs w:val="24"/>
        </w:rPr>
      </w:pPr>
      <w:r>
        <w:rPr>
          <w:b w:val="false"/>
          <w:bCs w:val="false"/>
          <w:sz w:val="24"/>
          <w:szCs w:val="24"/>
        </w:rPr>
      </w:r>
      <w:r>
        <w:br w:type="page"/>
      </w:r>
    </w:p>
    <w:p>
      <w:pPr>
        <w:pStyle w:val="Heading1"/>
        <w:bidi w:val="0"/>
        <w:ind w:hanging="0" w:left="0"/>
        <w:jc w:val="center"/>
        <w:rPr/>
      </w:pPr>
      <w:r>
        <w:rPr/>
        <w:t>BIBLIOGRAPHIE</w:t>
      </w:r>
    </w:p>
    <w:p>
      <w:pPr>
        <w:pStyle w:val="Heading2"/>
        <w:bidi w:val="0"/>
        <w:ind w:hanging="0" w:left="0"/>
        <w:jc w:val="both"/>
        <w:rPr/>
      </w:pPr>
      <w:r>
        <w:rPr>
          <w:sz w:val="24"/>
          <w:szCs w:val="24"/>
        </w:rPr>
        <w:t xml:space="preserve">Mansar, A., Chaalal, A., Fennouch, R., &amp; Laib, E. (2008). </w:t>
      </w:r>
      <w:r>
        <w:rPr>
          <w:i/>
          <w:sz w:val="24"/>
          <w:szCs w:val="24"/>
        </w:rPr>
        <w:t>Contrôle de la qualité des produits carnés d'origine aviaire (carcasses de poulet, VSM, cachir, mortadelle et conserve de pâté) dans l'unité de production à Chelghoum-Laid</w:t>
      </w:r>
      <w:r>
        <w:rPr>
          <w:sz w:val="24"/>
          <w:szCs w:val="24"/>
        </w:rPr>
        <w:t xml:space="preserve"> (Doctoral dissertation, Université de Jijel).</w:t>
      </w:r>
      <w:r>
        <w:rPr/>
        <w:t xml:space="preserve"> </w:t>
      </w:r>
    </w:p>
    <w:p>
      <w:pPr>
        <w:pStyle w:val="Heading2"/>
        <w:bidi w:val="0"/>
        <w:spacing w:before="200" w:after="120"/>
        <w:ind w:hanging="0" w:left="0"/>
        <w:jc w:val="both"/>
        <w:rPr>
          <w:sz w:val="24"/>
          <w:szCs w:val="24"/>
        </w:rPr>
      </w:pPr>
      <w:r>
        <w:rPr>
          <w:sz w:val="24"/>
          <w:szCs w:val="24"/>
        </w:rPr>
        <w:t xml:space="preserve">Clinquart, A. (2006). La recherche et le développement en Europe dans le domaiine de la qualité et de la technologie de la viande et des produits carnés. In </w:t>
      </w:r>
      <w:r>
        <w:rPr>
          <w:i/>
          <w:sz w:val="24"/>
          <w:szCs w:val="24"/>
        </w:rPr>
        <w:t>11èmes Journées des Sciences du Muscle et Technologies de la Viande</w:t>
      </w:r>
      <w:r>
        <w:rPr>
          <w:sz w:val="24"/>
          <w:szCs w:val="24"/>
        </w:rPr>
        <w:t xml:space="preserve">. </w:t>
      </w:r>
    </w:p>
    <w:sectPr>
      <w:headerReference w:type="default" r:id="rId2"/>
      <w:footerReference w:type="default" r:id="rId3"/>
      <w:type w:val="nextPage"/>
      <w:pgSz w:w="11906" w:h="16838"/>
      <w:pgMar w:left="1134" w:right="1134" w:gutter="0" w:header="1134" w:top="1693" w:footer="1134" w:bottom="1693"/>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w:charset w:val="00"/>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left"/>
      <w:rPr/>
    </w:pPr>
    <w:r>
      <w:rPr/>
      <w:t>IST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pPr>
    <w:r>
      <w:rPr/>
      <w:t>YOUGBARE BERNARD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95"/>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FR" w:eastAsia="zh-CN" w:bidi="hi-IN"/>
    </w:rPr>
  </w:style>
  <w:style w:type="paragraph" w:styleId="Heading1">
    <w:name w:val="heading 1"/>
    <w:basedOn w:val="Titre"/>
    <w:next w:val="BodyText"/>
    <w:qFormat/>
    <w:pPr>
      <w:numPr>
        <w:ilvl w:val="0"/>
        <w:numId w:val="1"/>
      </w:numPr>
      <w:spacing w:before="240" w:after="120"/>
      <w:outlineLvl w:val="0"/>
    </w:pPr>
    <w:rPr>
      <w:b/>
      <w:bCs/>
      <w:sz w:val="36"/>
      <w:szCs w:val="36"/>
    </w:rPr>
  </w:style>
  <w:style w:type="paragraph" w:styleId="Heading2">
    <w:name w:val="heading 2"/>
    <w:basedOn w:val="Titre"/>
    <w:next w:val="BodyText"/>
    <w:qFormat/>
    <w:pPr>
      <w:numPr>
        <w:ilvl w:val="1"/>
        <w:numId w:val="1"/>
      </w:numPr>
      <w:spacing w:before="200" w:after="120"/>
      <w:outlineLvl w:val="1"/>
    </w:pPr>
    <w:rPr>
      <w:b/>
      <w:bCs/>
      <w:sz w:val="32"/>
      <w:szCs w:val="32"/>
    </w:rPr>
  </w:style>
  <w:style w:type="paragraph" w:styleId="Heading3">
    <w:name w:val="heading 3"/>
    <w:basedOn w:val="Titre"/>
    <w:next w:val="BodyText"/>
    <w:qFormat/>
    <w:pPr>
      <w:numPr>
        <w:ilvl w:val="2"/>
        <w:numId w:val="1"/>
      </w:numPr>
      <w:spacing w:before="140" w:after="120"/>
      <w:outlineLvl w:val="2"/>
    </w:pPr>
    <w:rPr>
      <w:b/>
      <w:bCs/>
      <w:sz w:val="28"/>
      <w:szCs w:val="28"/>
    </w:rPr>
  </w:style>
  <w:style w:type="character" w:styleId="DefaultParagraphFont">
    <w:name w:val="Default Paragraph Font"/>
    <w:qFormat/>
    <w:rPr/>
  </w:style>
  <w:style w:type="character" w:styleId="Hyperlink">
    <w:name w:val="Hyperlink"/>
    <w:rPr>
      <w:color w:val="000080"/>
      <w:u w:val="single"/>
    </w:rPr>
  </w:style>
  <w:style w:type="character" w:styleId="Sautdindex">
    <w:name w:val="Saut d'index"/>
    <w:qFormat/>
    <w:rPr/>
  </w:style>
  <w:style w:type="character" w:styleId="Titre1Car">
    <w:name w:val="Titre 1 Car"/>
    <w:basedOn w:val="DefaultParagraphFont"/>
    <w:qFormat/>
    <w:rPr>
      <w:rFonts w:cs="Times New Roman"/>
      <w:b/>
      <w:bCs/>
      <w:color w:val="1A3A5C"/>
      <w:sz w:val="32"/>
      <w:szCs w:val="32"/>
    </w:rPr>
  </w:style>
  <w:style w:type="character" w:styleId="Titre2Car">
    <w:name w:val="Titre 2 Car"/>
    <w:basedOn w:val="DefaultParagraphFont"/>
    <w:qFormat/>
    <w:rPr>
      <w:rFonts w:cs="Times New Roman"/>
      <w:b/>
      <w:bCs/>
      <w:color w:val="2E6DA4"/>
      <w:sz w:val="26"/>
      <w:szCs w:val="26"/>
    </w:rPr>
  </w:style>
  <w:style w:type="character" w:styleId="Titre3Car">
    <w:name w:val="Titre 3 Car"/>
    <w:basedOn w:val="DefaultParagraphFont"/>
    <w:qFormat/>
    <w:rPr>
      <w:rFonts w:cs="Times New Roman"/>
      <w:b/>
      <w:bCs/>
      <w:color w:val="C0392B"/>
      <w:sz w:val="24"/>
      <w:szCs w:val="24"/>
    </w:rPr>
  </w:style>
  <w:style w:type="character" w:styleId="Caractresdenotedebasdepage">
    <w:name w:val="Caractères de note de bas de page"/>
    <w:qFormat/>
    <w:rPr/>
  </w:style>
  <w:style w:type="character" w:styleId="FootnoteReference">
    <w:name w:val="footnote reference"/>
    <w:rPr>
      <w:vertAlign w:val="superscript"/>
    </w:rPr>
  </w:style>
  <w:style w:type="character" w:styleId="Caractresdenotedefin">
    <w:name w:val="Caractères de note de fin"/>
    <w:qFormat/>
    <w:rPr/>
  </w:style>
  <w:style w:type="character" w:styleId="EndnoteReference">
    <w:name w:val="endnote reference"/>
    <w:rPr>
      <w:vertAlign w:val="superscript"/>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Titre"/>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09"/>
        <w:tab w:val="right" w:pos="9638" w:leader="dot"/>
      </w:tabs>
      <w:ind w:hanging="0" w:left="0"/>
    </w:pPr>
    <w:rPr/>
  </w:style>
  <w:style w:type="paragraph" w:styleId="ListParagraph">
    <w:name w:val="List Paragraph"/>
    <w:qFormat/>
    <w:pPr>
      <w:widowControl/>
      <w:bidi w:val="0"/>
      <w:jc w:val="left"/>
      <w:textAlignment w:val="auto"/>
    </w:pPr>
    <w:rPr>
      <w:rFonts w:ascii="Arial" w:hAnsi="Arial" w:eastAsia="Arial" w:cs="Arial"/>
      <w:color w:val="4A4A4A"/>
      <w:kern w:val="2"/>
      <w:sz w:val="22"/>
      <w:szCs w:val="22"/>
      <w:lang w:val="fr-FR" w:eastAsia="fr-FR" w:bidi="ar-SA"/>
    </w:rPr>
  </w:style>
  <w:style w:type="paragraph" w:styleId="TOC2">
    <w:name w:val="toc 2"/>
    <w:basedOn w:val="Index"/>
    <w:pPr>
      <w:tabs>
        <w:tab w:val="clear" w:pos="709"/>
        <w:tab w:val="right" w:pos="9638" w:leader="dot"/>
      </w:tabs>
      <w:ind w:hanging="0" w:left="283"/>
    </w:pPr>
    <w:rPr/>
  </w:style>
  <w:style w:type="paragraph" w:styleId="En-tteetpieddepage">
    <w:name w:val="En-tête et pied de page"/>
    <w:basedOn w:val="Normal"/>
    <w:qFormat/>
    <w:pPr>
      <w:suppressLineNumbers/>
      <w:tabs>
        <w:tab w:val="clear" w:pos="709"/>
        <w:tab w:val="center" w:pos="4819" w:leader="none"/>
        <w:tab w:val="right" w:pos="9638" w:leader="none"/>
      </w:tabs>
    </w:pPr>
    <w:rPr/>
  </w:style>
  <w:style w:type="paragraph" w:styleId="Header">
    <w:name w:val="header"/>
    <w:basedOn w:val="En-tteetpieddepage"/>
    <w:pPr>
      <w:suppressLineNumbers/>
    </w:pPr>
    <w:rPr/>
  </w:style>
  <w:style w:type="paragraph" w:styleId="Footer">
    <w:name w:val="footer"/>
    <w:basedOn w:val="En-tteetpieddepage"/>
    <w:pPr>
      <w:suppressLineNumbers/>
    </w:pPr>
    <w:rPr/>
  </w:style>
  <w:style w:type="paragraph" w:styleId="FootnoteText">
    <w:name w:val="footnote text"/>
    <w:basedOn w:val="Normal"/>
    <w:pPr>
      <w:suppressLineNumbers/>
      <w:ind w:hanging="340" w:left="340"/>
    </w:pPr>
    <w:rPr>
      <w:sz w:val="20"/>
      <w:szCs w:val="20"/>
    </w:rPr>
  </w:style>
  <w:style w:type="paragraph" w:styleId="EndnoteText">
    <w:name w:val="end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LibreOffice/26.2.3.2$Windows_X86_64 LibreOffice_project/70e089b17412e4cb7773e41413306b17a2328c34</Application>
  <AppVersion>15.0000</AppVersion>
  <Pages>4</Pages>
  <Words>641</Words>
  <Characters>3672</Characters>
  <CharactersWithSpaces>4294</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2026-05-16T15:30:23Z</dcterms:created>
  <dc:creator/>
  <dc:description/>
  <dc:language>fr-FR</dc:language>
  <cp:lastModifiedBy/>
  <cp:lastPrinted>2026-05-16T17:11:17Z</cp:lastPrinted>
  <dcterms:modified xsi:type="dcterms:W3CDTF">2026-05-16T17:10:49Z</dcterms:modified>
  <cp:revision>1</cp:revision>
  <dc:subject/>
  <dc:title/>
</cp:coreProperties>
</file>