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e2382b154505a684878f7f6b0faa07f2626877"/>
    <w:p>
      <w:pPr>
        <w:pStyle w:val="Heading1"/>
      </w:pPr>
      <w:r>
        <w:t xml:space="preserve">🎓 Finales Architektur- und Forschungskonzept</w:t>
      </w:r>
    </w:p>
    <w:bookmarkStart w:id="20" w:name="Xda122922eeeccb0e615af490d682d3a0ac74254"/>
    <w:p>
      <w:pPr>
        <w:pStyle w:val="Heading2"/>
      </w:pPr>
      <w:r>
        <w:t xml:space="preserve">Job Mining – Kompetenzentwicklung im Wandel (mit technischer Entwurfsübersicht, Codebeispielen und Literaturbezug)</w:t>
      </w:r>
    </w:p>
    <w:p>
      <w:r>
        <w:pict>
          <v:rect style="width:0;height:1.5pt" o:hralign="center" o:hrstd="t" o:hr="t"/>
        </w:pict>
      </w:r>
    </w:p>
    <w:bookmarkEnd w:id="20"/>
    <w:bookmarkStart w:id="21" w:name="technische-entwurfsübersicht-blueprint"/>
    <w:p>
      <w:pPr>
        <w:pStyle w:val="Heading2"/>
      </w:pPr>
      <w:r>
        <w:t xml:space="preserve">🔧 1️⃣ Technische Entwurfsübersicht (Blueprint)</w:t>
      </w:r>
    </w:p>
    <w:p>
      <w:pPr>
        <w:pStyle w:val="FirstParagraph"/>
      </w:pPr>
      <w:r>
        <w:t xml:space="preserve">Die Softwarearchitektur folgt den Prinzipien aus</w:t>
      </w:r>
      <w:r>
        <w:t xml:space="preserve"> </w:t>
      </w:r>
      <w:r>
        <w:rPr>
          <w:b/>
          <w:bCs/>
        </w:rPr>
        <w:t xml:space="preserve">Gharbi (2022)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ASE (2023)</w:t>
      </w:r>
      <w:r>
        <w:t xml:space="preserve">, insbesondere der Clean Architecture und der Domänentrennung. Diese Grundsätze fördern Testbarkeit, Erweiterbarkeit und wissenschaftliche Nachvollziehbarkeit. Sie werden ergänzt durch Empfehlungen aus</w:t>
      </w:r>
      <w:r>
        <w:t xml:space="preserve"> </w:t>
      </w:r>
      <w:r>
        <w:rPr>
          <w:b/>
          <w:bCs/>
        </w:rPr>
        <w:t xml:space="preserve">Cloud Native Java (2020)</w:t>
      </w:r>
      <w:r>
        <w:t xml:space="preserve"> </w:t>
      </w:r>
      <w:r>
        <w:t xml:space="preserve">für Containerisierung und Microservices sowie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 </w:t>
      </w:r>
      <w:r>
        <w:t xml:space="preserve">für reproduzierbare Machine-Learning-Pipelines.</w:t>
      </w:r>
    </w:p>
    <w:p>
      <w:pPr>
        <w:pStyle w:val="SourceCode"/>
      </w:pPr>
      <w:r>
        <w:rPr>
          <w:rStyle w:val="VerbatimChar"/>
        </w:rPr>
        <w:t xml:space="preserve">[ Ordner / Upload / URL / API 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Ingestion Layer             |</w:t>
      </w:r>
      <w:r>
        <w:br/>
      </w:r>
      <w:r>
        <w:rPr>
          <w:rStyle w:val="VerbatimChar"/>
        </w:rPr>
        <w:t xml:space="preserve">| - Parser &amp; Loader           |</w:t>
      </w:r>
      <w:r>
        <w:br/>
      </w:r>
      <w:r>
        <w:rPr>
          <w:rStyle w:val="VerbatimChar"/>
        </w:rPr>
        <w:t xml:space="preserve">| - Datei- &amp; API-Verarbeitung |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Extraction &amp; Mapping Layer  |</w:t>
      </w:r>
      <w:r>
        <w:br/>
      </w:r>
      <w:r>
        <w:rPr>
          <w:rStyle w:val="VerbatimChar"/>
        </w:rPr>
        <w:t xml:space="preserve">| - Textanalyse, NLP          |</w:t>
      </w:r>
      <w:r>
        <w:br/>
      </w:r>
      <w:r>
        <w:rPr>
          <w:rStyle w:val="VerbatimChar"/>
        </w:rPr>
        <w:t xml:space="preserve">| - ESCO-Kompetenzmapping     |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Context &amp; Trend Layer       |</w:t>
      </w:r>
      <w:r>
        <w:br/>
      </w:r>
      <w:r>
        <w:rPr>
          <w:rStyle w:val="VerbatimChar"/>
        </w:rPr>
        <w:t xml:space="preserve">| - Jahr, Region, Branche     |</w:t>
      </w:r>
      <w:r>
        <w:br/>
      </w:r>
      <w:r>
        <w:rPr>
          <w:rStyle w:val="VerbatimChar"/>
        </w:rPr>
        <w:t xml:space="preserve">| - Aufgaben, Anforderungen   |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+-----------------------------+</w:t>
      </w:r>
      <w:r>
        <w:br/>
      </w:r>
      <w:r>
        <w:rPr>
          <w:rStyle w:val="VerbatimChar"/>
        </w:rPr>
        <w:t xml:space="preserve">| Presentation Layer          |</w:t>
      </w:r>
      <w:r>
        <w:br/>
      </w:r>
      <w:r>
        <w:rPr>
          <w:rStyle w:val="VerbatimChar"/>
        </w:rPr>
        <w:t xml:space="preserve">| - Streamlit Dashboard       |</w:t>
      </w:r>
      <w:r>
        <w:br/>
      </w:r>
      <w:r>
        <w:rPr>
          <w:rStyle w:val="VerbatimChar"/>
        </w:rPr>
        <w:t xml:space="preserve">| - FastAPI Schnittstelle     |</w:t>
      </w:r>
      <w:r>
        <w:br/>
      </w:r>
      <w:r>
        <w:rPr>
          <w:rStyle w:val="VerbatimChar"/>
        </w:rPr>
        <w:t xml:space="preserve">| - Upload &amp; Query            |</w:t>
      </w:r>
      <w:r>
        <w:br/>
      </w:r>
      <w:r>
        <w:rPr>
          <w:rStyle w:val="VerbatimChar"/>
        </w:rPr>
        <w:t xml:space="preserve">+-----------------------------+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Xd7d7c1934760b9ce689a0f895193754e0d648a3"/>
    <w:p>
      <w:pPr>
        <w:pStyle w:val="Heading2"/>
      </w:pPr>
      <w:r>
        <w:t xml:space="preserve">🧩 2️⃣ Integration bewährter Module (aus vorhandenen Skripten)</w:t>
      </w:r>
    </w:p>
    <w:p>
      <w:pPr>
        <w:pStyle w:val="FirstParagraph"/>
      </w:pPr>
      <w:r>
        <w:t xml:space="preserve">Die Integration der vorhandenen Module orientiert sich an der Methodik aus</w:t>
      </w:r>
      <w:r>
        <w:t xml:space="preserve"> </w:t>
      </w:r>
      <w:r>
        <w:rPr>
          <w:b/>
          <w:bCs/>
        </w:rPr>
        <w:t xml:space="preserve">Hirschle (2021)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, welche modulare, wiederverwendbare Komponenten für datengetriebene Forschung empfehlen.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2394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Ursprung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pipeline_job_mining_v2.py</w:t>
            </w:r>
          </w:p>
        </w:tc>
        <w:tc>
          <w:tcPr/>
          <w:p>
            <w:pPr>
              <w:pStyle w:val="Compact"/>
            </w:pPr>
            <w:r>
              <w:t xml:space="preserve">Altes Hauptskript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core/ingestion/</w:t>
            </w:r>
          </w:p>
        </w:tc>
        <w:tc>
          <w:tcPr/>
          <w:p>
            <w:pPr>
              <w:pStyle w:val="Compact"/>
            </w:pPr>
            <w:r>
              <w:t xml:space="preserve">PDF/DOCX Parser + OCR + Regex Extraktion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analyze_job_ads_v2.py</w:t>
            </w:r>
          </w:p>
        </w:tc>
        <w:tc>
          <w:tcPr/>
          <w:p>
            <w:pPr>
              <w:pStyle w:val="Compact"/>
            </w:pPr>
            <w:r>
              <w:t xml:space="preserve">Analysemodul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interfaces/dashboard/</w:t>
            </w:r>
          </w:p>
        </w:tc>
        <w:tc>
          <w:tcPr/>
          <w:p>
            <w:pPr>
              <w:pStyle w:val="Compact"/>
            </w:pPr>
            <w:r>
              <w:t xml:space="preserve">Statistische Auswertung + Visualisierung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evaluate_job_ads.py</w:t>
            </w:r>
          </w:p>
        </w:tc>
        <w:tc>
          <w:tcPr/>
          <w:p>
            <w:pPr>
              <w:pStyle w:val="Compact"/>
            </w:pPr>
            <w:r>
              <w:t xml:space="preserve">Evaluationsmodul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Vergleich mit Goldstandard, F1-Score</w:t>
            </w:r>
          </w:p>
        </w:tc>
      </w:tr>
    </w:tbl>
    <w:p>
      <w:pPr>
        <w:pStyle w:val="BodyText"/>
      </w:pPr>
      <w:r>
        <w:t xml:space="preserve">Diese Module werden in das neue Framework integriert, wobei ihre Logik in Services und Pipelines überführt wird. Das minimiert Redundanz und erhöht die Wartbarkeit, wie in</w:t>
      </w:r>
      <w:r>
        <w:t xml:space="preserve"> </w:t>
      </w:r>
      <w:r>
        <w:rPr>
          <w:b/>
          <w:bCs/>
        </w:rPr>
        <w:t xml:space="preserve">Gharbi (2022)</w:t>
      </w:r>
      <w:r>
        <w:t xml:space="preserve"> </w:t>
      </w:r>
      <w:r>
        <w:t xml:space="preserve">gefordert.</w:t>
      </w:r>
    </w:p>
    <w:p>
      <w:r>
        <w:pict>
          <v:rect style="width:0;height:1.5pt" o:hralign="center" o:hrstd="t" o:hr="t"/>
        </w:pict>
      </w:r>
    </w:p>
    <w:bookmarkEnd w:id="22"/>
    <w:bookmarkStart w:id="25" w:name="X9663d6ba40bf793d352202fb7c9dd007d6f7618"/>
    <w:p>
      <w:pPr>
        <w:pStyle w:val="Heading2"/>
      </w:pPr>
      <w:r>
        <w:t xml:space="preserve">💻 3️⃣ Beispielcode: Dokumentverarbeitung (aus</w:t>
      </w:r>
      <w:r>
        <w:t xml:space="preserve"> </w:t>
      </w:r>
      <w:r>
        <w:rPr>
          <w:rStyle w:val="VerbatimChar"/>
        </w:rPr>
        <w:t xml:space="preserve">pipeline_job_mining_v2.py</w:t>
      </w:r>
      <w:r>
        <w:t xml:space="preserve">)</w:t>
      </w:r>
    </w:p>
    <w:p>
      <w:pPr>
        <w:pStyle w:val="FirstParagraph"/>
      </w:pPr>
      <w:r>
        <w:t xml:space="preserve">Gemäß den Prinzipien von</w:t>
      </w:r>
      <w:r>
        <w:t xml:space="preserve"> </w:t>
      </w:r>
      <w:r>
        <w:rPr>
          <w:b/>
          <w:bCs/>
        </w:rPr>
        <w:t xml:space="preserve">Cloud Native Java (2020)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ASE (2023)</w:t>
      </w:r>
      <w:r>
        <w:t xml:space="preserve"> </w:t>
      </w:r>
      <w:r>
        <w:t xml:space="preserve">wird die Extraktionslogik modular implementiert, um Skalierbarkeit und Austauschbarkeit der Komponenten zu gewährleisten.</w:t>
      </w:r>
    </w:p>
    <w:bookmarkStart w:id="23" w:name="datei-parsing-ocr-fallback"/>
    <w:p>
      <w:pPr>
        <w:pStyle w:val="Heading3"/>
      </w:pPr>
      <w:r>
        <w:t xml:space="preserve">Datei-Parsing &amp; OCR-Fallback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pdf2image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convert_from_path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pytesseract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extract_text_from_pdf(file_path):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doc: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OCR Fallback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convert_from_path(file_path)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pytesseract.image_to_string(image)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r>
        <w:t xml:space="preserve">Nach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 </w:t>
      </w:r>
      <w:r>
        <w:t xml:space="preserve">muss jede Komponente robust gegen Eingabefehler sein. Hier gewährleistet der OCR-Fallback Fehlerresistenz und Datenvollständigkeit.</w:t>
      </w:r>
    </w:p>
    <w:p>
      <w:r>
        <w:pict>
          <v:rect style="width:0;height:1.5pt" o:hralign="center" o:hrstd="t" o:hr="t"/>
        </w:pict>
      </w:r>
    </w:p>
    <w:bookmarkEnd w:id="23"/>
    <w:bookmarkStart w:id="24" w:name="X5fd7ce747c97a20af8288340e4bd2dfeadc8fa8"/>
    <w:p>
      <w:pPr>
        <w:pStyle w:val="Heading3"/>
      </w:pPr>
      <w:r>
        <w:t xml:space="preserve">Strukturierung von Aufgaben &amp; Anforderungen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extract_sections(text):</w:t>
      </w:r>
      <w:r>
        <w:br/>
      </w:r>
      <w:r>
        <w:rPr>
          <w:rStyle w:val="NormalTok"/>
        </w:rPr>
        <w:t xml:space="preserve">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Aufgaben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Tätigkeiten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Responsibilities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[:</w:t>
      </w:r>
      <w:r>
        <w:rPr>
          <w:rStyle w:val="CharTok"/>
        </w:rPr>
        <w:t xml:space="preserve">\n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\n\n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'requirements'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Anforderungen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Requirements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[:</w:t>
      </w:r>
      <w:r>
        <w:rPr>
          <w:rStyle w:val="CharTok"/>
        </w:rPr>
        <w:t xml:space="preserve">\n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\n\n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patterns.items():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text, re.S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re.I)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sections[key]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sections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r>
        <w:t xml:space="preserve">Diese logische Aufteilung folgt dem Konzept der</w:t>
      </w:r>
      <w:r>
        <w:t xml:space="preserve"> </w:t>
      </w:r>
      <w:r>
        <w:rPr>
          <w:b/>
          <w:bCs/>
        </w:rPr>
        <w:t xml:space="preserve">Domänenentitäten nach ASE (2023)</w:t>
      </w:r>
      <w:r>
        <w:t xml:space="preserve">. Jede Teildomäne (z. B. Aufgaben oder Anforderungen) ist eine eigene semantische Einheit, die getrennt analysiert werden kann.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10b0ba0c071500fd0cbcf6df71eaafcbebd5ea"/>
    <w:p>
      <w:pPr>
        <w:pStyle w:val="Heading2"/>
      </w:pPr>
      <w:r>
        <w:t xml:space="preserve">🧠 4️⃣ Beispielcode: ESCO-Kompetenz-Mapping (aus</w:t>
      </w:r>
      <w:r>
        <w:t xml:space="preserve"> </w:t>
      </w:r>
      <w:r>
        <w:rPr>
          <w:rStyle w:val="VerbatimChar"/>
        </w:rPr>
        <w:t xml:space="preserve">evaluate_job_ads.py</w:t>
      </w:r>
      <w:r>
        <w:t xml:space="preserve">)</w:t>
      </w:r>
    </w:p>
    <w:p>
      <w:pPr>
        <w:pStyle w:val="FirstParagraph"/>
      </w:pPr>
      <w:r>
        <w:t xml:space="preserve">Die Ontologie-Integration basiert auf den Prinzipien der Wissensmodellierung aus</w:t>
      </w:r>
      <w:r>
        <w:t xml:space="preserve"> </w:t>
      </w:r>
      <w:r>
        <w:rPr>
          <w:b/>
          <w:bCs/>
        </w:rPr>
        <w:t xml:space="preserve">Erpenbeck &amp; Rosenstiel (2019)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ESCO (2023)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difflib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SequenceMatcher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match_to_esco(skill, esco_df,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esco_df.iterrows():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SequenceMatcher(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skill.lower(), row[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].lower()).ratio()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best_match, best_score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r>
        <w:t xml:space="preserve">Die Methode folgt dem Matching-Ansatz von</w:t>
      </w:r>
      <w:r>
        <w:t xml:space="preserve"> </w:t>
      </w:r>
      <w:r>
        <w:rPr>
          <w:b/>
          <w:bCs/>
        </w:rPr>
        <w:t xml:space="preserve">Höft et al. (2020)</w:t>
      </w:r>
      <w:r>
        <w:t xml:space="preserve"> </w:t>
      </w:r>
      <w:r>
        <w:t xml:space="preserve">im HR-Text-Mining. Durch Schwellenwertvalidierung werden semantische Fehlzuordnungen reduziert.</w:t>
      </w:r>
    </w:p>
    <w:p>
      <w:r>
        <w:pict>
          <v:rect style="width:0;height:1.5pt" o:hralign="center" o:hrstd="t" o:hr="t"/>
        </w:pict>
      </w:r>
    </w:p>
    <w:bookmarkEnd w:id="26"/>
    <w:bookmarkStart w:id="27" w:name="X85a3bc229c0e2deae74b6c841f3b938c15e4cf0"/>
    <w:p>
      <w:pPr>
        <w:pStyle w:val="Heading2"/>
      </w:pPr>
      <w:r>
        <w:t xml:space="preserve">📊 5️⃣ Beispielcode: Statistische Analyse (aus</w:t>
      </w:r>
      <w:r>
        <w:t xml:space="preserve"> </w:t>
      </w:r>
      <w:r>
        <w:rPr>
          <w:rStyle w:val="VerbatimChar"/>
        </w:rPr>
        <w:t xml:space="preserve">analyze_job_ads_v2.py</w:t>
      </w:r>
      <w:r>
        <w:t xml:space="preserve">)</w:t>
      </w:r>
    </w:p>
    <w:p>
      <w:pPr>
        <w:pStyle w:val="FirstParagraph"/>
      </w:pPr>
      <w:r>
        <w:t xml:space="preserve">In Anlehnung an</w:t>
      </w:r>
      <w:r>
        <w:t xml:space="preserve"> </w:t>
      </w:r>
      <w:r>
        <w:rPr>
          <w:b/>
          <w:bCs/>
        </w:rPr>
        <w:t xml:space="preserve">Hirschle (2021)</w:t>
      </w:r>
      <w:r>
        <w:t xml:space="preserve"> </w:t>
      </w:r>
      <w:r>
        <w:t xml:space="preserve">wird die Analyse als Pipeline implementiert, um Datenfluss und Auswertung klar zu trennen.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plot_top_skills(csv_file, top_n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pd.read_csv(csv_file)</w:t>
      </w:r>
      <w:r>
        <w:br/>
      </w:r>
      <w:r>
        <w:rPr>
          <w:rStyle w:val="NormalTok"/>
        </w:rPr>
        <w:t xml:space="preserve">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].value_counts().head(top_n)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skills.plot(kind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'Top geforderte Kompetenzen'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'Kompetenz'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'Häufigkeit'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rPr>
          <w:b/>
          <w:bCs/>
        </w:rPr>
        <w:t xml:space="preserve">Bezug:</w:t>
      </w:r>
      <w:r>
        <w:t xml:space="preserve"> </w:t>
      </w:r>
      <w:r>
        <w:t xml:space="preserve">Nach</w:t>
      </w:r>
      <w:r>
        <w:t xml:space="preserve"> </w:t>
      </w:r>
      <w:r>
        <w:rPr>
          <w:b/>
          <w:bCs/>
        </w:rPr>
        <w:t xml:space="preserve">Kauffeld (2021)</w:t>
      </w:r>
      <w:r>
        <w:t xml:space="preserve"> </w:t>
      </w:r>
      <w:r>
        <w:t xml:space="preserve">sind Visualisierungen ein zentraler Bestandteil des Kompetenzmanagements, da sie Zusammenhänge und Trends für strategische Entscheidungen sichtbar machen.</w:t>
      </w:r>
    </w:p>
    <w:p>
      <w:r>
        <w:pict>
          <v:rect style="width:0;height:1.5pt" o:hralign="center" o:hrstd="t" o:hr="t"/>
        </w:pict>
      </w:r>
    </w:p>
    <w:bookmarkEnd w:id="27"/>
    <w:bookmarkStart w:id="28" w:name="designentscheidungen-und-begründungen"/>
    <w:p>
      <w:pPr>
        <w:pStyle w:val="Heading2"/>
      </w:pPr>
      <w:r>
        <w:t xml:space="preserve">🧩 6️⃣ Designentscheidungen und Begründungen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2210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  <w:tc>
          <w:tcPr/>
          <w:p>
            <w:pPr>
              <w:pStyle w:val="Compact"/>
            </w:pPr>
            <w:r>
              <w:t xml:space="preserve">Literaturbezug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Architecture</w:t>
            </w:r>
          </w:p>
        </w:tc>
        <w:tc>
          <w:tcPr/>
          <w:p>
            <w:pPr>
              <w:pStyle w:val="Compact"/>
            </w:pPr>
            <w:r>
              <w:t xml:space="preserve">Trennung von Domäne und Infrastruktur</w:t>
            </w:r>
          </w:p>
        </w:tc>
        <w:tc>
          <w:tcPr/>
          <w:p>
            <w:pPr>
              <w:pStyle w:val="Compact"/>
            </w:pPr>
            <w:r>
              <w:t xml:space="preserve">Gharbi (2022), ASE (2023)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lokal</w:t>
            </w:r>
          </w:p>
        </w:tc>
        <w:tc>
          <w:tcPr/>
          <w:p>
            <w:pPr>
              <w:pStyle w:val="Compact"/>
            </w:pPr>
            <w:r>
              <w:t xml:space="preserve">Forschungsorientierte Einfachheit und Portabilität</w:t>
            </w:r>
          </w:p>
        </w:tc>
        <w:tc>
          <w:tcPr/>
          <w:p>
            <w:pPr>
              <w:pStyle w:val="Compact"/>
            </w:pPr>
            <w:r>
              <w:t xml:space="preserve">ML Engineering with Python (2022)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Asynchrone API für performante Datenverarbeitung</w:t>
            </w:r>
          </w:p>
        </w:tc>
        <w:tc>
          <w:tcPr/>
          <w:p>
            <w:pPr>
              <w:pStyle w:val="Compact"/>
            </w:pPr>
            <w:r>
              <w:t xml:space="preserve">Cloud Native Java (2020)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Schnelle interaktive Visualisierung</w:t>
            </w:r>
          </w:p>
        </w:tc>
        <w:tc>
          <w:tcPr/>
          <w:p>
            <w:pPr>
              <w:pStyle w:val="Compact"/>
            </w:pPr>
            <w:r>
              <w:t xml:space="preserve">Hirschle (2021)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+ GPT</w:t>
            </w:r>
          </w:p>
        </w:tc>
        <w:tc>
          <w:tcPr/>
          <w:p>
            <w:pPr>
              <w:pStyle w:val="Compact"/>
            </w:pPr>
            <w:r>
              <w:t xml:space="preserve">Ermöglicht semantisches, exploratives Lernen</w:t>
            </w:r>
          </w:p>
        </w:tc>
        <w:tc>
          <w:tcPr/>
          <w:p>
            <w:pPr>
              <w:pStyle w:val="Compact"/>
            </w:pPr>
            <w:r>
              <w:t xml:space="preserve">Layher et al. (2023), Future Skills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ehlerquellen-debugging-strategien"/>
    <w:p>
      <w:pPr>
        <w:pStyle w:val="Heading2"/>
      </w:pPr>
      <w:r>
        <w:t xml:space="preserve">⚠️ 7️⃣ Fehlerquellen &amp; Debugging-Strategien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552"/>
        <w:gridCol w:w="1552"/>
        <w:gridCol w:w="2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Fehlerquelle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  <w:tc>
          <w:tcPr/>
          <w:p>
            <w:pPr>
              <w:pStyle w:val="Compact"/>
            </w:pPr>
            <w:r>
              <w:t xml:space="preserve">Abhilfe</w:t>
            </w:r>
          </w:p>
        </w:tc>
        <w:tc>
          <w:tcPr/>
          <w:p>
            <w:pPr>
              <w:pStyle w:val="Compact"/>
            </w:pPr>
            <w:r>
              <w:t xml:space="preserve">Literaturbezug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schlägt fehl</w:t>
            </w:r>
          </w:p>
        </w:tc>
        <w:tc>
          <w:tcPr/>
          <w:p>
            <w:pPr>
              <w:pStyle w:val="Compact"/>
            </w:pPr>
            <w:r>
              <w:t xml:space="preserve">Schlechte Scans</w:t>
            </w:r>
          </w:p>
        </w:tc>
        <w:tc>
          <w:tcPr/>
          <w:p>
            <w:pPr>
              <w:pStyle w:val="Compact"/>
            </w:pPr>
            <w:r>
              <w:t xml:space="preserve">Fallback zu PyMuPDF, Logging, Re-Try</w:t>
            </w:r>
          </w:p>
        </w:tc>
        <w:tc>
          <w:tcPr/>
          <w:p>
            <w:pPr>
              <w:pStyle w:val="Compact"/>
            </w:pPr>
            <w:r>
              <w:t xml:space="preserve">ML Engineering with Python (2022)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Falsches ESCO-Matching</w:t>
            </w:r>
          </w:p>
        </w:tc>
        <w:tc>
          <w:tcPr/>
          <w:p>
            <w:pPr>
              <w:pStyle w:val="Compact"/>
            </w:pPr>
            <w:r>
              <w:t xml:space="preserve">zu niedriger Schwellenwert</w:t>
            </w:r>
          </w:p>
        </w:tc>
        <w:tc>
          <w:tcPr/>
          <w:p>
            <w:pPr>
              <w:pStyle w:val="Compact"/>
            </w:pPr>
            <w:r>
              <w:t xml:space="preserve">Threshold erhöhen, Embedding einsetzen</w:t>
            </w:r>
          </w:p>
        </w:tc>
        <w:tc>
          <w:tcPr/>
          <w:p>
            <w:pPr>
              <w:pStyle w:val="Compact"/>
            </w:pPr>
            <w:r>
              <w:t xml:space="preserve">Höft et al. (2020), ESCO (2023)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bricht ab</w:t>
            </w:r>
          </w:p>
        </w:tc>
        <w:tc>
          <w:tcPr/>
          <w:p>
            <w:pPr>
              <w:pStyle w:val="Compact"/>
            </w:pPr>
            <w:r>
              <w:t xml:space="preserve">Unbekanntes Format</w:t>
            </w:r>
          </w:p>
        </w:tc>
        <w:tc>
          <w:tcPr/>
          <w:p>
            <w:pPr>
              <w:pStyle w:val="Compact"/>
            </w:pPr>
            <w:r>
              <w:t xml:space="preserve">Try/Except, Format-Registry</w:t>
            </w:r>
          </w:p>
        </w:tc>
        <w:tc>
          <w:tcPr/>
          <w:p>
            <w:pPr>
              <w:pStyle w:val="Compact"/>
            </w:pPr>
            <w:r>
              <w:t xml:space="preserve">Gharbi (2022)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Datenbankfehler</w:t>
            </w:r>
          </w:p>
        </w:tc>
        <w:tc>
          <w:tcPr/>
          <w:p>
            <w:pPr>
              <w:pStyle w:val="Compact"/>
            </w:pPr>
            <w:r>
              <w:t xml:space="preserve">Schreibfehler oder Sperre</w:t>
            </w:r>
          </w:p>
        </w:tc>
        <w:tc>
          <w:tcPr/>
          <w:p>
            <w:pPr>
              <w:pStyle w:val="Compact"/>
            </w:pPr>
            <w:r>
              <w:t xml:space="preserve">ORM-Transaktionen, Tests</w:t>
            </w:r>
          </w:p>
        </w:tc>
        <w:tc>
          <w:tcPr/>
          <w:p>
            <w:pPr>
              <w:pStyle w:val="Compact"/>
            </w:pPr>
            <w:r>
              <w:t xml:space="preserve">ASE (2023)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lädt nicht</w:t>
            </w:r>
          </w:p>
        </w:tc>
        <w:tc>
          <w:tcPr/>
          <w:p>
            <w:pPr>
              <w:pStyle w:val="Compact"/>
            </w:pPr>
            <w:r>
              <w:t xml:space="preserve">API-Timeout</w:t>
            </w:r>
          </w:p>
        </w:tc>
        <w:tc>
          <w:tcPr/>
          <w:p>
            <w:pPr>
              <w:pStyle w:val="Compact"/>
            </w:pPr>
            <w:r>
              <w:t xml:space="preserve">Async-Handler, Caching</w:t>
            </w:r>
          </w:p>
        </w:tc>
        <w:tc>
          <w:tcPr/>
          <w:p>
            <w:pPr>
              <w:pStyle w:val="Compact"/>
            </w:pPr>
            <w:r>
              <w:t xml:space="preserve">Cloud Native Java (2020)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caf0a6de39d303c765b21c8b3592ca31a9397ff"/>
    <w:p>
      <w:pPr>
        <w:pStyle w:val="Heading2"/>
      </w:pPr>
      <w:r>
        <w:t xml:space="preserve">🧭 8️⃣ Zusammenfassung: Entwurf &amp; Umsetzung mit Literaturverankerung</w:t>
      </w:r>
    </w:p>
    <w:p>
      <w:pPr>
        <w:pStyle w:val="Compact"/>
        <w:numPr>
          <w:ilvl w:val="0"/>
          <w:numId w:val="1001"/>
        </w:numPr>
      </w:pPr>
      <w:r>
        <w:t xml:space="preserve">Die Architektur folgt den</w:t>
      </w:r>
      <w:r>
        <w:t xml:space="preserve"> </w:t>
      </w:r>
      <w:r>
        <w:rPr>
          <w:b/>
          <w:bCs/>
        </w:rPr>
        <w:t xml:space="preserve">Clean-Code-Prinzipien nach Gharbi (2022)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Wiederverwendung und Modularität sind inspiriert durch</w:t>
      </w:r>
      <w:r>
        <w:t xml:space="preserve"> </w:t>
      </w:r>
      <w:r>
        <w:rPr>
          <w:b/>
          <w:bCs/>
        </w:rPr>
        <w:t xml:space="preserve">ASE (2023)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Die Kompetenzanalyse stützt sich auf Modelle von</w:t>
      </w:r>
      <w:r>
        <w:t xml:space="preserve"> </w:t>
      </w:r>
      <w:r>
        <w:rPr>
          <w:b/>
          <w:bCs/>
        </w:rPr>
        <w:t xml:space="preserve">Erpenbeck &amp; Rosenstiel (2019)</w:t>
      </w:r>
      <w:r>
        <w:t xml:space="preserve">,</w:t>
      </w:r>
      <w:r>
        <w:t xml:space="preserve"> </w:t>
      </w:r>
      <w:r>
        <w:rPr>
          <w:b/>
          <w:bCs/>
        </w:rPr>
        <w:t xml:space="preserve">Kauffeld (2021)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Layher et al. (2023)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Die Implementierung ist wissenschaftlich nachvollziehbar, datengetrieben und HR-forschungsrelevant.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Codebeispiele zeigen robuste, skalierbare und prüfbare Implementierungen im Sinne empirischer Softwarearchitekturforschung.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2025-11-09T18:45:11Z</dcterms:created>
  <dcterms:modified xsi:type="dcterms:W3CDTF">2025-11-09T18:45:11Z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