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Nu finns lagstödet – då ska också tryggheten stärkas</w:t>
      </w:r>
    </w:p>
    <w:p w:rsidR="00000000" w:rsidDel="00000000" w:rsidP="00000000" w:rsidRDefault="00000000" w:rsidRPr="00000000" w14:paraId="00000002">
      <w:pPr>
        <w:spacing w:after="240" w:before="240" w:lineRule="auto"/>
        <w:rPr/>
      </w:pPr>
      <w:r w:rsidDel="00000000" w:rsidR="00000000" w:rsidRPr="00000000">
        <w:rPr>
          <w:rtl w:val="0"/>
        </w:rPr>
        <w:t xml:space="preserve">För Kristdemokraterna är utgångspunkten enkel. Den som byggt vårt samhälle ska kunna åldras med värdighet och känna trygghet i sitt eget hem. När hemtjänsten kliver över tröskeln ska det vara med förtroende, inte oro. Det är ett ansvar som ytterst vilar på oss som fattar politiska beslut.</w:t>
      </w:r>
    </w:p>
    <w:p w:rsidR="00000000" w:rsidDel="00000000" w:rsidP="00000000" w:rsidRDefault="00000000" w:rsidRPr="00000000" w14:paraId="00000003">
      <w:pPr>
        <w:spacing w:after="240" w:before="240" w:lineRule="auto"/>
        <w:rPr/>
      </w:pPr>
      <w:r w:rsidDel="00000000" w:rsidR="00000000" w:rsidRPr="00000000">
        <w:rPr>
          <w:rtl w:val="0"/>
        </w:rPr>
        <w:t xml:space="preserve">Därför är den förändring som nu sker nationellt viktig på riktigt. Kommunerna får ett tydligt lagstöd att årligen begära utdrag ur både belastningsregistret och misstankeregistret i äldreomsorgen. Det som tidigare varit juridiskt oklart får nu en tydlig riktning från staten.</w:t>
      </w:r>
    </w:p>
    <w:p w:rsidR="00000000" w:rsidDel="00000000" w:rsidP="00000000" w:rsidRDefault="00000000" w:rsidRPr="00000000" w14:paraId="00000004">
      <w:pPr>
        <w:spacing w:after="240" w:before="240" w:lineRule="auto"/>
        <w:rPr/>
      </w:pPr>
      <w:r w:rsidDel="00000000" w:rsidR="00000000" w:rsidRPr="00000000">
        <w:rPr>
          <w:rtl w:val="0"/>
        </w:rPr>
        <w:t xml:space="preserve">Bakgrunden är allvarlig. Vi vet att äldre runt om i landet har utsatts för brott av personer som aldrig borde ha arbetat nära samhällets mest sårbara. När sådant sker räcker det inte med beklaganden. Då måste systemet förändras.</w:t>
      </w:r>
    </w:p>
    <w:p w:rsidR="00000000" w:rsidDel="00000000" w:rsidP="00000000" w:rsidRDefault="00000000" w:rsidRPr="00000000" w14:paraId="00000005">
      <w:pPr>
        <w:spacing w:after="240" w:before="240" w:lineRule="auto"/>
        <w:rPr/>
      </w:pPr>
      <w:r w:rsidDel="00000000" w:rsidR="00000000" w:rsidRPr="00000000">
        <w:rPr>
          <w:rtl w:val="0"/>
        </w:rPr>
        <w:t xml:space="preserve">I Hässleholm har frågan aktualiserats genom en motion om registerkontroller. Under beredningen har kommunen pekat på att återkommande kontroller av redan anställda saknat lagstöd och riskerat att strida mot skyddet för den personliga integriteten. Den bedömningen byggde på den verklighet som då gällde, i debatten var KD och SD tydliga med att detta kommer förändras och att Hässleholm hade en möjlighet att gå i bräschen. Nu blev det som vi sa och när staten förändrar lagstiftningen förändras också kommunens ansvar. </w:t>
      </w:r>
    </w:p>
    <w:p w:rsidR="00000000" w:rsidDel="00000000" w:rsidP="00000000" w:rsidRDefault="00000000" w:rsidRPr="00000000" w14:paraId="00000006">
      <w:pPr>
        <w:spacing w:after="240" w:before="240" w:lineRule="auto"/>
        <w:rPr/>
      </w:pPr>
      <w:r w:rsidDel="00000000" w:rsidR="00000000" w:rsidRPr="00000000">
        <w:rPr>
          <w:rtl w:val="0"/>
        </w:rPr>
        <w:t xml:space="preserve">Därför förväntar vi oss att Hässleholms kommun anpassar sig efter den nya verkligheten, förutsatt att det nya lagstödet bekräftas inom ramen för beredningen av motionen. Finns möjligheten ska den också användas.</w:t>
      </w:r>
    </w:p>
    <w:p w:rsidR="00000000" w:rsidDel="00000000" w:rsidP="00000000" w:rsidRDefault="00000000" w:rsidRPr="00000000" w14:paraId="00000007">
      <w:pPr>
        <w:spacing w:after="240" w:before="240" w:lineRule="auto"/>
        <w:rPr/>
      </w:pPr>
      <w:r w:rsidDel="00000000" w:rsidR="00000000" w:rsidRPr="00000000">
        <w:rPr>
          <w:rtl w:val="0"/>
        </w:rPr>
        <w:t xml:space="preserve">Det handlar inte om misstänkliggörande av personal. Tvärtom. Den absoluta majoriteten som arbetar inom äldreomsorgen gör ett fantastiskt arbete varje dag. Just därför är det rimligt att vi också säkerställer att personer med grov brottslig bakgrund inte ges tillgång till våra äldres hem.</w:t>
      </w:r>
    </w:p>
    <w:p w:rsidR="00000000" w:rsidDel="00000000" w:rsidP="00000000" w:rsidRDefault="00000000" w:rsidRPr="00000000" w14:paraId="00000008">
      <w:pPr>
        <w:spacing w:after="240" w:before="240" w:lineRule="auto"/>
        <w:rPr/>
      </w:pPr>
      <w:r w:rsidDel="00000000" w:rsidR="00000000" w:rsidRPr="00000000">
        <w:rPr>
          <w:rtl w:val="0"/>
        </w:rPr>
        <w:t xml:space="preserve">Trygghet och integritet är inte motsatser. Men balansen ska alltid luta till fördel för den som är mest utsatt.</w:t>
      </w:r>
    </w:p>
    <w:p w:rsidR="00000000" w:rsidDel="00000000" w:rsidP="00000000" w:rsidRDefault="00000000" w:rsidRPr="00000000" w14:paraId="00000009">
      <w:pPr>
        <w:spacing w:after="240" w:before="240" w:lineRule="auto"/>
        <w:rPr/>
      </w:pPr>
      <w:r w:rsidDel="00000000" w:rsidR="00000000" w:rsidRPr="00000000">
        <w:rPr>
          <w:rtl w:val="0"/>
        </w:rPr>
        <w:t xml:space="preserve">Kristdemokraternas linje är därför tydlig. När staten ger kommunerna verktyg ska de användas. När lagstöd finns ska tryggheten stärkas. Och när vi vet att risker finns ska vi agera innan något händer, inte efteråt.</w:t>
      </w:r>
    </w:p>
    <w:p w:rsidR="00000000" w:rsidDel="00000000" w:rsidP="00000000" w:rsidRDefault="00000000" w:rsidRPr="00000000" w14:paraId="0000000A">
      <w:pPr>
        <w:spacing w:after="240" w:before="240" w:lineRule="auto"/>
        <w:rPr/>
      </w:pPr>
      <w:r w:rsidDel="00000000" w:rsidR="00000000" w:rsidRPr="00000000">
        <w:rPr>
          <w:rtl w:val="0"/>
        </w:rPr>
        <w:t xml:space="preserve">Våra äldre förtjänar inget mindre.</w:t>
      </w:r>
    </w:p>
    <w:p w:rsidR="00000000" w:rsidDel="00000000" w:rsidP="00000000" w:rsidRDefault="00000000" w:rsidRPr="00000000" w14:paraId="0000000B">
      <w:pPr>
        <w:rPr/>
      </w:pPr>
      <w:r w:rsidDel="00000000" w:rsidR="00000000" w:rsidRPr="00000000">
        <w:rPr>
          <w:b w:val="1"/>
          <w:bCs w:val="1"/>
          <w:rtl w:val="0"/>
        </w:rPr>
        <w:t xml:space="preserve">Simon Berneblad Mandegård (KD)</w:t>
      </w:r>
      <w:r w:rsidDel="00000000" w:rsidR="00000000" w:rsidRPr="00000000">
        <w:rPr>
          <w:rtl w:val="0"/>
        </w:rPr>
        <w:br w:type="textWrapping"/>
        <w:t xml:space="preserve">Kristdemokraterna</w:t>
        <w:br w:type="textWrapping"/>
        <w:br w:type="textWrapping"/>
      </w:r>
      <w:r w:rsidDel="00000000" w:rsidR="00000000" w:rsidRPr="00000000">
        <w:rPr>
          <w:b w:val="1"/>
          <w:bCs w:val="1"/>
          <w:rtl w:val="0"/>
        </w:rPr>
        <w:t xml:space="preserve">Tobias Eriksson (KD)</w:t>
      </w:r>
      <w:r w:rsidDel="00000000" w:rsidR="00000000" w:rsidRPr="00000000">
        <w:rPr>
          <w:rtl w:val="0"/>
        </w:rPr>
        <w:br w:type="textWrapping"/>
        <w:t xml:space="preserve">Kristdemokraterna</w:t>
        <w:br w:type="textWrapping"/>
        <w:br w:type="textWrapping"/>
      </w:r>
      <w:r w:rsidDel="00000000" w:rsidR="00000000" w:rsidRPr="00000000">
        <w:rPr>
          <w:b w:val="1"/>
          <w:bCs w:val="1"/>
          <w:rtl w:val="0"/>
        </w:rPr>
        <w:t xml:space="preserve">Margaretha Lindquist (KD)</w:t>
        <w:br w:type="textWrapping"/>
      </w:r>
      <w:r w:rsidDel="00000000" w:rsidR="00000000" w:rsidRPr="00000000">
        <w:rPr>
          <w:rtl w:val="0"/>
        </w:rPr>
        <w:t xml:space="preserve">Kristdemokraterna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