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This Is Not the ex-Gaussian Model You Are Looking For: On the Default Parameterization of Bayesian ex-Gaussian Models in brms</w:t>
      </w:r>
    </w:p>
    <w:p>
      <w:pPr>
        <w:pStyle w:val="Author"/>
      </w:pPr>
      <w:r>
        <w:t xml:space="preserve"> </w:t>
      </w:r>
    </w:p>
    <w:p>
      <w:pPr>
        <w:pStyle w:val="Author"/>
      </w:pPr>
      <w:r>
        <w:t xml:space="preserve">Jason Geller</w:t>
      </w:r>
    </w:p>
    <w:p>
      <w:pPr>
        <w:pStyle w:val="Author"/>
      </w:pPr>
      <w:r>
        <w:t xml:space="preserve">Department of Psychology and Neuroscience, Boston College</w:t>
      </w:r>
    </w:p>
    <w:p>
      <w:pPr>
        <w:pStyle w:val="BodyText"/>
      </w:pPr>
      <w:r>
        <w:t xml:space="preserve"> </w:t>
      </w:r>
    </w:p>
    <w:p>
      <w:pPr>
        <w:pStyle w:val="BodyText"/>
      </w:pPr>
      <w:r>
        <w:t xml:space="preserve"> </w:t>
      </w:r>
    </w:p>
    <w:bookmarkEnd w:id="22"/>
    <w:bookmarkStart w:id="29" w:name="author-note"/>
    <w:p>
      <w:pPr>
        <w:pStyle w:val="Heading1"/>
      </w:pPr>
      <w:r>
        <w:t xml:space="preserve">Author Note</w:t>
      </w:r>
    </w:p>
    <w:p>
      <w:pPr>
        <w:pStyle w:val="FirstParagraph"/>
      </w:pPr>
      <w:r>
        <w:t xml:space="preserve">Jason Geller</w:t>
      </w:r>
      <w:r>
        <w:t xml:space="preserve"> </w:t>
      </w:r>
      <w:bookmarkStart w:id="26" w:name="orch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https://orcid.org/0000-0002-7459-4505</w:t>
        </w:r>
      </w:hyperlink>
    </w:p>
    <w:p>
      <w:pPr>
        <w:pStyle w:val="BodyText"/>
      </w:pPr>
      <w:r>
        <w:t xml:space="preserve">Correspondence concerning this article should be addressed to Jason Geller, Department of Psychology and Neuroscience, Boston College, Email:</w:t>
      </w:r>
      <w:r>
        <w:t xml:space="preserve"> </w:t>
      </w:r>
      <w:hyperlink r:id="rId28">
        <w:r>
          <w:rPr>
            <w:rStyle w:val="Hyperlink"/>
          </w:rPr>
          <w:t xml:space="preserve">drjasongeller@gmail.com</w:t>
        </w:r>
      </w:hyperlink>
    </w:p>
    <w:p>
      <w:r>
        <w:br w:type="page"/>
      </w:r>
    </w:p>
    <w:bookmarkEnd w:id="29"/>
    <w:bookmarkStart w:id="30" w:name="abstract"/>
    <w:p>
      <w:pPr>
        <w:pStyle w:val="Heading1"/>
      </w:pPr>
      <w:r>
        <w:t xml:space="preserve">Abstract</w:t>
      </w:r>
    </w:p>
    <w:p>
      <w:pPr>
        <w:pStyle w:val="FirstParagraph"/>
      </w:pPr>
      <w:r>
        <w:rPr>
          <w:i/>
          <w:iCs/>
        </w:rPr>
        <w:t xml:space="preserve">Keywords</w:t>
      </w:r>
      <w:r>
        <w:t xml:space="preserve">: ex-Gaussian, reaction time, Bayesian estimation, brms, parameterization</w:t>
      </w:r>
    </w:p>
    <w:p>
      <w:r>
        <w:br w:type="page"/>
      </w:r>
    </w:p>
    <w:bookmarkEnd w:id="30"/>
    <w:bookmarkStart w:id="43" w:name="firstheader"/>
    <w:p>
      <w:pPr>
        <w:pStyle w:val="Heading1"/>
      </w:pPr>
      <w:r>
        <w:t xml:space="preserve">This Is Not the ex-Gaussian Model You Are Looking For: On the Default Parameterization of Bayesian ex-Gaussian Models in brms</w:t>
      </w:r>
    </w:p>
    <w:p>
      <w:pPr>
        <w:pStyle w:val="FirstParagraph"/>
      </w:pPr>
      <w:r>
        <w:t xml:space="preserve">Over the past two decades, psychology has seen a substantial increase in the application of Bayesian data analysis methods as a supplement to widely used frequentist methods</w:t>
      </w:r>
      <w:r>
        <w:t xml:space="preserve"> </w:t>
      </w:r>
      <w:r>
        <w:t xml:space="preserve">(</w:t>
      </w:r>
      <w:hyperlink w:anchor="ref-pfadt2025methodological">
        <w:r>
          <w:rPr>
            <w:rStyle w:val="Hyperlink"/>
          </w:rPr>
          <w:t xml:space="preserve">Pfadt et al.</w:t>
        </w:r>
        <w:r>
          <w:rPr>
            <w:rStyle w:val="Hyperlink"/>
          </w:rPr>
          <w:t xml:space="preserve">, 2025</w:t>
        </w:r>
      </w:hyperlink>
      <w:r>
        <w:t xml:space="preserve">)</w:t>
      </w:r>
      <w:r>
        <w:t xml:space="preserve">. This shift has been driven by the increasing availability of computational tools that have made fitting Bayesian models both practical and efficient. Programming languages like R</w:t>
      </w:r>
      <w:r>
        <w:t xml:space="preserve"> </w:t>
      </w:r>
      <w:r>
        <w:t xml:space="preserve">(</w:t>
      </w:r>
      <w:hyperlink w:anchor="ref-R">
        <w:r>
          <w:rPr>
            <w:rStyle w:val="Hyperlink"/>
          </w:rPr>
          <w:t xml:space="preserve">R Core Team, 2024</w:t>
        </w:r>
      </w:hyperlink>
      <w:r>
        <w:t xml:space="preserve">)</w:t>
      </w:r>
      <w:r>
        <w:t xml:space="preserve">, Python</w:t>
      </w:r>
      <w:r>
        <w:t xml:space="preserve"> </w:t>
      </w:r>
      <w:r>
        <w:t xml:space="preserve">(</w:t>
      </w:r>
      <w:hyperlink w:anchor="ref-python">
        <w:r>
          <w:rPr>
            <w:rStyle w:val="Hyperlink"/>
          </w:rPr>
          <w:t xml:space="preserve">Van Rossum &amp; Drake, 2009</w:t>
        </w:r>
      </w:hyperlink>
      <w:r>
        <w:t xml:space="preserve">)</w:t>
      </w:r>
      <w:r>
        <w:t xml:space="preserve">, and Julia</w:t>
      </w:r>
      <w:r>
        <w:t xml:space="preserve"> </w:t>
      </w:r>
      <w:r>
        <w:t xml:space="preserve">(</w:t>
      </w:r>
      <w:hyperlink w:anchor="ref-julia">
        <w:r>
          <w:rPr>
            <w:rStyle w:val="Hyperlink"/>
          </w:rPr>
          <w:t xml:space="preserve">Bezanson et al., 2017</w:t>
        </w:r>
      </w:hyperlink>
      <w:r>
        <w:t xml:space="preserve">)</w:t>
      </w:r>
      <w:r>
        <w:t xml:space="preserve"> </w:t>
      </w:r>
      <w:r>
        <w:t xml:space="preserve">provide libraries and packages that allow researchers to fit Bayesian models with little technical overhead. In addition, growing dissatisfaction with null-hypothesis significance testing (NHST) and its associated pitfalls (e.g., p-value misinterpretation and dichotomous thinking), together with the replication crisis and credibility revolution</w:t>
      </w:r>
      <w:r>
        <w:t xml:space="preserve"> </w:t>
      </w:r>
      <w:r>
        <w:t xml:space="preserve">(</w:t>
      </w:r>
      <w:hyperlink w:anchor="ref-vazire2018">
        <w:r>
          <w:rPr>
            <w:rStyle w:val="Hyperlink"/>
          </w:rPr>
          <w:t xml:space="preserve">Vazire, 2018</w:t>
        </w:r>
      </w:hyperlink>
      <w:r>
        <w:t xml:space="preserve">)</w:t>
      </w:r>
      <w:r>
        <w:t xml:space="preserve">, has pushed many researchers toward statistical alternatives.</w:t>
      </w:r>
    </w:p>
    <w:p>
      <w:pPr>
        <w:pStyle w:val="BodyText"/>
      </w:pPr>
      <w:r>
        <w:t xml:space="preserve">One domain that has seen an increase in the adoption of Bayesian methods is the analysis of response time (RT) data, where RTs are routinely used as measures of processing speed, decision difficulty, and cognitive efficiency. Traditionally, RT data have often been analyzed using summary statistics such as the mean or median. However, RT distributions are typically positively skewed, bounded at zero, and characterized by substantial variability both within and between individuals</w:t>
      </w:r>
      <w:r>
        <w:t xml:space="preserve"> </w:t>
      </w:r>
      <w:r>
        <w:t xml:space="preserve">(</w:t>
      </w:r>
      <w:hyperlink w:anchor="ref-wilcox">
        <w:r>
          <w:rPr>
            <w:rStyle w:val="Hyperlink"/>
          </w:rPr>
          <w:t xml:space="preserve">Wilcox &amp; Keselman, 2003</w:t>
        </w:r>
      </w:hyperlink>
      <w:r>
        <w:t xml:space="preserve">)</w:t>
      </w:r>
      <w:r>
        <w:t xml:space="preserve">. Moreover, experimental manipulations may affect not only the central tendency of the distribution but also its variability or upper tail. Consequently, analyses based solely on the mean or median can obscure theoretically meaningful distributional effects, motivating calls to move beyond mean-based analyses of RT data</w:t>
      </w:r>
      <w:r>
        <w:t xml:space="preserve"> </w:t>
      </w:r>
      <w:r>
        <w:t xml:space="preserve">(</w:t>
      </w:r>
      <w:hyperlink w:anchor="ref-balota2011">
        <w:r>
          <w:rPr>
            <w:rStyle w:val="Hyperlink"/>
          </w:rPr>
          <w:t xml:space="preserve">Balota &amp; Yap, 2011</w:t>
        </w:r>
      </w:hyperlink>
      <w:r>
        <w:t xml:space="preserve">)</w:t>
      </w:r>
      <w:r>
        <w:t xml:space="preserve">.</w:t>
      </w:r>
    </w:p>
    <w:p>
      <w:pPr>
        <w:pStyle w:val="BodyText"/>
      </w:pPr>
      <w:r>
        <w:t xml:space="preserve">One way to move beyond the mean is to model the full shape of the RT distribution. Mathematical models provide a flexible way to do so, allowing researchers to draw inferences about the psychological processes—such as memory, attention, and language—that give rise to observed response times. One model that has become especially popular for this purpose is the ex-Gaussian model</w:t>
      </w:r>
      <w:r>
        <w:t xml:space="preserve"> </w:t>
      </w:r>
      <w:r>
        <w:t xml:space="preserve">(</w:t>
      </w:r>
      <w:hyperlink w:anchor="ref-ratcliff1976">
        <w:r>
          <w:rPr>
            <w:rStyle w:val="Hyperlink"/>
          </w:rPr>
          <w:t xml:space="preserve">Ratcliff &amp; Murdock, 1976</w:t>
        </w:r>
      </w:hyperlink>
      <w:r>
        <w:t xml:space="preserve">)</w:t>
      </w:r>
      <w:r>
        <w:t xml:space="preserve">. The ex-Gaussian distribution is formed by the convolution of a Gaussian distribution and an exponential distribution and is characterized by three parameters: μ, σ, and τ. The parameter μ represents the mean of the Gaussian component, whereas σ represents its standard deviation. The parameter τ represents both the mean and standard deviation of the exponential component and primarily governs the length of the distribution’s positively skewed upper tail. The overall mean of the ex-Gaussian distribution is μ + τ, and its variance is σ² + τ². Although these parameters have been used to infer cognitive processes such as automaticity and cognitive control/inhibition, these interpretations are not inherent to the parameters and should be made cautiously</w:t>
      </w:r>
      <w:r>
        <w:t xml:space="preserve"> </w:t>
      </w:r>
      <w:r>
        <w:t xml:space="preserve">(</w:t>
      </w:r>
      <w:hyperlink w:anchor="ref-matzke2009">
        <w:r>
          <w:rPr>
            <w:rStyle w:val="Hyperlink"/>
          </w:rPr>
          <w:t xml:space="preserve">Matzke &amp; Wagenmakers, 2009</w:t>
        </w:r>
      </w:hyperlink>
      <w:r>
        <w:t xml:space="preserve">)</w:t>
      </w:r>
      <w:r>
        <w:t xml:space="preserve">.</w:t>
      </w:r>
    </w:p>
    <w:p>
      <w:pPr>
        <w:pStyle w:val="BodyText"/>
      </w:pPr>
      <w:r>
        <w:t xml:space="preserve">The ex-Gaussian model can be fit within a Bayesian framework relatively easily using the {brms} package in R which provides a high-level interface to Stan</w:t>
      </w:r>
      <w:r>
        <w:t xml:space="preserve"> </w:t>
      </w:r>
      <w:r>
        <w:t xml:space="preserve">(</w:t>
      </w:r>
      <w:hyperlink w:anchor="ref-stan">
        <w:r>
          <w:rPr>
            <w:rStyle w:val="Hyperlink"/>
          </w:rPr>
          <w:t xml:space="preserve">Carpenter et al., 2017</w:t>
        </w:r>
      </w:hyperlink>
      <w:r>
        <w:t xml:space="preserve">)</w:t>
      </w:r>
      <w:r>
        <w:t xml:space="preserve">. The package supports a wide range of response distributions, including the ex-Gaussian family, and allows researchers to incorporate complex model structures at both the participant and item levels as well as across different parameters. This accessibility has contributed to the growing use of Bayesian ex-Gaussian models in reaction-time research. However, an important complication arises from the default parameterization used by {brms}. Although the model is straightforward to estimate, its default specification does not necessarily provide direct access to the parameter-specific comparisons researchers often wish to make.</w:t>
      </w:r>
    </w:p>
    <w:p>
      <w:pPr>
        <w:pStyle w:val="BodyText"/>
      </w:pPr>
      <w:r>
        <w:t xml:space="preserve">The central problem is that the parameter labeled</w:t>
      </w:r>
      <w:r>
        <w:t xml:space="preserve"> </w:t>
      </w:r>
      <m:oMath>
        <m:r>
          <m:t>μ</m:t>
        </m:r>
      </m:oMath>
      <w:r>
        <w:t xml:space="preserve"> </w:t>
      </w:r>
      <w:r>
        <w:t xml:space="preserve">in the default {brms} ex-Gaussian model does not correspond to the mean of the Gaussian component in the conventional parameterization. Instead, the quantity modeled as</w:t>
      </w:r>
      <w:r>
        <w:t xml:space="preserve"> </w:t>
      </w:r>
      <m:oMath>
        <m:r>
          <m:t>μ</m:t>
        </m:r>
      </m:oMath>
      <w:r>
        <w:t xml:space="preserve"> </w:t>
      </w:r>
      <w:r>
        <w:t xml:space="preserve">in {brms} represents the mean of the full ex-Gaussian distribution. Under the conventional parameterization, this quantity is equal to</w:t>
      </w:r>
      <w:r>
        <w:t xml:space="preserve"> </w:t>
      </w:r>
      <m:oMath>
        <m:sSub>
          <m:e>
            <m:r>
              <m:t>μ</m:t>
            </m:r>
          </m:e>
          <m:sub>
            <m:r>
              <m:rPr>
                <m:sty m:val="p"/>
              </m:rPr>
              <m:t>G</m:t>
            </m:r>
            <m:r>
              <m:rPr>
                <m:sty m:val="p"/>
              </m:rPr>
              <m:t>a</m:t>
            </m:r>
            <m:r>
              <m:rPr>
                <m:sty m:val="p"/>
              </m:rPr>
              <m:t>u</m:t>
            </m:r>
            <m:r>
              <m:rPr>
                <m:sty m:val="p"/>
              </m:rPr>
              <m:t>s</m:t>
            </m:r>
            <m:r>
              <m:rPr>
                <m:sty m:val="p"/>
              </m:rPr>
              <m:t>s</m:t>
            </m:r>
            <m:r>
              <m:rPr>
                <m:sty m:val="p"/>
              </m:rPr>
              <m:t>i</m:t>
            </m:r>
            <m:r>
              <m:rPr>
                <m:sty m:val="p"/>
              </m:rPr>
              <m:t>a</m:t>
            </m:r>
            <m:r>
              <m:rPr>
                <m:sty m:val="p"/>
              </m:rPr>
              <m:t>n</m:t>
            </m:r>
          </m:sub>
        </m:sSub>
        <m:r>
          <m:rPr>
            <m:sty m:val="p"/>
          </m:rPr>
          <m:t>+</m:t>
        </m:r>
        <m:r>
          <m:t>τ</m:t>
        </m:r>
      </m:oMath>
      <w:r>
        <w:t xml:space="preserve">. Consequently, regression effects estimated for the default</w:t>
      </w:r>
      <w:r>
        <w:t xml:space="preserve"> </w:t>
      </w:r>
      <m:oMath>
        <m:r>
          <m:t>μ</m:t>
        </m:r>
      </m:oMath>
      <w:r>
        <w:t xml:space="preserve"> </w:t>
      </w:r>
      <w:r>
        <w:t xml:space="preserve">parameter reflect changes in a composite quantity that combines the Gaussian location and exponential tail components. Such effects therefore cannot be interpreted directly as changes in the Gaussian component or in typical response speed. To recover the conventional Gaussian mean, it is necessary to derive it from the model parameters as</w:t>
      </w:r>
      <w:r>
        <w:t xml:space="preserve"> </w:t>
      </w:r>
      <m:oMath>
        <m:sSub>
          <m:e>
            <m:r>
              <m:t>μ</m:t>
            </m:r>
          </m:e>
          <m:sub>
            <m:r>
              <m:rPr>
                <m:sty m:val="p"/>
              </m:rPr>
              <m:t>G</m:t>
            </m:r>
            <m:r>
              <m:rPr>
                <m:sty m:val="p"/>
              </m:rPr>
              <m:t>a</m:t>
            </m:r>
            <m:r>
              <m:rPr>
                <m:sty m:val="p"/>
              </m:rPr>
              <m:t>u</m:t>
            </m:r>
            <m:r>
              <m:rPr>
                <m:sty m:val="p"/>
              </m:rPr>
              <m:t>s</m:t>
            </m:r>
            <m:r>
              <m:rPr>
                <m:sty m:val="p"/>
              </m:rPr>
              <m:t>s</m:t>
            </m:r>
            <m:r>
              <m:rPr>
                <m:sty m:val="p"/>
              </m:rPr>
              <m:t>i</m:t>
            </m:r>
            <m:r>
              <m:rPr>
                <m:sty m:val="p"/>
              </m:rPr>
              <m:t>a</m:t>
            </m:r>
            <m:r>
              <m:rPr>
                <m:sty m:val="p"/>
              </m:rPr>
              <m:t>n</m:t>
            </m:r>
          </m:sub>
        </m:sSub>
        <m:r>
          <m:rPr>
            <m:sty m:val="p"/>
          </m:rPr>
          <m:t>=</m:t>
        </m:r>
        <m:sSub>
          <m:e>
            <m:r>
              <m:t>μ</m:t>
            </m:r>
          </m:e>
          <m:sub>
            <m:r>
              <m:rPr>
                <m:sty m:val="p"/>
              </m:rPr>
              <m:t>b</m:t>
            </m:r>
            <m:r>
              <m:rPr>
                <m:sty m:val="p"/>
              </m:rPr>
              <m:t>r</m:t>
            </m:r>
            <m:r>
              <m:rPr>
                <m:sty m:val="p"/>
              </m:rPr>
              <m:t>m</m:t>
            </m:r>
            <m:r>
              <m:rPr>
                <m:sty m:val="p"/>
              </m:rPr>
              <m:t>s</m:t>
            </m:r>
          </m:sub>
        </m:sSub>
        <m:r>
          <m:rPr>
            <m:sty m:val="p"/>
          </m:rPr>
          <m:t>−</m:t>
        </m:r>
        <m:r>
          <m:t>τ</m:t>
        </m:r>
      </m:oMath>
      <w:r>
        <w:t xml:space="preserve"> </w:t>
      </w:r>
      <w:r>
        <w:t xml:space="preserve">or to specify an alternative parameterization that models the conventional ex-Gaussian parameters directly.</w:t>
      </w:r>
    </w:p>
    <w:p>
      <w:pPr>
        <w:pStyle w:val="BodyText"/>
      </w:pPr>
      <w:r>
        <w:t xml:space="preserve">In this commentary, I demonstrate what the default parameterization of the ex-Gaussian model in</w:t>
      </w:r>
      <w:r>
        <w:t xml:space="preserve"> </w:t>
      </w:r>
      <w:r>
        <w:rPr>
          <w:b/>
          <w:bCs/>
        </w:rPr>
        <w:t xml:space="preserve">brms</w:t>
      </w:r>
      <w:r>
        <w:t xml:space="preserve"> </w:t>
      </w:r>
      <w:r>
        <w:t xml:space="preserve">actually provides and then show how to specify the model so that its parameters correspond to the conventional ex-Gaussian parameters used in reaction-time research. The goal is to improve the accuracy and interpretability of inferences drawn from these models. This issue is particularly important because the ex-Gaussian distribution is widely used to distinguish changes in the central portion of the RT distribution from changes in its posietively skewed tail.</w:t>
      </w:r>
    </w:p>
    <w:bookmarkStart w:id="32" w:name="example"/>
    <w:p>
      <w:pPr>
        <w:pStyle w:val="Heading2"/>
      </w:pPr>
      <w:r>
        <w:t xml:space="preserve">Example</w:t>
      </w:r>
    </w:p>
    <w:p>
      <w:pPr>
        <w:pStyle w:val="FirstParagraph"/>
      </w:pPr>
      <w:r>
        <w:t xml:space="preserve">To demonstrate the issue with fitting the default ex-Gaussian model in {brms}, I simulate data using a comparison adapted from one of my own studies</w:t>
      </w:r>
      <w:r>
        <w:t xml:space="preserve"> </w:t>
      </w:r>
      <w:r>
        <w:t xml:space="preserve">(</w:t>
      </w:r>
      <w:hyperlink w:anchor="ref-geller2025">
        <w:r>
          <w:rPr>
            <w:rStyle w:val="Hyperlink"/>
          </w:rPr>
          <w:t xml:space="preserve">Geller et al., 2025</w:t>
        </w:r>
      </w:hyperlink>
      <w:r>
        <w:t xml:space="preserve">)</w:t>
      </w:r>
      <w:r>
        <w:t xml:space="preserve"> </w:t>
      </w:r>
      <w:r>
        <w:t xml:space="preserve">in R (</w:t>
      </w:r>
      <w:r>
        <w:t xml:space="preserve">R Core Team (</w:t>
      </w:r>
      <w:hyperlink w:anchor="ref-R">
        <w:r>
          <w:rPr>
            <w:rStyle w:val="Hyperlink"/>
          </w:rPr>
          <w:t xml:space="preserve">2024</w:t>
        </w:r>
      </w:hyperlink>
      <w:r>
        <w:t xml:space="preserve">)</w:t>
      </w:r>
      <w:r>
        <w:t xml:space="preserve">; version 4.6.0). This allows the methodological issue to be illustrated without singling out any particular researchers or journals, although published examples of this interpretive problem do exist.</w:t>
      </w:r>
    </w:p>
    <w:p>
      <w:pPr>
        <w:pStyle w:val="BodyText"/>
      </w:pPr>
      <w:r>
        <w:t xml:space="preserve">In</w:t>
      </w:r>
      <w:r>
        <w:t xml:space="preserve"> </w:t>
      </w:r>
      <w:r>
        <w:t xml:space="preserve">Geller et al. (</w:t>
      </w:r>
      <w:hyperlink w:anchor="ref-geller2025">
        <w:r>
          <w:rPr>
            <w:rStyle w:val="Hyperlink"/>
          </w:rPr>
          <w:t xml:space="preserve">2025</w:t>
        </w:r>
      </w:hyperlink>
      <w:r>
        <w:t xml:space="preserve">)</w:t>
      </w:r>
      <w:r>
        <w:t xml:space="preserve">, we examined how perceptual disfluency—manipulated by varying the level of blur applied to words—influenced reaction times in a lexical decision task (i.e., is this letter string a word?), and whether these effects were related to recognition memory. In that study, low blur affected early stages of encoding, reflected in the Gaussian location parameter</w:t>
      </w:r>
      <w:r>
        <w:t xml:space="preserve"> </w:t>
      </w:r>
      <m:oMath>
        <m:r>
          <m:t>μ</m:t>
        </m:r>
      </m:oMath>
      <w:r>
        <w:t xml:space="preserve">, but not the later, tail component captured by</w:t>
      </w:r>
      <w:r>
        <w:t xml:space="preserve"> </w:t>
      </w:r>
      <m:oMath>
        <m:r>
          <m:t>τ</m:t>
        </m:r>
      </m:oMath>
      <w:r>
        <w:t xml:space="preserve">. For the present illustration, however, I construct a sharper scenario in which</w:t>
      </w:r>
      <w:r>
        <w:t xml:space="preserve"> </w:t>
      </w:r>
      <m:oMath>
        <m:r>
          <m:t>μ</m:t>
        </m:r>
      </m:oMath>
      <w:r>
        <w:t xml:space="preserve"> </w:t>
      </w:r>
      <w:r>
        <w:t xml:space="preserve">and</w:t>
      </w:r>
      <w:r>
        <w:t xml:space="preserve"> </w:t>
      </w:r>
      <m:oMath>
        <m:r>
          <m:t>τ</m:t>
        </m:r>
      </m:oMath>
      <w:r>
        <w:t xml:space="preserve"> </w:t>
      </w:r>
      <w:r>
        <w:t xml:space="preserve">differ in opposite directions so that the two conditions share the same expected reaction time. Using the</w:t>
      </w:r>
      <w:r>
        <w:t xml:space="preserve"> </w:t>
      </w:r>
      <w:r>
        <w:rPr>
          <w:rStyle w:val="VerbatimChar"/>
        </w:rPr>
        <w:t xml:space="preserve">rexgaussian2()</w:t>
      </w:r>
      <w:r>
        <w:t xml:space="preserve"> </w:t>
      </w:r>
      <w:r>
        <w:t xml:space="preserve">function from the {brms.exgaussian} package, I simulate ex-Gaussian data for clearly presented and low-blur words in which</w:t>
      </w:r>
      <w:r>
        <w:t xml:space="preserve"> </w:t>
      </w:r>
      <m:oMath>
        <m:r>
          <m:t>μ</m:t>
        </m:r>
      </m:oMath>
      <w:r>
        <w:t xml:space="preserve"> </w:t>
      </w:r>
      <w:r>
        <w:t xml:space="preserve">is set to 500 ms and 550 ms,</w:t>
      </w:r>
      <w:r>
        <w:t xml:space="preserve"> </w:t>
      </w:r>
      <m:oMath>
        <m:r>
          <m:t>τ</m:t>
        </m:r>
      </m:oMath>
      <w:r>
        <w:t xml:space="preserve"> </w:t>
      </w:r>
      <w:r>
        <w:t xml:space="preserve">to 100 ms and 50 ms, and</w:t>
      </w:r>
      <w:r>
        <w:t xml:space="preserve"> </w:t>
      </w:r>
      <m:oMath>
        <m:r>
          <m:t>σ</m:t>
        </m:r>
      </m:oMath>
      <w:r>
        <w:t xml:space="preserve"> </w:t>
      </w:r>
      <w:r>
        <w:t xml:space="preserve">to 60 ms in both conditions (see</w:t>
      </w:r>
      <w:r>
        <w:t xml:space="preserve"> </w:t>
      </w:r>
      <w:hyperlink w:anchor="tbl-exgauss">
        <w:r>
          <w:rPr>
            <w:rStyle w:val="Hyperlink"/>
          </w:rPr>
          <w:t xml:space="preserve">Table 1</w:t>
        </w:r>
      </w:hyperlink>
      <w:r>
        <w:t xml:space="preserve">).</w:t>
      </w:r>
    </w:p>
    <w:p>
      <w:pPr>
        <w:pStyle w:val="BodyText"/>
      </w:pPr>
      <w:r>
        <w:t xml:space="preserve">We sample with replacement 10000 times to get the dataset we want to use.</w:t>
      </w:r>
    </w:p>
    <w:p>
      <w:pPr>
        <w:pStyle w:val="SourceCode"/>
      </w:pPr>
      <w:r>
        <w:rPr>
          <w:rStyle w:val="CommentTok"/>
        </w:rPr>
        <w:t xml:space="preserve"># Number of simulated trials per condition (200 observations in total).</w:t>
      </w:r>
      <w:r>
        <w:br/>
      </w:r>
      <w:r>
        <w:rPr>
          <w:rStyle w:val="NormalTok"/>
        </w:rPr>
        <w:t xml:space="preserve">n_per_group </w:t>
      </w:r>
      <w:r>
        <w:rPr>
          <w:rStyle w:val="OtherTok"/>
        </w:rPr>
        <w:t xml:space="preserve">&lt;-</w:t>
      </w:r>
      <w:r>
        <w:rPr>
          <w:rStyle w:val="NormalTok"/>
        </w:rPr>
        <w:t xml:space="preserve"> </w:t>
      </w:r>
      <w:r>
        <w:rPr>
          <w:rStyle w:val="DecValTok"/>
        </w:rPr>
        <w:t xml:space="preserve">100</w:t>
      </w:r>
      <w:r>
        <w:br/>
      </w:r>
      <w:r>
        <w:br/>
      </w:r>
      <w:r>
        <w:rPr>
          <w:rStyle w:val="CommentTok"/>
        </w:rPr>
        <w:t xml:space="preserve"># One row per trial, labelled by Blur condition (Clear is the reference level).</w:t>
      </w:r>
      <w:r>
        <w:br/>
      </w:r>
      <w:r>
        <w:rPr>
          <w:rStyle w:val="NormalTok"/>
        </w:rPr>
        <w:t xml:space="preserve">d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Blur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"Clear"</w:t>
      </w:r>
      <w:r>
        <w:rPr>
          <w:rStyle w:val="NormalTok"/>
        </w:rPr>
        <w:t xml:space="preserve">, </w:t>
      </w:r>
      <w:r>
        <w:rPr>
          <w:rStyle w:val="StringTok"/>
        </w:rPr>
        <w:t xml:space="preserve">"Low-Blur"</w:t>
      </w:r>
      <w:r>
        <w:rPr>
          <w:rStyle w:val="NormalTok"/>
        </w:rPr>
        <w:t xml:space="preserve">), </w:t>
      </w:r>
      <w:r>
        <w:rPr>
          <w:rStyle w:val="AttributeTok"/>
        </w:rPr>
        <w:t xml:space="preserve">each =</w:t>
      </w:r>
      <w:r>
        <w:rPr>
          <w:rStyle w:val="NormalTok"/>
        </w:rPr>
        <w:t xml:space="preserve"> n_per_group),</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"Clear"</w:t>
      </w:r>
      <w:r>
        <w:rPr>
          <w:rStyle w:val="NormalTok"/>
        </w:rPr>
        <w:t xml:space="preserve">, </w:t>
      </w:r>
      <w:r>
        <w:rPr>
          <w:rStyle w:val="StringTok"/>
        </w:rPr>
        <w:t xml:space="preserve">"Low-Blur"</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Row index (1 = Clear, 2 = Low-Blur) used to look up each trial's parameters.</w:t>
      </w:r>
      <w:r>
        <w:br/>
      </w:r>
      <w:r>
        <w:rPr>
          <w:rStyle w:val="NormalTok"/>
        </w:rPr>
        <w:t xml:space="preserve">parameter_index </w:t>
      </w:r>
      <w:r>
        <w:rPr>
          <w:rStyle w:val="OtherTok"/>
        </w:rPr>
        <w:t xml:space="preserve">&lt;-</w:t>
      </w:r>
      <w:r>
        <w:rPr>
          <w:rStyle w:val="NormalTok"/>
        </w:rPr>
        <w:t xml:space="preserve"> </w:t>
      </w:r>
      <w:r>
        <w:rPr>
          <w:rStyle w:val="FunctionTok"/>
        </w:rPr>
        <w:t xml:space="preserve">as.integer</w:t>
      </w:r>
      <w:r>
        <w:rPr>
          <w:rStyle w:val="NormalTok"/>
        </w:rPr>
        <w:t xml:space="preserve">(d</w:t>
      </w:r>
      <w:r>
        <w:rPr>
          <w:rStyle w:val="SpecialCharTok"/>
        </w:rPr>
        <w:t xml:space="preserve">$</w:t>
      </w:r>
      <w:r>
        <w:rPr>
          <w:rStyle w:val="NormalTok"/>
        </w:rPr>
        <w:t xml:space="preserve">Blur)</w:t>
      </w:r>
      <w:r>
        <w:br/>
      </w:r>
      <w:r>
        <w:br/>
      </w:r>
      <w:r>
        <w:rPr>
          <w:rStyle w:val="CommentTok"/>
        </w:rPr>
        <w:t xml:space="preserve"># Draw reaction times from the ex-Gaussian using each trial's condition values.</w:t>
      </w:r>
      <w:r>
        <w:br/>
      </w:r>
      <w:r>
        <w:rPr>
          <w:rStyle w:val="NormalTok"/>
        </w:rPr>
        <w:t xml:space="preserve">d</w:t>
      </w:r>
      <w:r>
        <w:rPr>
          <w:rStyle w:val="SpecialCharTok"/>
        </w:rPr>
        <w:t xml:space="preserve">$</w:t>
      </w:r>
      <w:r>
        <w:rPr>
          <w:rStyle w:val="NormalTok"/>
        </w:rPr>
        <w:t xml:space="preserve">rt </w:t>
      </w:r>
      <w:r>
        <w:rPr>
          <w:rStyle w:val="OtherTok"/>
        </w:rPr>
        <w:t xml:space="preserve">&lt;-</w:t>
      </w:r>
      <w:r>
        <w:rPr>
          <w:rStyle w:val="NormalTok"/>
        </w:rPr>
        <w:t xml:space="preserve"> brms.exgaussian</w:t>
      </w:r>
      <w:r>
        <w:rPr>
          <w:rStyle w:val="SpecialCharTok"/>
        </w:rPr>
        <w:t xml:space="preserve">::</w:t>
      </w:r>
      <w:r>
        <w:rPr>
          <w:rStyle w:val="FunctionTok"/>
        </w:rPr>
        <w:t xml:space="preserve">rexgaussian2</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nrow</w:t>
      </w:r>
      <w:r>
        <w:rPr>
          <w:rStyle w:val="NormalTok"/>
        </w:rPr>
        <w:t xml:space="preserve">(d),</w:t>
      </w:r>
      <w:r>
        <w:br/>
      </w:r>
      <w:r>
        <w:rPr>
          <w:rStyle w:val="NormalTok"/>
        </w:rPr>
        <w:t xml:space="preserve">  </w:t>
      </w:r>
      <w:r>
        <w:rPr>
          <w:rStyle w:val="AttributeTok"/>
        </w:rPr>
        <w:t xml:space="preserve">mu =</w:t>
      </w:r>
      <w:r>
        <w:rPr>
          <w:rStyle w:val="NormalTok"/>
        </w:rPr>
        <w:t xml:space="preserve"> parameters</w:t>
      </w:r>
      <w:r>
        <w:rPr>
          <w:rStyle w:val="SpecialCharTok"/>
        </w:rPr>
        <w:t xml:space="preserve">$</w:t>
      </w:r>
      <w:r>
        <w:rPr>
          <w:rStyle w:val="NormalTok"/>
        </w:rPr>
        <w:t xml:space="preserve">mu[parameter_index],</w:t>
      </w:r>
      <w:r>
        <w:br/>
      </w:r>
      <w:r>
        <w:rPr>
          <w:rStyle w:val="NormalTok"/>
        </w:rPr>
        <w:t xml:space="preserve">  </w:t>
      </w:r>
      <w:r>
        <w:rPr>
          <w:rStyle w:val="AttributeTok"/>
        </w:rPr>
        <w:t xml:space="preserve">sigma =</w:t>
      </w:r>
      <w:r>
        <w:rPr>
          <w:rStyle w:val="NormalTok"/>
        </w:rPr>
        <w:t xml:space="preserve"> parameters</w:t>
      </w:r>
      <w:r>
        <w:rPr>
          <w:rStyle w:val="SpecialCharTok"/>
        </w:rPr>
        <w:t xml:space="preserve">$</w:t>
      </w:r>
      <w:r>
        <w:rPr>
          <w:rStyle w:val="NormalTok"/>
        </w:rPr>
        <w:t xml:space="preserve">sigma[parameter_index],</w:t>
      </w:r>
      <w:r>
        <w:br/>
      </w:r>
      <w:r>
        <w:rPr>
          <w:rStyle w:val="NormalTok"/>
        </w:rPr>
        <w:t xml:space="preserve">  </w:t>
      </w:r>
      <w:r>
        <w:rPr>
          <w:rStyle w:val="AttributeTok"/>
        </w:rPr>
        <w:t xml:space="preserve">tau =</w:t>
      </w:r>
      <w:r>
        <w:rPr>
          <w:rStyle w:val="NormalTok"/>
        </w:rPr>
        <w:t xml:space="preserve"> parameters</w:t>
      </w:r>
      <w:r>
        <w:rPr>
          <w:rStyle w:val="SpecialCharTok"/>
        </w:rPr>
        <w:t xml:space="preserve">$</w:t>
      </w:r>
      <w:r>
        <w:rPr>
          <w:rStyle w:val="NormalTok"/>
        </w:rPr>
        <w:t xml:space="preserve">tau[parameter_index]</w:t>
      </w:r>
      <w:r>
        <w:br/>
      </w:r>
      <w:r>
        <w:rPr>
          <w:rStyle w:val="NormalTok"/>
        </w:rPr>
        <w:t xml:space="preserve">)</w:t>
      </w:r>
    </w:p>
    <w:bookmarkStart w:id="31" w:name="X09a969dfe880d70ef324f328ec384ed41cfe78f"/>
    <w:p>
      <w:pPr>
        <w:pStyle w:val="Heading3"/>
      </w:pPr>
      <w:r>
        <w:t xml:space="preserve">Estimating Ex-Gaussian Parameters with</w:t>
      </w:r>
      <w:r>
        <w:t xml:space="preserve"> </w:t>
      </w:r>
      <w:r>
        <w:rPr>
          <w:rStyle w:val="VerbatimChar"/>
        </w:rPr>
        <w:t xml:space="preserve">{easystats}</w:t>
      </w:r>
    </w:p>
    <w:p>
      <w:pPr>
        <w:pStyle w:val="FirstParagraph"/>
      </w:pPr>
      <w:r>
        <w:t xml:space="preserve">The</w:t>
      </w:r>
      <w:r>
        <w:t xml:space="preserve"> </w:t>
      </w:r>
      <w:r>
        <w:rPr>
          <w:rStyle w:val="VerbatimChar"/>
        </w:rPr>
        <w:t xml:space="preserve">{modelbased}</w:t>
      </w:r>
      <w:r>
        <w:t xml:space="preserve"> </w:t>
      </w:r>
      <w:r>
        <w:t xml:space="preserve">package, which is part of the</w:t>
      </w:r>
      <w:r>
        <w:t xml:space="preserve"> </w:t>
      </w:r>
      <w:r>
        <w:rPr>
          <w:rStyle w:val="VerbatimChar"/>
        </w:rPr>
        <w:t xml:space="preserve">{easystats}</w:t>
      </w:r>
      <w:r>
        <w:t xml:space="preserve"> </w:t>
      </w:r>
      <w:r>
        <w:t xml:space="preserve">ecosystem, can be used to obtain condition-specific posterior estimates from a fitted</w:t>
      </w:r>
      <w:r>
        <w:t xml:space="preserve"> </w:t>
      </w:r>
      <w:r>
        <w:rPr>
          <w:rStyle w:val="VerbatimChar"/>
        </w:rPr>
        <w:t xml:space="preserve">brms</w:t>
      </w:r>
      <w:r>
        <w:t xml:space="preserve"> </w:t>
      </w:r>
      <w:r>
        <w:t xml:space="preserve">model. The</w:t>
      </w:r>
      <w:r>
        <w:t xml:space="preserve"> </w:t>
      </w:r>
      <w:r>
        <w:rPr>
          <w:rStyle w:val="VerbatimChar"/>
        </w:rPr>
        <w:t xml:space="preserve">estimate_means()</w:t>
      </w:r>
      <w:r>
        <w:t xml:space="preserve"> </w:t>
      </w:r>
      <w:r>
        <w:t xml:space="preserve">function returns estimated parameters for each condition, whereas</w:t>
      </w:r>
      <w:r>
        <w:t xml:space="preserve"> </w:t>
      </w:r>
      <w:r>
        <w:rPr>
          <w:rStyle w:val="VerbatimChar"/>
        </w:rPr>
        <w:t xml:space="preserve">estimate_contrasts()</w:t>
      </w:r>
      <w:r>
        <w:t xml:space="preserve"> </w:t>
      </w:r>
      <w:r>
        <w:t xml:space="preserve">computes differences between conditions.</w:t>
      </w:r>
    </w:p>
    <w:p>
      <w:pPr>
        <w:pStyle w:val="BodyText"/>
      </w:pPr>
      <w:r>
        <w:t xml:space="preserve">As shown in</w:t>
      </w:r>
      <w:r>
        <w:t xml:space="preserve"> </w:t>
      </w:r>
      <w:hyperlink w:anchor="tbl-exgauss">
        <w:r>
          <w:rPr>
            <w:rStyle w:val="Hyperlink"/>
          </w:rPr>
          <w:t xml:space="preserve">Table 1</w:t>
        </w:r>
      </w:hyperlink>
      <w:r>
        <w:t xml:space="preserve">, the present data were generated so that the two conditions have the same expected reaction time but differ in the Gaussian and exponential components of the ex-Gaussian distribution.</w:t>
      </w:r>
    </w:p>
    <w:p>
      <w:pPr>
        <w:pStyle w:val="BodyText"/>
      </w:pPr>
      <w:r>
        <w:t xml:space="preserve">Under the classical ex-Gaussian parameterization, the expected response is</w:t>
      </w:r>
    </w:p>
    <w:p>
      <w:pPr>
        <w:pStyle w:val="BodyText"/>
      </w:pPr>
      <m:oMathPara>
        <m:oMathParaPr>
          <m:jc m:val="center"/>
        </m:oMathParaPr>
        <m:oMath>
          <m:r>
            <m:t>E</m:t>
          </m:r>
          <m:r>
            <m:rPr>
              <m:sty m:val="p"/>
            </m:rPr>
            <m:t>(</m:t>
          </m:r>
          <m:r>
            <m:t>R</m:t>
          </m:r>
          <m:r>
            <m:t>T</m:t>
          </m:r>
          <m:r>
            <m:rPr>
              <m:sty m:val="p"/>
            </m:rPr>
            <m:t>)</m:t>
          </m:r>
          <m:r>
            <m:rPr>
              <m:sty m:val="p"/>
            </m:rPr>
            <m:t>=</m:t>
          </m:r>
          <m:r>
            <m:t>μ</m:t>
          </m:r>
          <m:r>
            <m:rPr>
              <m:sty m:val="p"/>
            </m:rPr>
            <m:t>+</m:t>
          </m:r>
          <m:r>
            <m:t>τ</m:t>
          </m:r>
          <m:r>
            <m:rPr>
              <m:sty m:val="p"/>
            </m:rPr>
            <m:t>.</m:t>
          </m:r>
        </m:oMath>
      </m:oMathPara>
    </w:p>
    <w:p>
      <w:pPr>
        <w:pStyle w:val="FirstParagraph"/>
      </w:pPr>
      <w:r>
        <w:t xml:space="preserve">Thus, the 50-ms increase in</w:t>
      </w:r>
      <w:r>
        <w:t xml:space="preserve"> </w:t>
      </w:r>
      <m:oMath>
        <m:r>
          <m:t>μ</m:t>
        </m:r>
      </m:oMath>
      <w:r>
        <w:t xml:space="preserve"> </w:t>
      </w:r>
      <w:r>
        <w:t xml:space="preserve">for the Low-Blur condition is offset by a 50-ms decrease in</w:t>
      </w:r>
      <w:r>
        <w:t xml:space="preserve"> </w:t>
      </w:r>
      <m:oMath>
        <m:r>
          <m:t>τ</m:t>
        </m:r>
      </m:oMath>
      <w:r>
        <w:t xml:space="preserve">. The expected RT is therefore 600 ms in both conditions.</w:t>
      </w:r>
    </w:p>
    <w:bookmarkEnd w:id="31"/>
    <w:bookmarkEnd w:id="32"/>
    <w:bookmarkStart w:id="36" w:name="default-brms-parameterization"/>
    <w:p>
      <w:pPr>
        <w:pStyle w:val="Heading2"/>
      </w:pPr>
      <w:r>
        <w:t xml:space="preserve">Default</w:t>
      </w:r>
      <w:r>
        <w:t xml:space="preserve"> </w:t>
      </w:r>
      <w:r>
        <w:rPr>
          <w:rStyle w:val="VerbatimChar"/>
        </w:rPr>
        <w:t xml:space="preserve">brms</w:t>
      </w:r>
      <w:r>
        <w:t xml:space="preserve"> </w:t>
      </w:r>
      <w:r>
        <w:t xml:space="preserve">Parameterization</w:t>
      </w:r>
    </w:p>
    <w:p>
      <w:pPr>
        <w:pStyle w:val="FirstParagraph"/>
      </w:pPr>
      <w:r>
        <w:t xml:space="preserve">We first fit the default</w:t>
      </w:r>
      <w:r>
        <w:t xml:space="preserve"> </w:t>
      </w:r>
      <w:r>
        <w:rPr>
          <w:rStyle w:val="VerbatimChar"/>
        </w:rPr>
        <w:t xml:space="preserve">brms</w:t>
      </w:r>
      <w:r>
        <w:t xml:space="preserve"> </w:t>
      </w:r>
      <w:r>
        <w:t xml:space="preserve">ex-Gaussian model. In this parameterization, the parameter labeled</w:t>
      </w:r>
      <w:r>
        <w:t xml:space="preserve"> </w:t>
      </w:r>
      <w:r>
        <w:rPr>
          <w:rStyle w:val="VerbatimChar"/>
        </w:rPr>
        <w:t xml:space="preserve">mu</w:t>
      </w:r>
      <w:r>
        <w:t xml:space="preserve"> </w:t>
      </w:r>
      <w:r>
        <w:t xml:space="preserve">represents the expected value of the full ex-Gaussian distribution rather than the location of its Gaussian component.</w:t>
      </w:r>
    </w:p>
    <w:p>
      <w:pPr>
        <w:pStyle w:val="BodyText"/>
      </w:pPr>
      <w:r>
        <w:t xml:space="preserve">The exponential component is labeled</w:t>
      </w:r>
      <w:r>
        <w:t xml:space="preserve"> </w:t>
      </w:r>
      <w:r>
        <w:rPr>
          <w:rStyle w:val="VerbatimChar"/>
        </w:rPr>
        <w:t xml:space="preserve">beta</w:t>
      </w:r>
      <w:r>
        <w:t xml:space="preserve">. On the response scale,</w:t>
      </w:r>
      <w:r>
        <w:t xml:space="preserve"> </w:t>
      </w:r>
      <w:r>
        <w:rPr>
          <w:rStyle w:val="VerbatimChar"/>
        </w:rPr>
        <w:t xml:space="preserve">beta</w:t>
      </w:r>
      <w:r>
        <w:t xml:space="preserve"> </w:t>
      </w:r>
      <w:r>
        <w:t xml:space="preserve">corresponds to the classical ex-Gaussian parameter</w:t>
      </w:r>
      <w:r>
        <w:t xml:space="preserve"> </w:t>
      </w:r>
      <m:oMath>
        <m:r>
          <m:t>τ</m:t>
        </m:r>
      </m:oMath>
      <w:r>
        <w:t xml:space="preserve">:</w:t>
      </w:r>
    </w:p>
    <w:p>
      <w:pPr>
        <w:pStyle w:val="BodyText"/>
      </w:pPr>
      <m:oMathPara>
        <m:oMathParaPr>
          <m:jc m:val="center"/>
        </m:oMathParaPr>
        <m:oMath>
          <m:sSub>
            <m:e>
              <m:r>
                <m:t>β</m:t>
              </m:r>
            </m:e>
            <m:sub>
              <m:r>
                <m:rPr>
                  <m:nor/>
                  <m:scr m:val="monospace"/>
                  <m:sty m:val="p"/>
                </m:rPr>
                <m:t>brms</m:t>
              </m:r>
            </m:sub>
          </m:sSub>
          <m:r>
            <m:rPr>
              <m:sty m:val="p"/>
            </m:rPr>
            <m:t>=</m:t>
          </m:r>
          <m:sSub>
            <m:e>
              <m:r>
                <m:t>τ</m:t>
              </m:r>
            </m:e>
            <m:sub>
              <m:r>
                <m:rPr>
                  <m:nor/>
                  <m:sty m:val="p"/>
                </m:rPr>
                <m:t>classical</m:t>
              </m:r>
            </m:sub>
          </m:sSub>
          <m:r>
            <m:rPr>
              <m:sty m:val="p"/>
            </m:rPr>
            <m:t>.</m:t>
          </m:r>
        </m:oMath>
      </m:oMathPara>
    </w:p>
    <w:p>
      <w:pPr>
        <w:pStyle w:val="FirstParagraph"/>
      </w:pPr>
      <w:r>
        <w:t xml:space="preserve">Thus,</w:t>
      </w:r>
      <w:r>
        <w:t xml:space="preserve"> </w:t>
      </w:r>
      <w:r>
        <w:rPr>
          <w:rStyle w:val="VerbatimChar"/>
        </w:rPr>
        <w:t xml:space="preserve">beta</w:t>
      </w:r>
      <w:r>
        <w:t xml:space="preserve"> </w:t>
      </w:r>
      <w:r>
        <w:t xml:space="preserve">and</w:t>
      </w:r>
      <w:r>
        <w:t xml:space="preserve"> </w:t>
      </w:r>
      <m:oMath>
        <m:r>
          <m:t>τ</m:t>
        </m:r>
      </m:oMath>
      <w:r>
        <w:t xml:space="preserve"> </w:t>
      </w:r>
      <w:r>
        <w:t xml:space="preserve">are not substantively different quantities. Both represent the mean of the exponential component. The difference is primarily one of notation. The important difference between the default</w:t>
      </w:r>
      <w:r>
        <w:t xml:space="preserve"> </w:t>
      </w:r>
      <w:r>
        <w:rPr>
          <w:rStyle w:val="VerbatimChar"/>
        </w:rPr>
        <w:t xml:space="preserve">brms</w:t>
      </w:r>
      <w:r>
        <w:t xml:space="preserve"> </w:t>
      </w:r>
      <w:r>
        <w:t xml:space="preserve">model and the classical parameterization concerns</w:t>
      </w:r>
      <w:r>
        <w:t xml:space="preserve"> </w:t>
      </w:r>
      <w:r>
        <w:rPr>
          <w:rStyle w:val="VerbatimChar"/>
        </w:rPr>
        <w:t xml:space="preserve">mu</w:t>
      </w:r>
      <w:r>
        <w:t xml:space="preserve">:</w:t>
      </w:r>
    </w:p>
    <w:p>
      <w:pPr>
        <w:pStyle w:val="BodyText"/>
      </w:pPr>
      <m:oMathPara>
        <m:oMathParaPr>
          <m:jc m:val="center"/>
        </m:oMathParaPr>
        <m:oMath>
          <m:sSub>
            <m:e>
              <m:r>
                <m:t>μ</m:t>
              </m:r>
            </m:e>
            <m:sub>
              <m:r>
                <m:rPr>
                  <m:nor/>
                  <m:scr m:val="monospace"/>
                  <m:sty m:val="p"/>
                </m:rPr>
                <m:t>brms</m:t>
              </m:r>
            </m:sub>
          </m:sSub>
          <m:r>
            <m:rPr>
              <m:sty m:val="p"/>
            </m:rPr>
            <m:t>=</m:t>
          </m:r>
          <m:sSub>
            <m:e>
              <m:r>
                <m:t>μ</m:t>
              </m:r>
            </m:e>
            <m:sub>
              <m:r>
                <m:rPr>
                  <m:nor/>
                  <m:sty m:val="p"/>
                </m:rPr>
                <m:t>classical</m:t>
              </m:r>
            </m:sub>
          </m:sSub>
          <m:r>
            <m:rPr>
              <m:sty m:val="p"/>
            </m:rPr>
            <m:t>+</m:t>
          </m:r>
          <m:r>
            <m:t>τ</m:t>
          </m:r>
          <m:r>
            <m:rPr>
              <m:sty m:val="p"/>
            </m:rPr>
            <m:t>.</m:t>
          </m:r>
        </m:oMath>
      </m:oMathPara>
    </w:p>
    <w:p>
      <w:pPr>
        <w:pStyle w:val="FirstParagraph"/>
      </w:pPr>
      <w:r>
        <w:t xml:space="preserve">In other words, the default</w:t>
      </w:r>
      <w:r>
        <w:t xml:space="preserve"> </w:t>
      </w:r>
      <w:r>
        <w:rPr>
          <w:rStyle w:val="VerbatimChar"/>
        </w:rPr>
        <w:t xml:space="preserve">brms</w:t>
      </w:r>
      <w:r>
        <w:t xml:space="preserve"> </w:t>
      </w:r>
      <w:r>
        <w:t xml:space="preserve">parameterization uses</w:t>
      </w:r>
      <w:r>
        <w:t xml:space="preserve"> </w:t>
      </w:r>
      <w:r>
        <w:rPr>
          <w:rStyle w:val="VerbatimChar"/>
        </w:rPr>
        <w:t xml:space="preserve">mu</w:t>
      </w:r>
      <w:r>
        <w:t xml:space="preserve"> </w:t>
      </w:r>
      <w:r>
        <w:t xml:space="preserve">for the expected value of the complete ex-Gaussian distribution, whereas the classical parameterization uses</w:t>
      </w:r>
      <w:r>
        <w:t xml:space="preserve"> </w:t>
      </w:r>
      <m:oMath>
        <m:r>
          <m:t>μ</m:t>
        </m:r>
      </m:oMath>
      <w:r>
        <w:t xml:space="preserve"> </w:t>
      </w:r>
      <w:r>
        <w:t xml:space="preserve">for the location of the Gaussian component.</w:t>
      </w:r>
    </w:p>
    <w:p>
      <w:pPr>
        <w:pStyle w:val="BodyText"/>
      </w:pPr>
      <w:r>
        <w:t xml:space="preserve">Both the expected response and the exponential component are allowed to vary across conditions.</w:t>
      </w:r>
    </w:p>
    <w:bookmarkStart w:id="33" w:name="prior-specification"/>
    <w:p>
      <w:pPr>
        <w:pStyle w:val="Heading3"/>
      </w:pPr>
      <w:r>
        <w:t xml:space="preserve">Prior Specification</w:t>
      </w:r>
    </w:p>
    <w:p>
      <w:pPr>
        <w:pStyle w:val="FirstParagraph"/>
      </w:pPr>
      <w:r>
        <w:t xml:space="preserve">The priors were selected to reflect the known scale of the simulated data while remaining sufficiently broad to allow the model to recover deviations from the generating values.</w:t>
      </w:r>
    </w:p>
    <w:p>
      <w:pPr>
        <w:pStyle w:val="SourceCode"/>
      </w:pPr>
      <w:r>
        <w:rPr>
          <w:rStyle w:val="NormalTok"/>
        </w:rPr>
        <w:t xml:space="preserve">priors_default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mmentTok"/>
        </w:rPr>
        <w:t xml:space="preserve"># mu intercept: centered at 600 ms, the expected RT (E(RT)) of the reference</w:t>
      </w:r>
      <w:r>
        <w:br/>
      </w:r>
      <w:r>
        <w:rPr>
          <w:rStyle w:val="NormalTok"/>
        </w:rPr>
        <w:t xml:space="preserve">  </w:t>
      </w:r>
      <w:r>
        <w:rPr>
          <w:rStyle w:val="CommentTok"/>
        </w:rPr>
        <w:t xml:space="preserve"># condition in this default parameterization.</w:t>
      </w:r>
      <w:r>
        <w:br/>
      </w:r>
      <w:r>
        <w:rPr>
          <w:rStyle w:val="NormalTok"/>
        </w:rPr>
        <w:t xml:space="preserve">  </w:t>
      </w:r>
      <w:r>
        <w:rPr>
          <w:rStyle w:val="FunctionTok"/>
        </w:rPr>
        <w:t xml:space="preserve">prior</w:t>
      </w:r>
      <w:r>
        <w:rPr>
          <w:rStyle w:val="NormalTok"/>
        </w:rPr>
        <w:t xml:space="preserve">(</w:t>
      </w:r>
      <w:r>
        <w:br/>
      </w:r>
      <w:r>
        <w:rPr>
          <w:rStyle w:val="NormalTok"/>
        </w:rPr>
        <w:t xml:space="preserve">    </w:t>
      </w:r>
      <w:r>
        <w:rPr>
          <w:rStyle w:val="FunctionTok"/>
        </w:rPr>
        <w:t xml:space="preserve">normal</w:t>
      </w:r>
      <w:r>
        <w:rPr>
          <w:rStyle w:val="NormalTok"/>
        </w:rPr>
        <w:t xml:space="preserve">(</w:t>
      </w:r>
      <w:r>
        <w:rPr>
          <w:rStyle w:val="DecValTok"/>
        </w:rPr>
        <w:t xml:space="preserve">600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"Intercept"</w:t>
      </w:r>
      <w:r>
        <w:br/>
      </w:r>
      <w:r>
        <w:rPr>
          <w:rStyle w:val="NormalTok"/>
        </w:rPr>
        <w:t xml:space="preserve">  ),</w:t>
      </w:r>
      <w:r>
        <w:br/>
      </w:r>
      <w:r>
        <w:rPr>
          <w:rStyle w:val="NormalTok"/>
        </w:rPr>
        <w:t xml:space="preserve">  </w:t>
      </w:r>
      <w:r>
        <w:rPr>
          <w:rStyle w:val="CommentTok"/>
        </w:rPr>
        <w:t xml:space="preserve"># Effect of Blur on mu: centered at 0 (no assumed direction).</w:t>
      </w:r>
      <w:r>
        <w:br/>
      </w:r>
      <w:r>
        <w:rPr>
          <w:rStyle w:val="NormalTok"/>
        </w:rPr>
        <w:t xml:space="preserve">  </w:t>
      </w:r>
      <w:r>
        <w:rPr>
          <w:rStyle w:val="FunctionTok"/>
        </w:rPr>
        <w:t xml:space="preserve">prior</w:t>
      </w:r>
      <w:r>
        <w:rPr>
          <w:rStyle w:val="NormalTok"/>
        </w:rPr>
        <w:t xml:space="preserve">(</w:t>
      </w:r>
      <w:r>
        <w:br/>
      </w:r>
      <w:r>
        <w:rPr>
          <w:rStyle w:val="NormalTok"/>
        </w:rPr>
        <w:t xml:space="preserve">    </w:t>
      </w:r>
      <w:r>
        <w:rPr>
          <w:rStyle w:val="FunctionTok"/>
        </w:rPr>
        <w:t xml:space="preserve">normal</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"b"</w:t>
      </w:r>
      <w:r>
        <w:br/>
      </w:r>
      <w:r>
        <w:rPr>
          <w:rStyle w:val="NormalTok"/>
        </w:rPr>
        <w:t xml:space="preserve">  ),</w:t>
      </w:r>
      <w:r>
        <w:br/>
      </w:r>
      <w:r>
        <w:rPr>
          <w:rStyle w:val="NormalTok"/>
        </w:rPr>
        <w:t xml:space="preserve">  </w:t>
      </w:r>
      <w:r>
        <w:rPr>
          <w:rStyle w:val="CommentTok"/>
        </w:rPr>
        <w:t xml:space="preserve"># beta (exponential mean) intercept, on the log scale: exp(log(100)) = 100 ms.</w:t>
      </w:r>
      <w:r>
        <w:br/>
      </w:r>
      <w:r>
        <w:rPr>
          <w:rStyle w:val="NormalTok"/>
        </w:rPr>
        <w:t xml:space="preserve">  </w:t>
      </w:r>
      <w:r>
        <w:rPr>
          <w:rStyle w:val="FunctionTok"/>
        </w:rPr>
        <w:t xml:space="preserve">prior</w:t>
      </w:r>
      <w:r>
        <w:rPr>
          <w:rStyle w:val="NormalTok"/>
        </w:rPr>
        <w:t xml:space="preserve">(</w:t>
      </w:r>
      <w:r>
        <w:br/>
      </w:r>
      <w:r>
        <w:rPr>
          <w:rStyle w:val="NormalTok"/>
        </w:rPr>
        <w:t xml:space="preserve">    </w:t>
      </w:r>
      <w:r>
        <w:rPr>
          <w:rStyle w:val="FunctionTok"/>
        </w:rPr>
        <w:t xml:space="preserve">normal</w:t>
      </w:r>
      <w:r>
        <w:rPr>
          <w:rStyle w:val="NormalTok"/>
        </w:rPr>
        <w:t xml:space="preserve">(</w:t>
      </w:r>
      <w:r>
        <w:rPr>
          <w:rStyle w:val="FunctionTok"/>
        </w:rPr>
        <w:t xml:space="preserve">log</w:t>
      </w:r>
      <w:r>
        <w:rPr>
          <w:rStyle w:val="NormalTok"/>
        </w:rPr>
        <w:t xml:space="preserve">(</w:t>
      </w:r>
      <w:r>
        <w:rPr>
          <w:rStyle w:val="DecValTok"/>
        </w:rPr>
        <w:t xml:space="preserve">100</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w:t>
      </w:r>
      <w:r>
        <w:br/>
      </w:r>
      <w:r>
        <w:rPr>
          <w:rStyle w:val="NormalTok"/>
        </w:rPr>
        <w:t xml:space="preserve">    </w:t>
      </w:r>
      <w:r>
        <w:rPr>
          <w:rStyle w:val="AttributeTok"/>
        </w:rPr>
        <w:t xml:space="preserve">dpar =</w:t>
      </w:r>
      <w:r>
        <w:rPr>
          <w:rStyle w:val="NormalTok"/>
        </w:rPr>
        <w:t xml:space="preserve"> </w:t>
      </w:r>
      <w:r>
        <w:rPr>
          <w:rStyle w:val="StringTok"/>
        </w:rPr>
        <w:t xml:space="preserve">"beta"</w:t>
      </w:r>
      <w:r>
        <w:br/>
      </w:r>
      <w:r>
        <w:rPr>
          <w:rStyle w:val="NormalTok"/>
        </w:rPr>
        <w:t xml:space="preserve">  ),</w:t>
      </w:r>
      <w:r>
        <w:br/>
      </w:r>
      <w:r>
        <w:rPr>
          <w:rStyle w:val="NormalTok"/>
        </w:rPr>
        <w:t xml:space="preserve">  </w:t>
      </w:r>
      <w:r>
        <w:rPr>
          <w:rStyle w:val="CommentTok"/>
        </w:rPr>
        <w:t xml:space="preserve"># Effect of Blur on beta (log scale): centered at 0 (a ratio of 1).</w:t>
      </w:r>
      <w:r>
        <w:br/>
      </w:r>
      <w:r>
        <w:rPr>
          <w:rStyle w:val="NormalTok"/>
        </w:rPr>
        <w:t xml:space="preserve">  </w:t>
      </w:r>
      <w:r>
        <w:rPr>
          <w:rStyle w:val="FunctionTok"/>
        </w:rPr>
        <w:t xml:space="preserve">prior</w:t>
      </w:r>
      <w:r>
        <w:rPr>
          <w:rStyle w:val="NormalTok"/>
        </w:rPr>
        <w:t xml:space="preserve">(</w:t>
      </w:r>
      <w:r>
        <w:br/>
      </w:r>
      <w:r>
        <w:rPr>
          <w:rStyle w:val="NormalTok"/>
        </w:rPr>
        <w:t xml:space="preserve">    </w:t>
      </w:r>
      <w:r>
        <w:rPr>
          <w:rStyle w:val="FunctionTok"/>
        </w:rPr>
        <w:t xml:space="preserve">normal</w:t>
      </w:r>
      <w:r>
        <w:rPr>
          <w:rStyle w:val="NormalTok"/>
        </w:rPr>
        <w:t xml:space="preserve">(</w:t>
      </w:r>
      <w:r>
        <w:rPr>
          <w:rStyle w:val="DecValTok"/>
        </w:rPr>
        <w:t xml:space="preserve">0</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dpar =</w:t>
      </w:r>
      <w:r>
        <w:rPr>
          <w:rStyle w:val="NormalTok"/>
        </w:rPr>
        <w:t xml:space="preserve"> </w:t>
      </w:r>
      <w:r>
        <w:rPr>
          <w:rStyle w:val="StringTok"/>
        </w:rPr>
        <w:t xml:space="preserve">"beta"</w:t>
      </w:r>
      <w:r>
        <w:br/>
      </w:r>
      <w:r>
        <w:rPr>
          <w:rStyle w:val="NormalTok"/>
        </w:rPr>
        <w:t xml:space="preserve">  )</w:t>
      </w:r>
      <w:r>
        <w:br/>
      </w:r>
      <w:r>
        <w:rPr>
          <w:rStyle w:val="NormalTok"/>
        </w:rPr>
        <w:t xml:space="preserve">)</w:t>
      </w:r>
    </w:p>
    <w:p>
      <w:pPr>
        <w:pStyle w:val="FirstParagraph"/>
      </w:pPr>
      <w:r>
        <w:t xml:space="preserve">The intercept prior for the primary</w:t>
      </w:r>
      <w:r>
        <w:t xml:space="preserve"> </w:t>
      </w:r>
      <w:r>
        <w:rPr>
          <w:rStyle w:val="VerbatimChar"/>
        </w:rPr>
        <w:t xml:space="preserve">mu</w:t>
      </w:r>
      <w:r>
        <w:t xml:space="preserve"> </w:t>
      </w:r>
      <w:r>
        <w:t xml:space="preserve">submodel is</w:t>
      </w:r>
    </w:p>
    <w:p>
      <w:pPr>
        <w:pStyle w:val="BodyText"/>
      </w:pPr>
      <m:oMathPara>
        <m:oMathParaPr>
          <m:jc m:val="center"/>
        </m:oMathParaPr>
        <m:oMath>
          <m:sSub>
            <m:e>
              <m:r>
                <m:t>μ</m:t>
              </m:r>
            </m:e>
            <m:sub>
              <m:r>
                <m:rPr>
                  <m:nor/>
                  <m:sty m:val="p"/>
                </m:rPr>
                <m:t>Intercept</m:t>
              </m:r>
            </m:sub>
          </m:sSub>
          <m:r>
            <m:rPr>
              <m:sty m:val="p"/>
            </m:rPr>
            <m:t>∼</m:t>
          </m:r>
          <m:r>
            <m:rPr>
              <m:scr m:val="script"/>
              <m:sty m:val="p"/>
            </m:rPr>
            <m:t>N</m:t>
          </m:r>
          <m:r>
            <m:rPr>
              <m:sty m:val="p"/>
            </m:rPr>
            <m:t>(</m:t>
          </m:r>
          <m:r>
            <m:t>600</m:t>
          </m:r>
          <m:r>
            <m:rPr>
              <m:sty m:val="p"/>
            </m:rPr>
            <m:t>,</m:t>
          </m:r>
          <m:r>
            <m:t>100</m:t>
          </m:r>
          <m:r>
            <m:rPr>
              <m:sty m:val="p"/>
            </m:rPr>
            <m:t>)</m:t>
          </m:r>
          <m:r>
            <m:rPr>
              <m:sty m:val="p"/>
            </m:rPr>
            <m:t>.</m:t>
          </m:r>
        </m:oMath>
      </m:oMathPara>
    </w:p>
    <w:p>
      <w:pPr>
        <w:pStyle w:val="FirstParagraph"/>
      </w:pPr>
      <w:r>
        <w:t xml:space="preserve">We center this prior at 600 ms because, in the default</w:t>
      </w:r>
      <w:r>
        <w:t xml:space="preserve"> </w:t>
      </w:r>
      <w:r>
        <w:rPr>
          <w:rStyle w:val="VerbatimChar"/>
        </w:rPr>
        <w:t xml:space="preserve">brms</w:t>
      </w:r>
      <w:r>
        <w:t xml:space="preserve"> </w:t>
      </w:r>
      <w:r>
        <w:t xml:space="preserve">parameterization,</w:t>
      </w:r>
      <w:r>
        <w:t xml:space="preserve"> </w:t>
      </w:r>
      <w:r>
        <w:rPr>
          <w:rStyle w:val="VerbatimChar"/>
        </w:rPr>
        <w:t xml:space="preserve">mu</w:t>
      </w:r>
      <w:r>
        <w:t xml:space="preserve"> </w:t>
      </w:r>
      <w:r>
        <w:t xml:space="preserve">represents the expected RT. The simulated expected RT for the reference condition is</w:t>
      </w:r>
    </w:p>
    <w:p>
      <w:pPr>
        <w:pStyle w:val="BodyText"/>
      </w:pPr>
      <m:oMathPara>
        <m:oMathParaPr>
          <m:jc m:val="center"/>
        </m:oMathParaPr>
        <m:oMath>
          <m:r>
            <m:t>500</m:t>
          </m:r>
          <m:r>
            <m:rPr>
              <m:sty m:val="p"/>
            </m:rPr>
            <m:t>+</m:t>
          </m:r>
          <m:r>
            <m:t>100</m:t>
          </m:r>
          <m:r>
            <m:rPr>
              <m:sty m:val="p"/>
            </m:rPr>
            <m:t>=</m:t>
          </m:r>
          <m:r>
            <m:t>600</m:t>
          </m:r>
          <m:r>
            <m:rPr>
              <m:nor/>
              <m:sty m:val="p"/>
            </m:rPr>
            <m:t> ms</m:t>
          </m:r>
          <m:r>
            <m:rPr>
              <m:sty m:val="p"/>
            </m:rPr>
            <m:t>.</m:t>
          </m:r>
        </m:oMath>
      </m:oMathPara>
    </w:p>
    <w:p>
      <w:pPr>
        <w:pStyle w:val="FirstParagraph"/>
      </w:pPr>
      <w:r>
        <w:t xml:space="preserve">The standard deviation of 100 ms makes the prior informative about the plausible scale of RTs without tightly constraining the intercept to equal exactly 600 ms.</w:t>
      </w:r>
    </w:p>
    <w:p>
      <w:pPr>
        <w:pStyle w:val="BodyText"/>
      </w:pPr>
      <w:r>
        <w:t xml:space="preserve">The prior on the</w:t>
      </w:r>
      <w:r>
        <w:t xml:space="preserve"> </w:t>
      </w:r>
      <w:r>
        <w:rPr>
          <w:rStyle w:val="VerbatimChar"/>
        </w:rPr>
        <w:t xml:space="preserve">Blur</w:t>
      </w:r>
      <w:r>
        <w:t xml:space="preserve"> </w:t>
      </w:r>
      <w:r>
        <w:t xml:space="preserve">coefficient is</w:t>
      </w:r>
    </w:p>
    <w:p>
      <w:pPr>
        <w:pStyle w:val="BodyText"/>
      </w:pPr>
      <m:oMathPara>
        <m:oMathParaPr>
          <m:jc m:val="center"/>
        </m:oMathParaPr>
        <m:oMath>
          <m:sSub>
            <m:e>
              <m:r>
                <m:t>b</m:t>
              </m:r>
            </m:e>
            <m:sub>
              <m:r>
                <m:rPr>
                  <m:nor/>
                  <m:sty m:val="p"/>
                </m:rPr>
                <m:t>Blur</m:t>
              </m:r>
            </m:sub>
          </m:sSub>
          <m:r>
            <m:rPr>
              <m:sty m:val="p"/>
            </m:rPr>
            <m:t>∼</m:t>
          </m:r>
          <m:r>
            <m:rPr>
              <m:scr m:val="script"/>
              <m:sty m:val="p"/>
            </m:rPr>
            <m:t>N</m:t>
          </m:r>
          <m:r>
            <m:rPr>
              <m:sty m:val="p"/>
            </m:rPr>
            <m:t>(</m:t>
          </m:r>
          <m:r>
            <m:t>0</m:t>
          </m:r>
          <m:r>
            <m:rPr>
              <m:sty m:val="p"/>
            </m:rPr>
            <m:t>,</m:t>
          </m:r>
          <m:r>
            <m:t>50</m:t>
          </m:r>
          <m:r>
            <m:rPr>
              <m:sty m:val="p"/>
            </m:rPr>
            <m:t>)</m:t>
          </m:r>
          <m:r>
            <m:rPr>
              <m:sty m:val="p"/>
            </m:rPr>
            <m:t>.</m:t>
          </m:r>
        </m:oMath>
      </m:oMathPara>
    </w:p>
    <w:p>
      <w:pPr>
        <w:pStyle w:val="FirstParagraph"/>
      </w:pPr>
      <w:r>
        <w:t xml:space="preserve">This prior is centered at zero because, before observing the data, positive and negative condition effects are both plausible. A standard deviation of 50 ms allows substantial differences between conditions while placing less prior mass on implausibly large effects.</w:t>
      </w:r>
    </w:p>
    <w:p>
      <w:pPr>
        <w:pStyle w:val="BodyText"/>
      </w:pPr>
      <w:r>
        <w:t xml:space="preserve">The</w:t>
      </w:r>
      <w:r>
        <w:t xml:space="preserve"> </w:t>
      </w:r>
      <w:r>
        <w:rPr>
          <w:rStyle w:val="VerbatimChar"/>
        </w:rPr>
        <w:t xml:space="preserve">beta</w:t>
      </w:r>
      <w:r>
        <w:t xml:space="preserve"> </w:t>
      </w:r>
      <w:r>
        <w:t xml:space="preserve">parameter is positive and uses a log link. Its intercept is therefore modeled on the log scale:</w:t>
      </w:r>
    </w:p>
    <w:p>
      <w:pPr>
        <w:pStyle w:val="BodyText"/>
      </w:pPr>
      <m:oMathPara>
        <m:oMathParaPr>
          <m:jc m:val="center"/>
        </m:oMathParaPr>
        <m:oMath>
          <m:r>
            <m:rPr>
              <m:sty m:val="p"/>
            </m:rPr>
            <m:t>log</m:t>
          </m:r>
          <m:r>
            <m:rPr>
              <m:sty m:val="p"/>
            </m:rPr>
            <m:t>(</m:t>
          </m:r>
          <m:sSub>
            <m:e>
              <m:r>
                <m:t>β</m:t>
              </m:r>
            </m:e>
            <m:sub>
              <m:r>
                <m:rPr>
                  <m:nor/>
                  <m:sty m:val="p"/>
                </m:rPr>
                <m:t>Clear</m:t>
              </m:r>
            </m:sub>
          </m:sSub>
          <m:r>
            <m:rPr>
              <m:sty m:val="p"/>
            </m:rPr>
            <m:t>)</m:t>
          </m:r>
          <m:r>
            <m:rPr>
              <m:sty m:val="p"/>
            </m:rPr>
            <m:t>∼</m:t>
          </m:r>
          <m:r>
            <m:rPr>
              <m:scr m:val="script"/>
              <m:sty m:val="p"/>
            </m:rPr>
            <m:t>N</m:t>
          </m:r>
          <m:d>
            <m:dPr>
              <m:begChr m:val="("/>
              <m:sepChr m:val=""/>
              <m:endChr m:val=")"/>
              <m:grow/>
            </m:dPr>
            <m:e>
              <m:r>
                <m:rPr>
                  <m:sty m:val="p"/>
                </m:rPr>
                <m:t>log</m:t>
              </m:r>
              <m:r>
                <m:rPr>
                  <m:sty m:val="p"/>
                </m:rPr>
                <m:t>(</m:t>
              </m:r>
              <m:r>
                <m:t>100</m:t>
              </m:r>
              <m:r>
                <m:rPr>
                  <m:sty m:val="p"/>
                </m:rPr>
                <m:t>)</m:t>
              </m:r>
              <m:r>
                <m:rPr>
                  <m:sty m:val="p"/>
                </m:rPr>
                <m:t>,</m:t>
              </m:r>
              <m:r>
                <m:t>0.5</m:t>
              </m:r>
            </m:e>
          </m:d>
          <m:r>
            <m:rPr>
              <m:sty m:val="p"/>
            </m:rPr>
            <m:t>.</m:t>
          </m:r>
        </m:oMath>
      </m:oMathPara>
    </w:p>
    <w:p>
      <w:pPr>
        <w:pStyle w:val="FirstParagraph"/>
      </w:pPr>
      <w:r>
        <w:t xml:space="preserve">The prior is centered at</w:t>
      </w:r>
      <w:r>
        <w:t xml:space="preserve"> </w:t>
      </w:r>
      <m:oMath>
        <m:r>
          <m:rPr>
            <m:sty m:val="p"/>
          </m:rPr>
          <m:t>log</m:t>
        </m:r>
        <m:r>
          <m:rPr>
            <m:sty m:val="p"/>
          </m:rPr>
          <m:t>(</m:t>
        </m:r>
        <m:r>
          <m:t>100</m:t>
        </m:r>
        <m:r>
          <m:rPr>
            <m:sty m:val="p"/>
          </m:rPr>
          <m:t>)</m:t>
        </m:r>
      </m:oMath>
      <w:r>
        <w:t xml:space="preserve"> </w:t>
      </w:r>
      <w:r>
        <w:t xml:space="preserve">because the simulated value of the exponential mean for the reference condition is 100 ms. After applying the inverse-link transformation, the prior is centered approximately around</w:t>
      </w:r>
    </w:p>
    <w:p>
      <w:pPr>
        <w:pStyle w:val="BodyText"/>
      </w:pPr>
      <m:oMathPara>
        <m:oMathParaPr>
          <m:jc m:val="center"/>
        </m:oMathParaPr>
        <m:oMath>
          <m:sSub>
            <m:e>
              <m:r>
                <m:t>β</m:t>
              </m:r>
            </m:e>
            <m:sub>
              <m:r>
                <m:rPr>
                  <m:nor/>
                  <m:sty m:val="p"/>
                </m:rPr>
                <m:t>Clear</m:t>
              </m:r>
            </m:sub>
          </m:sSub>
          <m:r>
            <m:rPr>
              <m:sty m:val="p"/>
            </m:rPr>
            <m:t>=</m:t>
          </m:r>
          <m:r>
            <m:t>100</m:t>
          </m:r>
          <m:r>
            <m:rPr>
              <m:nor/>
              <m:sty m:val="p"/>
            </m:rPr>
            <m:t> ms</m:t>
          </m:r>
          <m:r>
            <m:rPr>
              <m:sty m:val="p"/>
            </m:rPr>
            <m:t>.</m:t>
          </m:r>
        </m:oMath>
      </m:oMathPara>
    </w:p>
    <w:p>
      <w:pPr>
        <w:pStyle w:val="FirstParagraph"/>
      </w:pPr>
      <w:r>
        <w:t xml:space="preserve">The standard deviation of 0.5 is on the log scale. It therefore represents multiplicative rather than additive uncertainty.</w:t>
      </w:r>
    </w:p>
    <w:p>
      <w:pPr>
        <w:pStyle w:val="BodyText"/>
      </w:pPr>
      <w:r>
        <w:t xml:space="preserve">The prior on the effect of</w:t>
      </w:r>
      <w:r>
        <w:t xml:space="preserve"> </w:t>
      </w:r>
      <w:r>
        <w:rPr>
          <w:rStyle w:val="VerbatimChar"/>
        </w:rPr>
        <w:t xml:space="preserve">Blur</w:t>
      </w:r>
      <w:r>
        <w:t xml:space="preserve"> </w:t>
      </w:r>
      <w:r>
        <w:t xml:space="preserve">on</w:t>
      </w:r>
      <w:r>
        <w:t xml:space="preserve"> </w:t>
      </w:r>
      <w:r>
        <w:rPr>
          <w:rStyle w:val="VerbatimChar"/>
        </w:rPr>
        <w:t xml:space="preserve">beta</w:t>
      </w:r>
      <w:r>
        <w:t xml:space="preserve"> </w:t>
      </w:r>
      <w:r>
        <w:t xml:space="preserve">is</w:t>
      </w:r>
    </w:p>
    <w:p>
      <w:pPr>
        <w:pStyle w:val="BodyText"/>
      </w:pPr>
      <m:oMathPara>
        <m:oMathParaPr>
          <m:jc m:val="center"/>
        </m:oMathParaPr>
        <m:oMath>
          <m:sSub>
            <m:e>
              <m:r>
                <m:t>b</m:t>
              </m:r>
            </m:e>
            <m:sub>
              <m:r>
                <m:t>β</m:t>
              </m:r>
              <m:r>
                <m:rPr>
                  <m:sty m:val="p"/>
                </m:rPr>
                <m:t>,</m:t>
              </m:r>
              <m:r>
                <m:rPr>
                  <m:nor/>
                  <m:sty m:val="p"/>
                </m:rPr>
                <m:t>Blur</m:t>
              </m:r>
            </m:sub>
          </m:sSub>
          <m:r>
            <m:rPr>
              <m:sty m:val="p"/>
            </m:rPr>
            <m:t>∼</m:t>
          </m:r>
          <m:r>
            <m:rPr>
              <m:scr m:val="script"/>
              <m:sty m:val="p"/>
            </m:rPr>
            <m:t>N</m:t>
          </m:r>
          <m:r>
            <m:rPr>
              <m:sty m:val="p"/>
            </m:rPr>
            <m:t>(</m:t>
          </m:r>
          <m:r>
            <m:t>0</m:t>
          </m:r>
          <m:r>
            <m:rPr>
              <m:sty m:val="p"/>
            </m:rPr>
            <m:t>,</m:t>
          </m:r>
          <m:r>
            <m:t>0.5</m:t>
          </m:r>
          <m:r>
            <m:rPr>
              <m:sty m:val="p"/>
            </m:rPr>
            <m:t>)</m:t>
          </m:r>
          <m:r>
            <m:rPr>
              <m:sty m:val="p"/>
            </m:rPr>
            <m:t>.</m:t>
          </m:r>
        </m:oMath>
      </m:oMathPara>
    </w:p>
    <w:p>
      <w:pPr>
        <w:pStyle w:val="FirstParagraph"/>
      </w:pPr>
      <w:r>
        <w:t xml:space="preserve">Because this coefficient is also on the log scale, a value of zero represents no difference between conditions:</w:t>
      </w:r>
    </w:p>
    <w:p>
      <w:pPr>
        <w:pStyle w:val="BodyText"/>
      </w:pPr>
      <m:oMathPara>
        <m:oMathParaPr>
          <m:jc m:val="center"/>
        </m:oMathParaPr>
        <m:oMath>
          <m:r>
            <m:rPr>
              <m:sty m:val="p"/>
            </m:rPr>
            <m:t>exp</m:t>
          </m:r>
          <m:r>
            <m:rPr>
              <m:sty m:val="p"/>
            </m:rPr>
            <m:t>(</m:t>
          </m:r>
          <m:r>
            <m:t>0</m:t>
          </m:r>
          <m:r>
            <m:rPr>
              <m:sty m:val="p"/>
            </m:rPr>
            <m:t>)</m:t>
          </m:r>
          <m:r>
            <m:rPr>
              <m:sty m:val="p"/>
            </m:rPr>
            <m:t>=</m:t>
          </m:r>
          <m:r>
            <m:t>1</m:t>
          </m:r>
          <m:r>
            <m:rPr>
              <m:sty m:val="p"/>
            </m:rPr>
            <m:t>.</m:t>
          </m:r>
        </m:oMath>
      </m:oMathPara>
    </w:p>
    <w:p>
      <w:pPr>
        <w:pStyle w:val="FirstParagraph"/>
      </w:pPr>
      <w:r>
        <w:t xml:space="preserve">The simulated change from 100 ms to 50 ms corresponds to the log ratio</w:t>
      </w:r>
    </w:p>
    <w:p>
      <w:pPr>
        <w:pStyle w:val="BodyText"/>
      </w:pPr>
      <m:oMathPara>
        <m:oMathParaPr>
          <m:jc m:val="center"/>
        </m:oMathParaPr>
        <m:oMath>
          <m:r>
            <m:rPr>
              <m:sty m:val="p"/>
            </m:rPr>
            <m:t>log</m:t>
          </m:r>
          <m:d>
            <m:dPr>
              <m:begChr m:val="("/>
              <m:sepChr m:val=""/>
              <m:endChr m:val=")"/>
              <m:grow/>
            </m:dPr>
            <m:e>
              <m:f>
                <m:fPr>
                  <m:type m:val="bar"/>
                </m:fPr>
                <m:num>
                  <m:r>
                    <m:t>50</m:t>
                  </m:r>
                </m:num>
                <m:den>
                  <m:r>
                    <m:t>100</m:t>
                  </m:r>
                </m:den>
              </m:f>
            </m:e>
          </m:d>
          <m:r>
            <m:rPr>
              <m:sty m:val="p"/>
            </m:rPr>
            <m:t>=</m:t>
          </m:r>
          <m:r>
            <m:rPr>
              <m:sty m:val="p"/>
            </m:rPr>
            <m:t>log</m:t>
          </m:r>
          <m:r>
            <m:rPr>
              <m:sty m:val="p"/>
            </m:rPr>
            <m:t>(</m:t>
          </m:r>
          <m:r>
            <m:t>0.5</m:t>
          </m:r>
          <m:r>
            <m:rPr>
              <m:sty m:val="p"/>
            </m:rPr>
            <m:t>)</m:t>
          </m:r>
          <m:r>
            <m:rPr>
              <m:sty m:val="p"/>
            </m:rPr>
            <m:t>≈</m:t>
          </m:r>
          <m:r>
            <m:rPr>
              <m:sty m:val="p"/>
            </m:rPr>
            <m:t>−</m:t>
          </m:r>
          <m:r>
            <m:t>0.693</m:t>
          </m:r>
          <m:r>
            <m:rPr>
              <m:sty m:val="p"/>
            </m:rPr>
            <m:t>.</m:t>
          </m:r>
        </m:oMath>
      </m:oMathPara>
    </w:p>
    <w:p>
      <w:pPr>
        <w:pStyle w:val="FirstParagraph"/>
      </w:pPr>
      <w:r>
        <w:t xml:space="preserve">The prior</w:t>
      </w:r>
      <w:r>
        <w:t xml:space="preserve"> </w:t>
      </w:r>
      <m:oMath>
        <m:r>
          <m:rPr>
            <m:scr m:val="script"/>
            <m:sty m:val="p"/>
          </m:rPr>
          <m:t>N</m:t>
        </m:r>
        <m:r>
          <m:rPr>
            <m:sty m:val="p"/>
          </m:rPr>
          <m:t>(</m:t>
        </m:r>
        <m:r>
          <m:t>0</m:t>
        </m:r>
        <m:r>
          <m:rPr>
            <m:sty m:val="p"/>
          </m:rPr>
          <m:t>,</m:t>
        </m:r>
        <m:r>
          <m:t>0.5</m:t>
        </m:r>
        <m:r>
          <m:rPr>
            <m:sty m:val="p"/>
          </m:rPr>
          <m:t>)</m:t>
        </m:r>
      </m:oMath>
      <w:r>
        <w:t xml:space="preserve"> </w:t>
      </w:r>
      <w:r>
        <w:t xml:space="preserve">places reasonable prior mass near this value while still favoring smaller differences.</w:t>
      </w:r>
    </w:p>
    <w:p>
      <w:pPr>
        <w:pStyle w:val="BodyText"/>
      </w:pPr>
      <w:r>
        <w:t xml:space="preserve">The model can then be fit as follows:</w:t>
      </w:r>
    </w:p>
    <w:p>
      <w:pPr>
        <w:pStyle w:val="SourceCode"/>
      </w:pPr>
      <w:r>
        <w:rPr>
          <w:rStyle w:val="NormalTok"/>
        </w:rPr>
        <w:t xml:space="preserve">fit_brms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FunctionTok"/>
        </w:rPr>
        <w:t xml:space="preserve">bf</w:t>
      </w:r>
      <w:r>
        <w:rPr>
          <w:rStyle w:val="NormalTok"/>
        </w:rPr>
        <w:t xml:space="preserve">(</w:t>
      </w:r>
      <w:r>
        <w:br/>
      </w:r>
      <w:r>
        <w:rPr>
          <w:rStyle w:val="NormalTok"/>
        </w:rPr>
        <w:t xml:space="preserve">    rt </w:t>
      </w:r>
      <w:r>
        <w:rPr>
          <w:rStyle w:val="SpecialCharTok"/>
        </w:rPr>
        <w:t xml:space="preserve">~</w:t>
      </w:r>
      <w:r>
        <w:rPr>
          <w:rStyle w:val="NormalTok"/>
        </w:rPr>
        <w:t xml:space="preserve"> Blur,      </w:t>
      </w:r>
      <w:r>
        <w:rPr>
          <w:rStyle w:val="CommentTok"/>
        </w:rPr>
        <w:t xml:space="preserve"># mu submodel: here mu is E(RT), not the Gaussian location</w:t>
      </w:r>
      <w:r>
        <w:br/>
      </w:r>
      <w:r>
        <w:rPr>
          <w:rStyle w:val="NormalTok"/>
        </w:rPr>
        <w:t xml:space="preserve">    sigma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constant Gaussian SD</w:t>
      </w:r>
      <w:r>
        <w:br/>
      </w:r>
      <w:r>
        <w:rPr>
          <w:rStyle w:val="NormalTok"/>
        </w:rPr>
        <w:t xml:space="preserve">    beta </w:t>
      </w:r>
      <w:r>
        <w:rPr>
          <w:rStyle w:val="SpecialCharTok"/>
        </w:rPr>
        <w:t xml:space="preserve">~</w:t>
      </w:r>
      <w:r>
        <w:rPr>
          <w:rStyle w:val="NormalTok"/>
        </w:rPr>
        <w:t xml:space="preserve"> Blur     </w:t>
      </w:r>
      <w:r>
        <w:rPr>
          <w:rStyle w:val="CommentTok"/>
        </w:rPr>
        <w:t xml:space="preserve"># exponential mean (the classical tau), allowed to vary</w:t>
      </w:r>
      <w:r>
        <w:br/>
      </w:r>
      <w:r>
        <w:rPr>
          <w:rStyle w:val="NormalTok"/>
        </w:rPr>
        <w:t xml:space="preserve">  ),</w:t>
      </w:r>
      <w:r>
        <w:br/>
      </w:r>
      <w:r>
        <w:rPr>
          <w:rStyle w:val="NormalTok"/>
        </w:rPr>
        <w:t xml:space="preserve">  </w:t>
      </w:r>
      <w:r>
        <w:rPr>
          <w:rStyle w:val="AttributeTok"/>
        </w:rPr>
        <w:t xml:space="preserve">data =</w:t>
      </w:r>
      <w:r>
        <w:rPr>
          <w:rStyle w:val="NormalTok"/>
        </w:rPr>
        <w:t xml:space="preserve"> d,</w:t>
      </w:r>
      <w:r>
        <w:br/>
      </w:r>
      <w:r>
        <w:rPr>
          <w:rStyle w:val="NormalTok"/>
        </w:rPr>
        <w:t xml:space="preserve">  </w:t>
      </w:r>
      <w:r>
        <w:rPr>
          <w:rStyle w:val="AttributeTok"/>
        </w:rPr>
        <w:t xml:space="preserve">prior =</w:t>
      </w:r>
      <w:r>
        <w:rPr>
          <w:rStyle w:val="NormalTok"/>
        </w:rPr>
        <w:t xml:space="preserve"> priors_default,</w:t>
      </w:r>
      <w:r>
        <w:br/>
      </w:r>
      <w:r>
        <w:rPr>
          <w:rStyle w:val="NormalTok"/>
        </w:rPr>
        <w:t xml:space="preserve">  </w:t>
      </w:r>
      <w:r>
        <w:rPr>
          <w:rStyle w:val="AttributeTok"/>
        </w:rPr>
        <w:t xml:space="preserve">family =</w:t>
      </w:r>
      <w:r>
        <w:rPr>
          <w:rStyle w:val="NormalTok"/>
        </w:rPr>
        <w:t xml:space="preserve"> </w:t>
      </w:r>
      <w:r>
        <w:rPr>
          <w:rStyle w:val="FunctionTok"/>
        </w:rPr>
        <w:t xml:space="preserve">exgaussian</w:t>
      </w:r>
      <w:r>
        <w:rPr>
          <w:rStyle w:val="NormalTok"/>
        </w:rPr>
        <w:t xml:space="preserve">(),   </w:t>
      </w:r>
      <w:r>
        <w:rPr>
          <w:rStyle w:val="CommentTok"/>
        </w:rPr>
        <w:t xml:space="preserve"># brms's built-in ex-Gaussian family</w:t>
      </w:r>
      <w:r>
        <w:br/>
      </w:r>
      <w:r>
        <w:rPr>
          <w:rStyle w:val="NormalTok"/>
        </w:rPr>
        <w:t xml:space="preserve">  </w:t>
      </w:r>
      <w:r>
        <w:rPr>
          <w:rStyle w:val="AttributeTok"/>
        </w:rPr>
        <w:t xml:space="preserve">chains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warmup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backend =</w:t>
      </w:r>
      <w:r>
        <w:rPr>
          <w:rStyle w:val="NormalTok"/>
        </w:rPr>
        <w:t xml:space="preserve"> </w:t>
      </w:r>
      <w:r>
        <w:rPr>
          <w:rStyle w:val="StringTok"/>
        </w:rPr>
        <w:t xml:space="preserve">"cmdstanr"</w:t>
      </w:r>
      <w:r>
        <w:rPr>
          <w:rStyle w:val="NormalTok"/>
        </w:rPr>
        <w:t xml:space="preserve">,</w:t>
      </w:r>
      <w:r>
        <w:br/>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1234</w:t>
      </w:r>
      <w:r>
        <w:rPr>
          <w:rStyle w:val="NormalTok"/>
        </w:rPr>
        <w:t xml:space="preserve">              </w:t>
      </w:r>
      <w:r>
        <w:rPr>
          <w:rStyle w:val="CommentTok"/>
        </w:rPr>
        <w:t xml:space="preserve"># reproducible draws</w:t>
      </w:r>
      <w:r>
        <w:br/>
      </w:r>
      <w:r>
        <w:rPr>
          <w:rStyle w:val="NormalTok"/>
        </w:rPr>
        <w:t xml:space="preserve">)</w:t>
      </w:r>
    </w:p>
    <w:bookmarkEnd w:id="33"/>
    <w:bookmarkStart w:id="34" w:name="estimating-the-expected-response"/>
    <w:p>
      <w:pPr>
        <w:pStyle w:val="Heading3"/>
      </w:pPr>
      <w:r>
        <w:t xml:space="preserve">Estimating the Expected Response</w:t>
      </w:r>
    </w:p>
    <w:p>
      <w:pPr>
        <w:pStyle w:val="FirstParagraph"/>
      </w:pPr>
      <w:r>
        <w:t xml:space="preserve">Condition-specific estimates of the expected response can be obtained with</w:t>
      </w:r>
      <w:r>
        <w:t xml:space="preserve"> </w:t>
      </w:r>
      <w:r>
        <w:rPr>
          <w:rStyle w:val="VerbatimChar"/>
        </w:rPr>
        <w:t xml:space="preserve">estimate_means()</w:t>
      </w:r>
      <w:r>
        <w:t xml:space="preserve"> </w:t>
      </w:r>
      <w:r>
        <w:t xml:space="preserve">and setting</w:t>
      </w:r>
      <w:r>
        <w:t xml:space="preserve"> </w:t>
      </w:r>
      <w:r>
        <w:rPr>
          <w:rStyle w:val="VerbatimChar"/>
        </w:rPr>
        <w:t xml:space="preserve">predict</w:t>
      </w:r>
      <w:r>
        <w:t xml:space="preserve"> </w:t>
      </w:r>
      <w:r>
        <w:t xml:space="preserve">argument to</w:t>
      </w:r>
      <w:r>
        <w:t xml:space="preserve"> </w:t>
      </w:r>
      <w:r>
        <w:t xml:space="preserve">“mu”</w:t>
      </w:r>
      <w:r>
        <w:t xml:space="preserve">:</w:t>
      </w:r>
    </w:p>
    <w:p>
      <w:pPr>
        <w:pStyle w:val="SourceCode"/>
      </w:pPr>
      <w:r>
        <w:rPr>
          <w:rStyle w:val="CommentTok"/>
        </w:rPr>
        <w:t xml:space="preserve"># Default model: per-condition mu, which equals E(RT) in this parameterization.</w:t>
      </w:r>
      <w:r>
        <w:br/>
      </w:r>
      <w:r>
        <w:rPr>
          <w:rStyle w:val="NormalTok"/>
        </w:rPr>
        <w:t xml:space="preserve">overall_means </w:t>
      </w:r>
      <w:r>
        <w:rPr>
          <w:rStyle w:val="OtherTok"/>
        </w:rPr>
        <w:t xml:space="preserve">&lt;-</w:t>
      </w:r>
      <w:r>
        <w:rPr>
          <w:rStyle w:val="NormalTok"/>
        </w:rPr>
        <w:t xml:space="preserve"> </w:t>
      </w:r>
      <w:r>
        <w:rPr>
          <w:rStyle w:val="FunctionTok"/>
        </w:rPr>
        <w:t xml:space="preserve">estimate_means</w:t>
      </w:r>
      <w:r>
        <w:rPr>
          <w:rStyle w:val="NormalTok"/>
        </w:rPr>
        <w:t xml:space="preserve">(</w:t>
      </w:r>
      <w:r>
        <w:br/>
      </w:r>
      <w:r>
        <w:rPr>
          <w:rStyle w:val="NormalTok"/>
        </w:rPr>
        <w:t xml:space="preserve">  fit_brms,</w:t>
      </w:r>
      <w:r>
        <w:br/>
      </w:r>
      <w:r>
        <w:rPr>
          <w:rStyle w:val="NormalTok"/>
        </w:rPr>
        <w:t xml:space="preserve">  </w:t>
      </w:r>
      <w:r>
        <w:rPr>
          <w:rStyle w:val="AttributeTok"/>
        </w:rPr>
        <w:t xml:space="preserve">by =</w:t>
      </w:r>
      <w:r>
        <w:rPr>
          <w:rStyle w:val="NormalTok"/>
        </w:rPr>
        <w:t xml:space="preserve"> </w:t>
      </w:r>
      <w:r>
        <w:rPr>
          <w:rStyle w:val="StringTok"/>
        </w:rPr>
        <w:t xml:space="preserve">"Blur"</w:t>
      </w:r>
      <w:r>
        <w:rPr>
          <w:rStyle w:val="NormalTok"/>
        </w:rPr>
        <w:t xml:space="preserve">,</w:t>
      </w:r>
      <w:r>
        <w:br/>
      </w:r>
      <w:r>
        <w:rPr>
          <w:rStyle w:val="NormalTok"/>
        </w:rPr>
        <w:t xml:space="preserve">  </w:t>
      </w:r>
      <w:r>
        <w:rPr>
          <w:rStyle w:val="AttributeTok"/>
        </w:rPr>
        <w:t xml:space="preserve">predict =</w:t>
      </w:r>
      <w:r>
        <w:rPr>
          <w:rStyle w:val="NormalTok"/>
        </w:rPr>
        <w:t xml:space="preserve"> </w:t>
      </w:r>
      <w:r>
        <w:rPr>
          <w:rStyle w:val="StringTok"/>
        </w:rPr>
        <w:t xml:space="preserve">"mu"</w:t>
      </w:r>
      <w:r>
        <w:rPr>
          <w:rStyle w:val="NormalTok"/>
        </w:rPr>
        <w:t xml:space="preserve">,</w:t>
      </w:r>
      <w:r>
        <w:br/>
      </w:r>
      <w:r>
        <w:rPr>
          <w:rStyle w:val="NormalTok"/>
        </w:rPr>
        <w:t xml:space="preserve">  </w:t>
      </w:r>
      <w:r>
        <w:rPr>
          <w:rStyle w:val="AttributeTok"/>
        </w:rPr>
        <w:t xml:space="preserve">centrality =</w:t>
      </w:r>
      <w:r>
        <w:rPr>
          <w:rStyle w:val="NormalTok"/>
        </w:rPr>
        <w:t xml:space="preserve"> </w:t>
      </w:r>
      <w:r>
        <w:rPr>
          <w:rStyle w:val="StringTok"/>
        </w:rPr>
        <w:t xml:space="preserve">"mean"</w:t>
      </w:r>
      <w:r>
        <w:br/>
      </w:r>
      <w:r>
        <w:rPr>
          <w:rStyle w:val="NormalTok"/>
        </w:rPr>
        <w:t xml:space="preserve">)</w:t>
      </w:r>
    </w:p>
    <w:p>
      <w:pPr>
        <w:pStyle w:val="FirstParagraph"/>
      </w:pPr>
      <w:r>
        <w:t xml:space="preserve">Because the primary</w:t>
      </w:r>
      <w:r>
        <w:t xml:space="preserve"> </w:t>
      </w:r>
      <w:r>
        <w:rPr>
          <w:rStyle w:val="VerbatimChar"/>
        </w:rPr>
        <w:t xml:space="preserve">mu</w:t>
      </w:r>
      <w:r>
        <w:t xml:space="preserve"> </w:t>
      </w:r>
      <w:r>
        <w:t xml:space="preserve">parameter in the default</w:t>
      </w:r>
      <w:r>
        <w:t xml:space="preserve"> </w:t>
      </w:r>
      <w:r>
        <w:rPr>
          <w:rStyle w:val="VerbatimChar"/>
        </w:rPr>
        <w:t xml:space="preserve">brms</w:t>
      </w:r>
      <w:r>
        <w:t xml:space="preserve"> </w:t>
      </w:r>
      <w:r>
        <w:t xml:space="preserve">ex-Gaussian model represents</w:t>
      </w:r>
      <w:r>
        <w:t xml:space="preserve"> </w:t>
      </w:r>
      <m:oMath>
        <m:r>
          <m:t>E</m:t>
        </m:r>
        <m:r>
          <m:rPr>
            <m:sty m:val="p"/>
          </m:rPr>
          <m:t>(</m:t>
        </m:r>
        <m:r>
          <m:t>R</m:t>
        </m:r>
        <m:r>
          <m:t>T</m:t>
        </m:r>
        <m:r>
          <m:rPr>
            <m:sty m:val="p"/>
          </m:rPr>
          <m:t>)</m:t>
        </m:r>
      </m:oMath>
      <w:r>
        <w:t xml:space="preserve">, these estimates should be close to 600 ms in both conditions.</w:t>
      </w:r>
    </w:p>
    <w:p>
      <w:pPr>
        <w:pStyle w:val="BodyText"/>
      </w:pPr>
      <w:r>
        <w:t xml:space="preserve">The corresponding contrast can be obtained using</w:t>
      </w:r>
      <w:r>
        <w:t xml:space="preserve"> </w:t>
      </w:r>
      <w:r>
        <w:rPr>
          <w:rStyle w:val="VerbatimChar"/>
        </w:rPr>
        <w:t xml:space="preserve">estimate_contrasts()</w:t>
      </w:r>
      <w:r>
        <w:t xml:space="preserve">:</w:t>
      </w:r>
    </w:p>
    <w:p>
      <w:pPr>
        <w:pStyle w:val="SourceCode"/>
      </w:pPr>
      <w:r>
        <w:rPr>
          <w:rStyle w:val="CommentTok"/>
        </w:rPr>
        <w:t xml:space="preserve"># Default model: Blur contrast in E(RT) (≈ 0 by design).</w:t>
      </w:r>
      <w:r>
        <w:br/>
      </w:r>
      <w:r>
        <w:rPr>
          <w:rStyle w:val="NormalTok"/>
        </w:rPr>
        <w:t xml:space="preserve">overall_difference </w:t>
      </w:r>
      <w:r>
        <w:rPr>
          <w:rStyle w:val="OtherTok"/>
        </w:rPr>
        <w:t xml:space="preserve">&lt;-</w:t>
      </w:r>
      <w:r>
        <w:rPr>
          <w:rStyle w:val="NormalTok"/>
        </w:rPr>
        <w:t xml:space="preserve"> </w:t>
      </w:r>
      <w:r>
        <w:rPr>
          <w:rStyle w:val="FunctionTok"/>
        </w:rPr>
        <w:t xml:space="preserve">estimate_contrasts</w:t>
      </w:r>
      <w:r>
        <w:rPr>
          <w:rStyle w:val="NormalTok"/>
        </w:rPr>
        <w:t xml:space="preserve">(</w:t>
      </w:r>
      <w:r>
        <w:br/>
      </w:r>
      <w:r>
        <w:rPr>
          <w:rStyle w:val="NormalTok"/>
        </w:rPr>
        <w:t xml:space="preserve">  fit_brms,</w:t>
      </w:r>
      <w:r>
        <w:br/>
      </w:r>
      <w:r>
        <w:rPr>
          <w:rStyle w:val="NormalTok"/>
        </w:rPr>
        <w:t xml:space="preserve">  </w:t>
      </w:r>
      <w:r>
        <w:rPr>
          <w:rStyle w:val="AttributeTok"/>
        </w:rPr>
        <w:t xml:space="preserve">contrast =</w:t>
      </w:r>
      <w:r>
        <w:rPr>
          <w:rStyle w:val="NormalTok"/>
        </w:rPr>
        <w:t xml:space="preserve"> </w:t>
      </w:r>
      <w:r>
        <w:rPr>
          <w:rStyle w:val="StringTok"/>
        </w:rPr>
        <w:t xml:space="preserve">"Blur"</w:t>
      </w:r>
      <w:r>
        <w:rPr>
          <w:rStyle w:val="NormalTok"/>
        </w:rPr>
        <w:t xml:space="preserve">,</w:t>
      </w:r>
      <w:r>
        <w:br/>
      </w:r>
      <w:r>
        <w:rPr>
          <w:rStyle w:val="NormalTok"/>
        </w:rPr>
        <w:t xml:space="preserve">  </w:t>
      </w:r>
      <w:r>
        <w:rPr>
          <w:rStyle w:val="AttributeTok"/>
        </w:rPr>
        <w:t xml:space="preserve">centrality =</w:t>
      </w:r>
      <w:r>
        <w:rPr>
          <w:rStyle w:val="NormalTok"/>
        </w:rPr>
        <w:t xml:space="preserve"> </w:t>
      </w:r>
      <w:r>
        <w:rPr>
          <w:rStyle w:val="StringTok"/>
        </w:rPr>
        <w:t xml:space="preserve">"mean"</w:t>
      </w:r>
      <w:r>
        <w:br/>
      </w:r>
      <w:r>
        <w:rPr>
          <w:rStyle w:val="NormalTok"/>
        </w:rPr>
        <w:t xml:space="preserve">)</w:t>
      </w:r>
    </w:p>
    <w:p>
      <w:pPr>
        <w:pStyle w:val="FirstParagraph"/>
      </w:pPr>
      <w:r>
        <w:t xml:space="preserve">The posterior estimate of this contrast should be close to zero because the two conditions were generated with the same expected RT:</w:t>
      </w:r>
    </w:p>
    <w:p>
      <w:pPr>
        <w:pStyle w:val="BodyText"/>
      </w:pPr>
      <m:oMathPara>
        <m:oMathParaPr>
          <m:jc m:val="center"/>
        </m:oMathParaPr>
        <m:oMath>
          <m:r>
            <m:rPr>
              <m:sty m:val="p"/>
            </m:rPr>
            <m:t>(</m:t>
          </m:r>
          <m:r>
            <m:t>550</m:t>
          </m:r>
          <m:r>
            <m:rPr>
              <m:sty m:val="p"/>
            </m:rPr>
            <m:t>+</m:t>
          </m:r>
          <m:r>
            <m:t>50</m:t>
          </m:r>
          <m:r>
            <m:rPr>
              <m:sty m:val="p"/>
            </m:rPr>
            <m:t>)</m:t>
          </m:r>
          <m:r>
            <m:rPr>
              <m:sty m:val="p"/>
            </m:rPr>
            <m:t>−</m:t>
          </m:r>
          <m:r>
            <m:rPr>
              <m:sty m:val="p"/>
            </m:rPr>
            <m:t>(</m:t>
          </m:r>
          <m:r>
            <m:t>500</m:t>
          </m:r>
          <m:r>
            <m:rPr>
              <m:sty m:val="p"/>
            </m:rPr>
            <m:t>+</m:t>
          </m:r>
          <m:r>
            <m:t>100</m:t>
          </m:r>
          <m:r>
            <m:rPr>
              <m:sty m:val="p"/>
            </m:rPr>
            <m:t>)</m:t>
          </m:r>
          <m:r>
            <m:rPr>
              <m:sty m:val="p"/>
            </m:rPr>
            <m:t>=</m:t>
          </m:r>
          <m:r>
            <m:t>600</m:t>
          </m:r>
          <m:r>
            <m:rPr>
              <m:sty m:val="p"/>
            </m:rPr>
            <m:t>−</m:t>
          </m:r>
          <m:r>
            <m:t>600</m:t>
          </m:r>
          <m:r>
            <m:rPr>
              <m:sty m:val="p"/>
            </m:rPr>
            <m:t>=</m:t>
          </m:r>
          <m:r>
            <m:t>0</m:t>
          </m:r>
          <m:r>
            <m:rPr>
              <m:sty m:val="p"/>
            </m:rPr>
            <m:t>.</m:t>
          </m:r>
        </m:oMath>
      </m:oMathPara>
    </w:p>
    <w:p>
      <w:pPr>
        <w:pStyle w:val="FirstParagraph"/>
      </w:pPr>
      <w:r>
        <w:t xml:space="preserve">Thus, the default model correctly recovers the absence of a difference in the full distributional mean. However, its primary</w:t>
      </w:r>
      <w:r>
        <w:t xml:space="preserve"> </w:t>
      </w:r>
      <w:r>
        <w:rPr>
          <w:rStyle w:val="VerbatimChar"/>
        </w:rPr>
        <w:t xml:space="preserve">mu</w:t>
      </w:r>
      <w:r>
        <w:t xml:space="preserve"> </w:t>
      </w:r>
      <w:r>
        <w:t xml:space="preserve">coefficient does not directly reveal the 50-ms difference in the Gaussian-location parameter.</w:t>
      </w:r>
    </w:p>
    <w:bookmarkEnd w:id="34"/>
    <w:bookmarkStart w:id="35" w:name="estimating-the-exponential-component"/>
    <w:p>
      <w:pPr>
        <w:pStyle w:val="Heading3"/>
      </w:pPr>
      <w:r>
        <w:t xml:space="preserve">Estimating the Exponential Component</w:t>
      </w:r>
    </w:p>
    <w:p>
      <w:pPr>
        <w:pStyle w:val="FirstParagraph"/>
      </w:pPr>
      <w:r>
        <w:t xml:space="preserve">In the default</w:t>
      </w:r>
      <w:r>
        <w:t xml:space="preserve"> </w:t>
      </w:r>
      <w:r>
        <w:rPr>
          <w:rStyle w:val="VerbatimChar"/>
        </w:rPr>
        <w:t xml:space="preserve">brms</w:t>
      </w:r>
      <w:r>
        <w:t xml:space="preserve"> </w:t>
      </w:r>
      <w:r>
        <w:t xml:space="preserve">parameterization,</w:t>
      </w:r>
      <w:r>
        <w:t xml:space="preserve"> </w:t>
      </w:r>
      <w:r>
        <w:rPr>
          <w:rStyle w:val="VerbatimChar"/>
        </w:rPr>
        <w:t xml:space="preserve">beta</w:t>
      </w:r>
      <w:r>
        <w:t xml:space="preserve"> </w:t>
      </w:r>
      <w:r>
        <w:t xml:space="preserve">represents the mean of the exponential component. It therefore corresponds directly to</w:t>
      </w:r>
      <w:r>
        <w:t xml:space="preserve"> </w:t>
      </w:r>
      <m:oMath>
        <m:r>
          <m:t>τ</m:t>
        </m:r>
      </m:oMath>
      <w:r>
        <w:t xml:space="preserve"> </w:t>
      </w:r>
      <w:r>
        <w:t xml:space="preserve">in the classical parameterization:</w:t>
      </w:r>
    </w:p>
    <w:p>
      <w:pPr>
        <w:pStyle w:val="BodyText"/>
      </w:pPr>
      <m:oMathPara>
        <m:oMathParaPr>
          <m:jc m:val="center"/>
        </m:oMathParaPr>
        <m:oMath>
          <m:r>
            <m:t>β</m:t>
          </m:r>
          <m:r>
            <m:rPr>
              <m:sty m:val="p"/>
            </m:rPr>
            <m:t>=</m:t>
          </m:r>
          <m:r>
            <m:t>τ</m:t>
          </m:r>
          <m:r>
            <m:rPr>
              <m:sty m:val="p"/>
            </m:rPr>
            <m:t>.</m:t>
          </m:r>
        </m:oMath>
      </m:oMathPara>
    </w:p>
    <w:p>
      <w:pPr>
        <w:pStyle w:val="FirstParagraph"/>
      </w:pPr>
      <w:r>
        <w:t xml:space="preserve">Condition-specific estimates can be obtained by requesting predictions for</w:t>
      </w:r>
      <w:r>
        <w:t xml:space="preserve"> </w:t>
      </w:r>
      <w:r>
        <w:rPr>
          <w:rStyle w:val="VerbatimChar"/>
        </w:rPr>
        <w:t xml:space="preserve">beta</w:t>
      </w:r>
      <w:r>
        <w:t xml:space="preserve">:</w:t>
      </w:r>
    </w:p>
    <w:p>
      <w:pPr>
        <w:pStyle w:val="SourceCode"/>
      </w:pPr>
      <w:r>
        <w:rPr>
          <w:rStyle w:val="CommentTok"/>
        </w:rPr>
        <w:t xml:space="preserve"># Default model: per-condition beta (the exponential mean = classical tau).</w:t>
      </w:r>
      <w:r>
        <w:br/>
      </w:r>
      <w:r>
        <w:rPr>
          <w:rStyle w:val="NormalTok"/>
        </w:rPr>
        <w:t xml:space="preserve">tau_estimates_default </w:t>
      </w:r>
      <w:r>
        <w:rPr>
          <w:rStyle w:val="OtherTok"/>
        </w:rPr>
        <w:t xml:space="preserve">&lt;-</w:t>
      </w:r>
      <w:r>
        <w:rPr>
          <w:rStyle w:val="NormalTok"/>
        </w:rPr>
        <w:t xml:space="preserve"> </w:t>
      </w:r>
      <w:r>
        <w:rPr>
          <w:rStyle w:val="FunctionTok"/>
        </w:rPr>
        <w:t xml:space="preserve">estimate_means</w:t>
      </w:r>
      <w:r>
        <w:rPr>
          <w:rStyle w:val="NormalTok"/>
        </w:rPr>
        <w:t xml:space="preserve">(</w:t>
      </w:r>
      <w:r>
        <w:br/>
      </w:r>
      <w:r>
        <w:rPr>
          <w:rStyle w:val="NormalTok"/>
        </w:rPr>
        <w:t xml:space="preserve">  fit_brms,</w:t>
      </w:r>
      <w:r>
        <w:br/>
      </w:r>
      <w:r>
        <w:rPr>
          <w:rStyle w:val="NormalTok"/>
        </w:rPr>
        <w:t xml:space="preserve">  </w:t>
      </w:r>
      <w:r>
        <w:rPr>
          <w:rStyle w:val="AttributeTok"/>
        </w:rPr>
        <w:t xml:space="preserve">by =</w:t>
      </w:r>
      <w:r>
        <w:rPr>
          <w:rStyle w:val="NormalTok"/>
        </w:rPr>
        <w:t xml:space="preserve"> </w:t>
      </w:r>
      <w:r>
        <w:rPr>
          <w:rStyle w:val="StringTok"/>
        </w:rPr>
        <w:t xml:space="preserve">"Blur"</w:t>
      </w:r>
      <w:r>
        <w:rPr>
          <w:rStyle w:val="NormalTok"/>
        </w:rPr>
        <w:t xml:space="preserve">,</w:t>
      </w:r>
      <w:r>
        <w:br/>
      </w:r>
      <w:r>
        <w:rPr>
          <w:rStyle w:val="NormalTok"/>
        </w:rPr>
        <w:t xml:space="preserve">  </w:t>
      </w:r>
      <w:r>
        <w:rPr>
          <w:rStyle w:val="AttributeTok"/>
        </w:rPr>
        <w:t xml:space="preserve">predict =</w:t>
      </w:r>
      <w:r>
        <w:rPr>
          <w:rStyle w:val="NormalTok"/>
        </w:rPr>
        <w:t xml:space="preserve"> </w:t>
      </w:r>
      <w:r>
        <w:rPr>
          <w:rStyle w:val="StringTok"/>
        </w:rPr>
        <w:t xml:space="preserve">"beta"</w:t>
      </w:r>
      <w:r>
        <w:rPr>
          <w:rStyle w:val="NormalTok"/>
        </w:rPr>
        <w:t xml:space="preserve">,</w:t>
      </w:r>
      <w:r>
        <w:br/>
      </w:r>
      <w:r>
        <w:rPr>
          <w:rStyle w:val="NormalTok"/>
        </w:rPr>
        <w:t xml:space="preserve">  </w:t>
      </w:r>
      <w:r>
        <w:rPr>
          <w:rStyle w:val="AttributeTok"/>
        </w:rPr>
        <w:t xml:space="preserve">centrality =</w:t>
      </w:r>
      <w:r>
        <w:rPr>
          <w:rStyle w:val="NormalTok"/>
        </w:rPr>
        <w:t xml:space="preserve"> </w:t>
      </w:r>
      <w:r>
        <w:rPr>
          <w:rStyle w:val="StringTok"/>
        </w:rPr>
        <w:t xml:space="preserve">"mean"</w:t>
      </w:r>
      <w:r>
        <w:br/>
      </w:r>
      <w:r>
        <w:rPr>
          <w:rStyle w:val="NormalTok"/>
        </w:rPr>
        <w:t xml:space="preserve">)</w:t>
      </w:r>
    </w:p>
    <w:p>
      <w:pPr>
        <w:pStyle w:val="FirstParagraph"/>
      </w:pPr>
      <w:r>
        <w:t xml:space="preserve">Although the resulting object is called</w:t>
      </w:r>
      <w:r>
        <w:t xml:space="preserve"> </w:t>
      </w:r>
      <w:r>
        <w:rPr>
          <w:rStyle w:val="VerbatimChar"/>
        </w:rPr>
        <w:t xml:space="preserve">tau_estimates_default</w:t>
      </w:r>
      <w:r>
        <w:t xml:space="preserve"> </w:t>
      </w:r>
      <w:r>
        <w:t xml:space="preserve">for interpretive clarity, the parameter is named</w:t>
      </w:r>
      <w:r>
        <w:t xml:space="preserve"> </w:t>
      </w:r>
      <w:r>
        <w:rPr>
          <w:rStyle w:val="VerbatimChar"/>
        </w:rPr>
        <w:t xml:space="preserve">beta</w:t>
      </w:r>
      <w:r>
        <w:t xml:space="preserve"> </w:t>
      </w:r>
      <w:r>
        <w:t xml:space="preserve">inside the default</w:t>
      </w:r>
      <w:r>
        <w:t xml:space="preserve"> </w:t>
      </w:r>
      <w:r>
        <w:rPr>
          <w:rStyle w:val="VerbatimChar"/>
        </w:rPr>
        <w:t xml:space="preserve">brms</w:t>
      </w:r>
      <w:r>
        <w:t xml:space="preserve"> </w:t>
      </w:r>
      <w:r>
        <w:t xml:space="preserve">model.</w:t>
      </w:r>
    </w:p>
    <w:p>
      <w:pPr>
        <w:pStyle w:val="BodyText"/>
      </w:pPr>
      <w:r>
        <w:t xml:space="preserve">These estimates should be approximately 100 ms for Clear and 50 ms for Low-Blur.</w:t>
      </w:r>
    </w:p>
    <w:p>
      <w:pPr>
        <w:pStyle w:val="BodyText"/>
      </w:pPr>
      <w:r>
        <w:t xml:space="preserve">The corresponding contrast can be obtained using:</w:t>
      </w:r>
    </w:p>
    <w:p>
      <w:pPr>
        <w:pStyle w:val="SourceCode"/>
      </w:pPr>
      <w:r>
        <w:rPr>
          <w:rStyle w:val="CommentTok"/>
        </w:rPr>
        <w:t xml:space="preserve"># Default model: Blur contrast in beta (the exponential component).</w:t>
      </w:r>
      <w:r>
        <w:br/>
      </w:r>
      <w:r>
        <w:rPr>
          <w:rStyle w:val="NormalTok"/>
        </w:rPr>
        <w:t xml:space="preserve">tau_difference_default </w:t>
      </w:r>
      <w:r>
        <w:rPr>
          <w:rStyle w:val="OtherTok"/>
        </w:rPr>
        <w:t xml:space="preserve">&lt;-</w:t>
      </w:r>
      <w:r>
        <w:rPr>
          <w:rStyle w:val="NormalTok"/>
        </w:rPr>
        <w:t xml:space="preserve"> </w:t>
      </w:r>
      <w:r>
        <w:rPr>
          <w:rStyle w:val="FunctionTok"/>
        </w:rPr>
        <w:t xml:space="preserve">estimate_contrasts</w:t>
      </w:r>
      <w:r>
        <w:rPr>
          <w:rStyle w:val="NormalTok"/>
        </w:rPr>
        <w:t xml:space="preserve">(</w:t>
      </w:r>
      <w:r>
        <w:br/>
      </w:r>
      <w:r>
        <w:rPr>
          <w:rStyle w:val="NormalTok"/>
        </w:rPr>
        <w:t xml:space="preserve">  fit_brms,</w:t>
      </w:r>
      <w:r>
        <w:br/>
      </w:r>
      <w:r>
        <w:rPr>
          <w:rStyle w:val="NormalTok"/>
        </w:rPr>
        <w:t xml:space="preserve">  </w:t>
      </w:r>
      <w:r>
        <w:rPr>
          <w:rStyle w:val="AttributeTok"/>
        </w:rPr>
        <w:t xml:space="preserve">contrast =</w:t>
      </w:r>
      <w:r>
        <w:rPr>
          <w:rStyle w:val="NormalTok"/>
        </w:rPr>
        <w:t xml:space="preserve"> </w:t>
      </w:r>
      <w:r>
        <w:rPr>
          <w:rStyle w:val="StringTok"/>
        </w:rPr>
        <w:t xml:space="preserve">"Blur"</w:t>
      </w:r>
      <w:r>
        <w:rPr>
          <w:rStyle w:val="NormalTok"/>
        </w:rPr>
        <w:t xml:space="preserve">,</w:t>
      </w:r>
      <w:r>
        <w:br/>
      </w:r>
      <w:r>
        <w:rPr>
          <w:rStyle w:val="NormalTok"/>
        </w:rPr>
        <w:t xml:space="preserve">  </w:t>
      </w:r>
      <w:r>
        <w:rPr>
          <w:rStyle w:val="AttributeTok"/>
        </w:rPr>
        <w:t xml:space="preserve">predict =</w:t>
      </w:r>
      <w:r>
        <w:rPr>
          <w:rStyle w:val="NormalTok"/>
        </w:rPr>
        <w:t xml:space="preserve"> </w:t>
      </w:r>
      <w:r>
        <w:rPr>
          <w:rStyle w:val="StringTok"/>
        </w:rPr>
        <w:t xml:space="preserve">"beta"</w:t>
      </w:r>
      <w:r>
        <w:rPr>
          <w:rStyle w:val="NormalTok"/>
        </w:rPr>
        <w:t xml:space="preserve">,</w:t>
      </w:r>
      <w:r>
        <w:br/>
      </w:r>
      <w:r>
        <w:rPr>
          <w:rStyle w:val="NormalTok"/>
        </w:rPr>
        <w:t xml:space="preserve">  </w:t>
      </w:r>
      <w:r>
        <w:rPr>
          <w:rStyle w:val="AttributeTok"/>
        </w:rPr>
        <w:t xml:space="preserve">centrality =</w:t>
      </w:r>
      <w:r>
        <w:rPr>
          <w:rStyle w:val="NormalTok"/>
        </w:rPr>
        <w:t xml:space="preserve"> </w:t>
      </w:r>
      <w:r>
        <w:rPr>
          <w:rStyle w:val="StringTok"/>
        </w:rPr>
        <w:t xml:space="preserve">"mean"</w:t>
      </w:r>
      <w:r>
        <w:br/>
      </w:r>
      <w:r>
        <w:rPr>
          <w:rStyle w:val="NormalTok"/>
        </w:rPr>
        <w:t xml:space="preserve">)</w:t>
      </w:r>
    </w:p>
    <w:p>
      <w:pPr>
        <w:pStyle w:val="FirstParagraph"/>
      </w:pPr>
      <w:r>
        <w:t xml:space="preserve">The expected contrast is</w:t>
      </w:r>
    </w:p>
    <w:p>
      <w:pPr>
        <w:pStyle w:val="BodyText"/>
      </w:pPr>
      <m:oMathPara>
        <m:oMathParaPr>
          <m:jc m:val="center"/>
        </m:oMathParaPr>
        <m:oMath>
          <m:r>
            <m:t>50</m:t>
          </m:r>
          <m:r>
            <m:rPr>
              <m:sty m:val="p"/>
            </m:rPr>
            <m:t>−</m:t>
          </m:r>
          <m:r>
            <m:t>100</m:t>
          </m:r>
          <m:r>
            <m:rPr>
              <m:sty m:val="p"/>
            </m:rPr>
            <m:t>=</m:t>
          </m:r>
          <m:r>
            <m:rPr>
              <m:sty m:val="p"/>
            </m:rPr>
            <m:t>−</m:t>
          </m:r>
          <m:r>
            <m:t>50</m:t>
          </m:r>
          <m:r>
            <m:rPr>
              <m:nor/>
              <m:sty m:val="p"/>
            </m:rPr>
            <m:t> ms</m:t>
          </m:r>
          <m:r>
            <m:rPr>
              <m:sty m:val="p"/>
            </m:rPr>
            <m:t>.</m:t>
          </m:r>
        </m:oMath>
      </m:oMathPara>
    </w:p>
    <w:p>
      <w:pPr>
        <w:pStyle w:val="FirstParagraph"/>
      </w:pPr>
      <w:r>
        <w:t xml:space="preserve">Although the default model estimates the exponential component directly, it does not directly return the classical Gaussian-location parameter. That quantity must instead be derived as</w:t>
      </w:r>
    </w:p>
    <w:p>
      <w:pPr>
        <w:pStyle w:val="BodyText"/>
      </w:pPr>
      <m:oMathPara>
        <m:oMathParaPr>
          <m:jc m:val="center"/>
        </m:oMathParaPr>
        <m:oMath>
          <m:sSub>
            <m:e>
              <m:r>
                <m:t>μ</m:t>
              </m:r>
            </m:e>
            <m:sub>
              <m:r>
                <m:rPr>
                  <m:nor/>
                  <m:sty m:val="p"/>
                </m:rPr>
                <m:t>Gaussian</m:t>
              </m:r>
            </m:sub>
          </m:sSub>
          <m:r>
            <m:rPr>
              <m:sty m:val="p"/>
            </m:rPr>
            <m:t>=</m:t>
          </m:r>
          <m:r>
            <m:t>E</m:t>
          </m:r>
          <m:r>
            <m:rPr>
              <m:sty m:val="p"/>
            </m:rPr>
            <m:t>(</m:t>
          </m:r>
          <m:r>
            <m:t>R</m:t>
          </m:r>
          <m:r>
            <m:t>T</m:t>
          </m:r>
          <m:r>
            <m:rPr>
              <m:sty m:val="p"/>
            </m:rPr>
            <m:t>)</m:t>
          </m:r>
          <m:r>
            <m:rPr>
              <m:sty m:val="p"/>
            </m:rPr>
            <m:t>−</m:t>
          </m:r>
          <m:r>
            <m:t>β</m:t>
          </m:r>
          <m:r>
            <m:rPr>
              <m:sty m:val="p"/>
            </m:rPr>
            <m:t>.</m:t>
          </m:r>
        </m:oMath>
      </m:oMathPara>
    </w:p>
    <w:p>
      <w:pPr>
        <w:pStyle w:val="FirstParagraph"/>
      </w:pPr>
      <w:r>
        <w:t xml:space="preserve">Because</w:t>
      </w:r>
      <w:r>
        <w:t xml:space="preserve"> </w:t>
      </w:r>
      <m:oMath>
        <m:r>
          <m:t>β</m:t>
        </m:r>
        <m:r>
          <m:rPr>
            <m:sty m:val="p"/>
          </m:rPr>
          <m:t>=</m:t>
        </m:r>
        <m:r>
          <m:t>τ</m:t>
        </m:r>
      </m:oMath>
      <w:r>
        <w:t xml:space="preserve">, this can also be written as</w:t>
      </w:r>
    </w:p>
    <w:p>
      <w:pPr>
        <w:pStyle w:val="BodyText"/>
      </w:pPr>
      <m:oMathPara>
        <m:oMathParaPr>
          <m:jc m:val="center"/>
        </m:oMathParaPr>
        <m:oMath>
          <m:sSub>
            <m:e>
              <m:r>
                <m:t>μ</m:t>
              </m:r>
            </m:e>
            <m:sub>
              <m:r>
                <m:rPr>
                  <m:nor/>
                  <m:sty m:val="p"/>
                </m:rPr>
                <m:t>Gaussian</m:t>
              </m:r>
            </m:sub>
          </m:sSub>
          <m:r>
            <m:rPr>
              <m:sty m:val="p"/>
            </m:rPr>
            <m:t>=</m:t>
          </m:r>
          <m:r>
            <m:t>E</m:t>
          </m:r>
          <m:r>
            <m:rPr>
              <m:sty m:val="p"/>
            </m:rPr>
            <m:t>(</m:t>
          </m:r>
          <m:r>
            <m:t>R</m:t>
          </m:r>
          <m:r>
            <m:t>T</m:t>
          </m:r>
          <m:r>
            <m:rPr>
              <m:sty m:val="p"/>
            </m:rPr>
            <m:t>)</m:t>
          </m:r>
          <m:r>
            <m:rPr>
              <m:sty m:val="p"/>
            </m:rPr>
            <m:t>−</m:t>
          </m:r>
          <m:r>
            <m:t>τ</m:t>
          </m:r>
          <m:r>
            <m:rPr>
              <m:sty m:val="p"/>
            </m:rPr>
            <m:t>.</m:t>
          </m:r>
        </m:oMath>
      </m:oMathPara>
    </w:p>
    <w:bookmarkEnd w:id="35"/>
    <w:bookmarkEnd w:id="36"/>
    <w:bookmarkStart w:id="40" w:name="classical-ex-gaussian-parameterization"/>
    <w:p>
      <w:pPr>
        <w:pStyle w:val="Heading2"/>
      </w:pPr>
      <w:r>
        <w:t xml:space="preserve">Classical Ex-Gaussian Parameterization</w:t>
      </w:r>
    </w:p>
    <w:p>
      <w:pPr>
        <w:pStyle w:val="FirstParagraph"/>
      </w:pPr>
      <w:r>
        <w:t xml:space="preserve">We can instead fit the model using the</w:t>
      </w:r>
      <w:r>
        <w:t xml:space="preserve"> </w:t>
      </w:r>
      <w:r>
        <w:rPr>
          <w:rStyle w:val="VerbatimChar"/>
        </w:rPr>
        <w:t xml:space="preserve">{brms.exgaussian}</w:t>
      </w:r>
      <w:r>
        <w:t xml:space="preserve"> </w:t>
      </w:r>
      <w:r>
        <w:t xml:space="preserve">package, which implements the classical ex-Gaussian parameterization. In this model,</w:t>
      </w:r>
      <w:r>
        <w:t xml:space="preserve"> </w:t>
      </w:r>
      <w:r>
        <w:rPr>
          <w:rStyle w:val="VerbatimChar"/>
        </w:rPr>
        <w:t xml:space="preserve">mu</w:t>
      </w:r>
      <w:r>
        <w:t xml:space="preserve"> </w:t>
      </w:r>
      <w:r>
        <w:t xml:space="preserve">represents the location of the Gaussian component and</w:t>
      </w:r>
      <w:r>
        <w:t xml:space="preserve"> </w:t>
      </w:r>
      <w:r>
        <w:rPr>
          <w:rStyle w:val="VerbatimChar"/>
        </w:rPr>
        <w:t xml:space="preserve">tau</w:t>
      </w:r>
      <w:r>
        <w:t xml:space="preserve"> </w:t>
      </w:r>
      <w:r>
        <w:t xml:space="preserve">represents the mean of the exponential component.</w:t>
      </w:r>
    </w:p>
    <w:p>
      <w:pPr>
        <w:pStyle w:val="BodyText"/>
      </w:pPr>
      <w:r>
        <w:t xml:space="preserve">Thus, the difference between the two models is not that</w:t>
      </w:r>
      <w:r>
        <w:t xml:space="preserve"> </w:t>
      </w:r>
      <w:r>
        <w:rPr>
          <w:rStyle w:val="VerbatimChar"/>
        </w:rPr>
        <w:t xml:space="preserve">beta</w:t>
      </w:r>
      <w:r>
        <w:t xml:space="preserve"> </w:t>
      </w:r>
      <w:r>
        <w:t xml:space="preserve">and</w:t>
      </w:r>
      <w:r>
        <w:t xml:space="preserve"> </w:t>
      </w:r>
      <w:r>
        <w:rPr>
          <w:rStyle w:val="VerbatimChar"/>
        </w:rPr>
        <w:t xml:space="preserve">tau</w:t>
      </w:r>
      <w:r>
        <w:t xml:space="preserve"> </w:t>
      </w:r>
      <w:r>
        <w:t xml:space="preserve">represent different components. Rather, the packages use different labels for the same exponential parameter:</w:t>
      </w:r>
    </w:p>
    <w:p>
      <w:pPr>
        <w:pStyle w:val="BodyText"/>
      </w:pPr>
      <m:oMathPara>
        <m:oMathParaPr>
          <m:jc m:val="center"/>
        </m:oMathParaPr>
        <m:oMath>
          <m:sSub>
            <m:e>
              <m:r>
                <m:t>β</m:t>
              </m:r>
            </m:e>
            <m:sub>
              <m:r>
                <m:rPr>
                  <m:nor/>
                  <m:scr m:val="monospace"/>
                  <m:sty m:val="p"/>
                </m:rPr>
                <m:t>brms</m:t>
              </m:r>
            </m:sub>
          </m:sSub>
          <m:r>
            <m:rPr>
              <m:sty m:val="p"/>
            </m:rPr>
            <m:t>=</m:t>
          </m:r>
          <m:sSub>
            <m:e>
              <m:r>
                <m:t>τ</m:t>
              </m:r>
            </m:e>
            <m:sub>
              <m:r>
                <m:rPr>
                  <m:nor/>
                  <m:scr m:val="monospace"/>
                  <m:sty m:val="p"/>
                </m:rPr>
                <m:t>brms.exgaussian</m:t>
              </m:r>
            </m:sub>
          </m:sSub>
          <m:r>
            <m:rPr>
              <m:sty m:val="p"/>
            </m:rPr>
            <m:t>.</m:t>
          </m:r>
        </m:oMath>
      </m:oMathPara>
    </w:p>
    <w:p>
      <w:pPr>
        <w:pStyle w:val="FirstParagraph"/>
      </w:pPr>
      <w:r>
        <w:t xml:space="preserve">The main difference is the interpretation of</w:t>
      </w:r>
      <w:r>
        <w:t xml:space="preserve"> </w:t>
      </w:r>
      <w:r>
        <w:rPr>
          <w:rStyle w:val="VerbatimChar"/>
        </w:rPr>
        <w:t xml:space="preserve">mu</w:t>
      </w:r>
      <w:r>
        <w:t xml:space="preserve">:</w:t>
      </w:r>
    </w:p>
    <w:p>
      <w:pPr>
        <w:pStyle w:val="BodyText"/>
      </w:pPr>
      <m:oMathPara>
        <m:oMathParaPr>
          <m:jc m:val="center"/>
        </m:oMathParaPr>
        <m:oMath>
          <m:sSub>
            <m:e>
              <m:r>
                <m:t>μ</m:t>
              </m:r>
            </m:e>
            <m:sub>
              <m:r>
                <m:rPr>
                  <m:nor/>
                  <m:scr m:val="monospace"/>
                  <m:sty m:val="p"/>
                </m:rPr>
                <m:t>brms</m:t>
              </m:r>
            </m:sub>
          </m:sSub>
          <m:r>
            <m:rPr>
              <m:sty m:val="p"/>
            </m:rPr>
            <m:t>=</m:t>
          </m:r>
          <m:r>
            <m:t>E</m:t>
          </m:r>
          <m:r>
            <m:rPr>
              <m:sty m:val="p"/>
            </m:rPr>
            <m:t>(</m:t>
          </m:r>
          <m:r>
            <m:t>R</m:t>
          </m:r>
          <m:r>
            <m:t>T</m:t>
          </m:r>
          <m:r>
            <m:rPr>
              <m:sty m:val="p"/>
            </m:rPr>
            <m:t>)</m:t>
          </m:r>
          <m:r>
            <m:rPr>
              <m:sty m:val="p"/>
            </m:rPr>
            <m:t>,</m:t>
          </m:r>
        </m:oMath>
      </m:oMathPara>
    </w:p>
    <w:p>
      <w:pPr>
        <w:pStyle w:val="FirstParagraph"/>
      </w:pPr>
      <w:r>
        <w:t xml:space="preserve">whereas</w:t>
      </w:r>
    </w:p>
    <w:p>
      <w:pPr>
        <w:pStyle w:val="BodyText"/>
      </w:pPr>
      <m:oMathPara>
        <m:oMathParaPr>
          <m:jc m:val="center"/>
        </m:oMathParaPr>
        <m:oMath>
          <m:sSub>
            <m:e>
              <m:r>
                <m:t>μ</m:t>
              </m:r>
            </m:e>
            <m:sub>
              <m:r>
                <m:rPr>
                  <m:nor/>
                  <m:scr m:val="monospace"/>
                  <m:sty m:val="p"/>
                </m:rPr>
                <m:t>brms.exgaussian</m:t>
              </m:r>
            </m:sub>
          </m:sSub>
          <m:r>
            <m:rPr>
              <m:sty m:val="p"/>
            </m:rPr>
            <m:t>=</m:t>
          </m:r>
          <m:sSub>
            <m:e>
              <m:r>
                <m:t>μ</m:t>
              </m:r>
            </m:e>
            <m:sub>
              <m:r>
                <m:rPr>
                  <m:nor/>
                  <m:sty m:val="p"/>
                </m:rPr>
                <m:t>Gaussian</m:t>
              </m:r>
            </m:sub>
          </m:sSub>
          <m:r>
            <m:rPr>
              <m:sty m:val="p"/>
            </m:rPr>
            <m:t>.</m:t>
          </m:r>
        </m:oMath>
      </m:oMathPara>
    </w:p>
    <w:p>
      <w:pPr>
        <w:pStyle w:val="FirstParagraph"/>
      </w:pPr>
      <w:r>
        <w:t xml:space="preserve">We first define the custom family and Stan functions:</w:t>
      </w:r>
    </w:p>
    <w:p>
      <w:pPr>
        <w:pStyle w:val="SourceCode"/>
      </w:pPr>
      <w:r>
        <w:rPr>
          <w:rStyle w:val="CommentTok"/>
        </w:rPr>
        <w:t xml:space="preserve"># Custom family that reparameterizes brms so mu is the Gaussian location.</w:t>
      </w:r>
      <w:r>
        <w:br/>
      </w:r>
      <w:r>
        <w:rPr>
          <w:rStyle w:val="NormalTok"/>
        </w:rPr>
        <w:t xml:space="preserve">exg_stanvars </w:t>
      </w:r>
      <w:r>
        <w:rPr>
          <w:rStyle w:val="OtherTok"/>
        </w:rPr>
        <w:t xml:space="preserve">&lt;-</w:t>
      </w:r>
      <w:r>
        <w:rPr>
          <w:rStyle w:val="NormalTok"/>
        </w:rPr>
        <w:t xml:space="preserve"> </w:t>
      </w:r>
      <w:r>
        <w:rPr>
          <w:rStyle w:val="FunctionTok"/>
        </w:rPr>
        <w:t xml:space="preserve">exgaussian2_stancode</w:t>
      </w:r>
      <w:r>
        <w:rPr>
          <w:rStyle w:val="NormalTok"/>
        </w:rPr>
        <w:t xml:space="preserve">()  </w:t>
      </w:r>
      <w:r>
        <w:rPr>
          <w:rStyle w:val="CommentTok"/>
        </w:rPr>
        <w:t xml:space="preserve"># Stan code injected into the model</w:t>
      </w:r>
      <w:r>
        <w:br/>
      </w:r>
      <w:r>
        <w:rPr>
          <w:rStyle w:val="NormalTok"/>
        </w:rPr>
        <w:t xml:space="preserve">exg_family </w:t>
      </w:r>
      <w:r>
        <w:rPr>
          <w:rStyle w:val="OtherTok"/>
        </w:rPr>
        <w:t xml:space="preserve">&lt;-</w:t>
      </w:r>
      <w:r>
        <w:rPr>
          <w:rStyle w:val="NormalTok"/>
        </w:rPr>
        <w:t xml:space="preserve"> </w:t>
      </w:r>
      <w:r>
        <w:rPr>
          <w:rStyle w:val="FunctionTok"/>
        </w:rPr>
        <w:t xml:space="preserve">exgaussian2</w:t>
      </w:r>
      <w:r>
        <w:rPr>
          <w:rStyle w:val="NormalTok"/>
        </w:rPr>
        <w:t xml:space="preserve">()             </w:t>
      </w:r>
      <w:r>
        <w:rPr>
          <w:rStyle w:val="CommentTok"/>
        </w:rPr>
        <w:t xml:space="preserve"># the custom family definition</w:t>
      </w:r>
    </w:p>
    <w:bookmarkStart w:id="37" w:name="prior-specification-1"/>
    <w:p>
      <w:pPr>
        <w:pStyle w:val="Heading3"/>
      </w:pPr>
      <w:r>
        <w:t xml:space="preserve">Prior Specification</w:t>
      </w:r>
    </w:p>
    <w:p>
      <w:pPr>
        <w:pStyle w:val="FirstParagraph"/>
      </w:pPr>
      <w:r>
        <w:t xml:space="preserve">The priors for the classical model are specified as follows:</w:t>
      </w:r>
    </w:p>
    <w:p>
      <w:pPr>
        <w:pStyle w:val="SourceCode"/>
      </w:pPr>
      <w:r>
        <w:rPr>
          <w:rStyle w:val="NormalTok"/>
        </w:rPr>
        <w:t xml:space="preserve">priors_classical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mmentTok"/>
        </w:rPr>
        <w:t xml:space="preserve"># mu intercept: centered at 500 ms, now the Gaussian location of the</w:t>
      </w:r>
      <w:r>
        <w:br/>
      </w:r>
      <w:r>
        <w:rPr>
          <w:rStyle w:val="NormalTok"/>
        </w:rPr>
        <w:t xml:space="preserve">  </w:t>
      </w:r>
      <w:r>
        <w:rPr>
          <w:rStyle w:val="CommentTok"/>
        </w:rPr>
        <w:t xml:space="preserve"># reference condition (not E(RT)).</w:t>
      </w:r>
      <w:r>
        <w:br/>
      </w:r>
      <w:r>
        <w:rPr>
          <w:rStyle w:val="NormalTok"/>
        </w:rPr>
        <w:t xml:space="preserve">  </w:t>
      </w:r>
      <w:r>
        <w:rPr>
          <w:rStyle w:val="FunctionTok"/>
        </w:rPr>
        <w:t xml:space="preserve">prior</w:t>
      </w:r>
      <w:r>
        <w:rPr>
          <w:rStyle w:val="NormalTok"/>
        </w:rPr>
        <w:t xml:space="preserve">(</w:t>
      </w:r>
      <w:r>
        <w:br/>
      </w:r>
      <w:r>
        <w:rPr>
          <w:rStyle w:val="NormalTok"/>
        </w:rPr>
        <w:t xml:space="preserve">    </w:t>
      </w:r>
      <w:r>
        <w:rPr>
          <w:rStyle w:val="FunctionTok"/>
        </w:rPr>
        <w:t xml:space="preserve">normal</w:t>
      </w:r>
      <w:r>
        <w:rPr>
          <w:rStyle w:val="NormalTok"/>
        </w:rPr>
        <w:t xml:space="preserve">(</w:t>
      </w:r>
      <w:r>
        <w:rPr>
          <w:rStyle w:val="DecValTok"/>
        </w:rPr>
        <w:t xml:space="preserve">500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"Intercept"</w:t>
      </w:r>
      <w:r>
        <w:br/>
      </w:r>
      <w:r>
        <w:rPr>
          <w:rStyle w:val="NormalTok"/>
        </w:rPr>
        <w:t xml:space="preserve">  ),</w:t>
      </w:r>
      <w:r>
        <w:br/>
      </w:r>
      <w:r>
        <w:rPr>
          <w:rStyle w:val="NormalTok"/>
        </w:rPr>
        <w:t xml:space="preserve">  </w:t>
      </w:r>
      <w:r>
        <w:rPr>
          <w:rStyle w:val="CommentTok"/>
        </w:rPr>
        <w:t xml:space="preserve"># Effect of Blur on mu (Gaussian location): centered at 0.</w:t>
      </w:r>
      <w:r>
        <w:br/>
      </w:r>
      <w:r>
        <w:rPr>
          <w:rStyle w:val="NormalTok"/>
        </w:rPr>
        <w:t xml:space="preserve">  </w:t>
      </w:r>
      <w:r>
        <w:rPr>
          <w:rStyle w:val="FunctionTok"/>
        </w:rPr>
        <w:t xml:space="preserve">prior</w:t>
      </w:r>
      <w:r>
        <w:rPr>
          <w:rStyle w:val="NormalTok"/>
        </w:rPr>
        <w:t xml:space="preserve">(</w:t>
      </w:r>
      <w:r>
        <w:br/>
      </w:r>
      <w:r>
        <w:rPr>
          <w:rStyle w:val="NormalTok"/>
        </w:rPr>
        <w:t xml:space="preserve">    </w:t>
      </w:r>
      <w:r>
        <w:rPr>
          <w:rStyle w:val="FunctionTok"/>
        </w:rPr>
        <w:t xml:space="preserve">normal</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"b"</w:t>
      </w:r>
      <w:r>
        <w:br/>
      </w:r>
      <w:r>
        <w:rPr>
          <w:rStyle w:val="NormalTok"/>
        </w:rPr>
        <w:t xml:space="preserve">  ),</w:t>
      </w:r>
      <w:r>
        <w:br/>
      </w:r>
      <w:r>
        <w:rPr>
          <w:rStyle w:val="NormalTok"/>
        </w:rPr>
        <w:t xml:space="preserve">  </w:t>
      </w:r>
      <w:r>
        <w:rPr>
          <w:rStyle w:val="CommentTok"/>
        </w:rPr>
        <w:t xml:space="preserve"># tau (exponential mean) intercept, log scale: exp(log(100)) = 100 ms.</w:t>
      </w:r>
      <w:r>
        <w:br/>
      </w:r>
      <w:r>
        <w:rPr>
          <w:rStyle w:val="NormalTok"/>
        </w:rPr>
        <w:t xml:space="preserve">  </w:t>
      </w:r>
      <w:r>
        <w:rPr>
          <w:rStyle w:val="FunctionTok"/>
        </w:rPr>
        <w:t xml:space="preserve">prior</w:t>
      </w:r>
      <w:r>
        <w:rPr>
          <w:rStyle w:val="NormalTok"/>
        </w:rPr>
        <w:t xml:space="preserve">(</w:t>
      </w:r>
      <w:r>
        <w:br/>
      </w:r>
      <w:r>
        <w:rPr>
          <w:rStyle w:val="NormalTok"/>
        </w:rPr>
        <w:t xml:space="preserve">    </w:t>
      </w:r>
      <w:r>
        <w:rPr>
          <w:rStyle w:val="FunctionTok"/>
        </w:rPr>
        <w:t xml:space="preserve">normal</w:t>
      </w:r>
      <w:r>
        <w:rPr>
          <w:rStyle w:val="NormalTok"/>
        </w:rPr>
        <w:t xml:space="preserve">(</w:t>
      </w:r>
      <w:r>
        <w:rPr>
          <w:rStyle w:val="FunctionTok"/>
        </w:rPr>
        <w:t xml:space="preserve">log</w:t>
      </w:r>
      <w:r>
        <w:rPr>
          <w:rStyle w:val="NormalTok"/>
        </w:rPr>
        <w:t xml:space="preserve">(</w:t>
      </w:r>
      <w:r>
        <w:rPr>
          <w:rStyle w:val="DecValTok"/>
        </w:rPr>
        <w:t xml:space="preserve">100</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w:t>
      </w:r>
      <w:r>
        <w:br/>
      </w:r>
      <w:r>
        <w:rPr>
          <w:rStyle w:val="NormalTok"/>
        </w:rPr>
        <w:t xml:space="preserve">    </w:t>
      </w:r>
      <w:r>
        <w:rPr>
          <w:rStyle w:val="AttributeTok"/>
        </w:rPr>
        <w:t xml:space="preserve">dpar =</w:t>
      </w:r>
      <w:r>
        <w:rPr>
          <w:rStyle w:val="NormalTok"/>
        </w:rPr>
        <w:t xml:space="preserve"> </w:t>
      </w:r>
      <w:r>
        <w:rPr>
          <w:rStyle w:val="StringTok"/>
        </w:rPr>
        <w:t xml:space="preserve">"tau"</w:t>
      </w:r>
      <w:r>
        <w:br/>
      </w:r>
      <w:r>
        <w:rPr>
          <w:rStyle w:val="NormalTok"/>
        </w:rPr>
        <w:t xml:space="preserve">  ),</w:t>
      </w:r>
      <w:r>
        <w:br/>
      </w:r>
      <w:r>
        <w:rPr>
          <w:rStyle w:val="NormalTok"/>
        </w:rPr>
        <w:t xml:space="preserve">  </w:t>
      </w:r>
      <w:r>
        <w:rPr>
          <w:rStyle w:val="CommentTok"/>
        </w:rPr>
        <w:t xml:space="preserve"># Effect of Blur on tau (log scale): centered at 0.</w:t>
      </w:r>
      <w:r>
        <w:br/>
      </w:r>
      <w:r>
        <w:rPr>
          <w:rStyle w:val="NormalTok"/>
        </w:rPr>
        <w:t xml:space="preserve">  </w:t>
      </w:r>
      <w:r>
        <w:rPr>
          <w:rStyle w:val="FunctionTok"/>
        </w:rPr>
        <w:t xml:space="preserve">prior</w:t>
      </w:r>
      <w:r>
        <w:rPr>
          <w:rStyle w:val="NormalTok"/>
        </w:rPr>
        <w:t xml:space="preserve">(</w:t>
      </w:r>
      <w:r>
        <w:br/>
      </w:r>
      <w:r>
        <w:rPr>
          <w:rStyle w:val="NormalTok"/>
        </w:rPr>
        <w:t xml:space="preserve">    </w:t>
      </w:r>
      <w:r>
        <w:rPr>
          <w:rStyle w:val="FunctionTok"/>
        </w:rPr>
        <w:t xml:space="preserve">normal</w:t>
      </w:r>
      <w:r>
        <w:rPr>
          <w:rStyle w:val="NormalTok"/>
        </w:rPr>
        <w:t xml:space="preserve">(</w:t>
      </w:r>
      <w:r>
        <w:rPr>
          <w:rStyle w:val="DecValTok"/>
        </w:rPr>
        <w:t xml:space="preserve">0</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dpar =</w:t>
      </w:r>
      <w:r>
        <w:rPr>
          <w:rStyle w:val="NormalTok"/>
        </w:rPr>
        <w:t xml:space="preserve"> </w:t>
      </w:r>
      <w:r>
        <w:rPr>
          <w:rStyle w:val="StringTok"/>
        </w:rPr>
        <w:t xml:space="preserve">"tau"</w:t>
      </w:r>
      <w:r>
        <w:br/>
      </w:r>
      <w:r>
        <w:rPr>
          <w:rStyle w:val="NormalTok"/>
        </w:rPr>
        <w:t xml:space="preserve">  ),</w:t>
      </w:r>
      <w:r>
        <w:br/>
      </w:r>
      <w:r>
        <w:rPr>
          <w:rStyle w:val="NormalTok"/>
        </w:rPr>
        <w:t xml:space="preserve">  </w:t>
      </w:r>
      <w:r>
        <w:rPr>
          <w:rStyle w:val="CommentTok"/>
        </w:rPr>
        <w:t xml:space="preserve"># sigma (Gaussian SD) intercept, log scale: exp(log(60)) = 60 ms.</w:t>
      </w:r>
      <w:r>
        <w:br/>
      </w:r>
      <w:r>
        <w:rPr>
          <w:rStyle w:val="NormalTok"/>
        </w:rPr>
        <w:t xml:space="preserve">  </w:t>
      </w:r>
      <w:r>
        <w:rPr>
          <w:rStyle w:val="FunctionTok"/>
        </w:rPr>
        <w:t xml:space="preserve">prior</w:t>
      </w:r>
      <w:r>
        <w:rPr>
          <w:rStyle w:val="NormalTok"/>
        </w:rPr>
        <w:t xml:space="preserve">(</w:t>
      </w:r>
      <w:r>
        <w:br/>
      </w:r>
      <w:r>
        <w:rPr>
          <w:rStyle w:val="NormalTok"/>
        </w:rPr>
        <w:t xml:space="preserve">    </w:t>
      </w:r>
      <w:r>
        <w:rPr>
          <w:rStyle w:val="FunctionTok"/>
        </w:rPr>
        <w:t xml:space="preserve">normal</w:t>
      </w:r>
      <w:r>
        <w:rPr>
          <w:rStyle w:val="NormalTok"/>
        </w:rPr>
        <w:t xml:space="preserve">(</w:t>
      </w:r>
      <w:r>
        <w:rPr>
          <w:rStyle w:val="FunctionTok"/>
        </w:rPr>
        <w:t xml:space="preserve">log</w:t>
      </w:r>
      <w:r>
        <w:rPr>
          <w:rStyle w:val="NormalTok"/>
        </w:rPr>
        <w:t xml:space="preserve">(</w:t>
      </w:r>
      <w:r>
        <w:rPr>
          <w:rStyle w:val="DecValTok"/>
        </w:rPr>
        <w:t xml:space="preserve">60</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w:t>
      </w:r>
      <w:r>
        <w:br/>
      </w:r>
      <w:r>
        <w:rPr>
          <w:rStyle w:val="NormalTok"/>
        </w:rPr>
        <w:t xml:space="preserve">    </w:t>
      </w:r>
      <w:r>
        <w:rPr>
          <w:rStyle w:val="AttributeTok"/>
        </w:rPr>
        <w:t xml:space="preserve">dpar =</w:t>
      </w:r>
      <w:r>
        <w:rPr>
          <w:rStyle w:val="NormalTok"/>
        </w:rPr>
        <w:t xml:space="preserve"> </w:t>
      </w:r>
      <w:r>
        <w:rPr>
          <w:rStyle w:val="StringTok"/>
        </w:rPr>
        <w:t xml:space="preserve">"sigma"</w:t>
      </w:r>
      <w:r>
        <w:br/>
      </w:r>
      <w:r>
        <w:rPr>
          <w:rStyle w:val="NormalTok"/>
        </w:rPr>
        <w:t xml:space="preserve">  )</w:t>
      </w:r>
      <w:r>
        <w:br/>
      </w:r>
      <w:r>
        <w:rPr>
          <w:rStyle w:val="NormalTok"/>
        </w:rPr>
        <w:t xml:space="preserve">)</w:t>
      </w:r>
    </w:p>
    <w:p>
      <w:pPr>
        <w:pStyle w:val="FirstParagraph"/>
      </w:pPr>
      <w:r>
        <w:t xml:space="preserve">These priors follow the same reasoning as those for the default model (described above), with two changes. First, the intercept is now centered at 500 ms rather than 600 ms, because in the classical parameterization</w:t>
      </w:r>
      <w:r>
        <w:t xml:space="preserve"> </w:t>
      </w:r>
      <w:r>
        <w:rPr>
          <w:rStyle w:val="VerbatimChar"/>
        </w:rPr>
        <w:t xml:space="preserve">mu</w:t>
      </w:r>
      <w:r>
        <w:t xml:space="preserve"> </w:t>
      </w:r>
      <w:r>
        <w:t xml:space="preserve">denotes the Gaussian-location parameter (500 ms for the Clear reference condition) rather than the expected RT:</w:t>
      </w:r>
    </w:p>
    <w:p>
      <w:pPr>
        <w:pStyle w:val="BodyText"/>
      </w:pPr>
      <m:oMathPara>
        <m:oMathParaPr>
          <m:jc m:val="center"/>
        </m:oMathParaPr>
        <m:oMath>
          <m:sSub>
            <m:e>
              <m:r>
                <m:t>μ</m:t>
              </m:r>
            </m:e>
            <m:sub>
              <m:r>
                <m:rPr>
                  <m:nor/>
                  <m:sty m:val="p"/>
                </m:rPr>
                <m:t>Intercept</m:t>
              </m:r>
            </m:sub>
          </m:sSub>
          <m:r>
            <m:rPr>
              <m:sty m:val="p"/>
            </m:rPr>
            <m:t>∼</m:t>
          </m:r>
          <m:r>
            <m:rPr>
              <m:scr m:val="script"/>
              <m:sty m:val="p"/>
            </m:rPr>
            <m:t>N</m:t>
          </m:r>
          <m:r>
            <m:rPr>
              <m:sty m:val="p"/>
            </m:rPr>
            <m:t>(</m:t>
          </m:r>
          <m:r>
            <m:t>500</m:t>
          </m:r>
          <m:r>
            <m:rPr>
              <m:sty m:val="p"/>
            </m:rPr>
            <m:t>,</m:t>
          </m:r>
          <m:r>
            <m:t>100</m:t>
          </m:r>
          <m:r>
            <m:rPr>
              <m:sty m:val="p"/>
            </m:rPr>
            <m:t>)</m:t>
          </m:r>
          <m:r>
            <m:rPr>
              <m:sty m:val="p"/>
            </m:rPr>
            <m:t>.</m:t>
          </m:r>
        </m:oMath>
      </m:oMathPara>
    </w:p>
    <w:p>
      <w:pPr>
        <w:pStyle w:val="FirstParagraph"/>
      </w:pPr>
      <w:r>
        <w:t xml:space="preserve">Second, because this model estimates</w:t>
      </w:r>
      <w:r>
        <w:t xml:space="preserve"> </w:t>
      </w:r>
      <w:r>
        <w:rPr>
          <w:rStyle w:val="VerbatimChar"/>
        </w:rPr>
        <w:t xml:space="preserve">sigma</w:t>
      </w:r>
      <w:r>
        <w:t xml:space="preserve"> </w:t>
      </w:r>
      <w:r>
        <w:t xml:space="preserve">explicitly, it receives its own weakly informative prior on the log scale, centered at the simulated Gaussian standard deviation of 60 ms:</w:t>
      </w:r>
    </w:p>
    <w:p>
      <w:pPr>
        <w:pStyle w:val="BodyText"/>
      </w:pPr>
      <m:oMathPara>
        <m:oMathParaPr>
          <m:jc m:val="center"/>
        </m:oMathParaPr>
        <m:oMath>
          <m:r>
            <m:rPr>
              <m:sty m:val="p"/>
            </m:rPr>
            <m:t>log</m:t>
          </m:r>
          <m:r>
            <m:rPr>
              <m:sty m:val="p"/>
            </m:rPr>
            <m:t>(</m:t>
          </m:r>
          <m:r>
            <m:t>σ</m:t>
          </m:r>
          <m:r>
            <m:rPr>
              <m:sty m:val="p"/>
            </m:rPr>
            <m:t>)</m:t>
          </m:r>
          <m:r>
            <m:rPr>
              <m:sty m:val="p"/>
            </m:rPr>
            <m:t>∼</m:t>
          </m:r>
          <m:r>
            <m:rPr>
              <m:scr m:val="script"/>
              <m:sty m:val="p"/>
            </m:rPr>
            <m:t>N</m:t>
          </m:r>
          <m:d>
            <m:dPr>
              <m:begChr m:val="("/>
              <m:sepChr m:val=""/>
              <m:endChr m:val=")"/>
              <m:grow/>
            </m:dPr>
            <m:e>
              <m:r>
                <m:rPr>
                  <m:sty m:val="p"/>
                </m:rPr>
                <m:t>log</m:t>
              </m:r>
              <m:r>
                <m:rPr>
                  <m:sty m:val="p"/>
                </m:rPr>
                <m:t>(</m:t>
              </m:r>
              <m:r>
                <m:t>60</m:t>
              </m:r>
              <m:r>
                <m:rPr>
                  <m:sty m:val="p"/>
                </m:rPr>
                <m:t>)</m:t>
              </m:r>
              <m:r>
                <m:rPr>
                  <m:sty m:val="p"/>
                </m:rPr>
                <m:t>,</m:t>
              </m:r>
              <m:r>
                <m:t>0.5</m:t>
              </m:r>
            </m:e>
          </m:d>
          <m:r>
            <m:rPr>
              <m:sty m:val="p"/>
            </m:rPr>
            <m:t>.</m:t>
          </m:r>
        </m:oMath>
      </m:oMathPara>
    </w:p>
    <w:p>
      <w:pPr>
        <w:pStyle w:val="FirstParagraph"/>
      </w:pPr>
      <w:r>
        <w:t xml:space="preserve">The coefficient for</w:t>
      </w:r>
      <w:r>
        <w:t xml:space="preserve"> </w:t>
      </w:r>
      <w:r>
        <w:rPr>
          <w:rStyle w:val="VerbatimChar"/>
        </w:rPr>
        <w:t xml:space="preserve">Blur</w:t>
      </w:r>
      <w:r>
        <w:t xml:space="preserve"> </w:t>
      </w:r>
      <w:r>
        <w:t xml:space="preserve">on</w:t>
      </w:r>
      <w:r>
        <w:t xml:space="preserve"> </w:t>
      </w:r>
      <w:r>
        <w:rPr>
          <w:rStyle w:val="VerbatimChar"/>
        </w:rPr>
        <w:t xml:space="preserve">mu</w:t>
      </w:r>
      <w:r>
        <w:t xml:space="preserve"> </w:t>
      </w:r>
      <w:r>
        <w:t xml:space="preserve">and the exponential-component priors are unchanged from the default model; the latter now simply attach to</w:t>
      </w:r>
      <w:r>
        <w:t xml:space="preserve"> </w:t>
      </w:r>
      <w:r>
        <w:rPr>
          <w:rStyle w:val="VerbatimChar"/>
        </w:rPr>
        <w:t xml:space="preserve">tau</w:t>
      </w:r>
      <w:r>
        <w:t xml:space="preserve"> </w:t>
      </w:r>
      <w:r>
        <w:t xml:space="preserve">rather than</w:t>
      </w:r>
      <w:r>
        <w:t xml:space="preserve"> </w:t>
      </w:r>
      <w:r>
        <w:rPr>
          <w:rStyle w:val="VerbatimChar"/>
        </w:rPr>
        <w:t xml:space="preserve">beta</w:t>
      </w:r>
      <w:r>
        <w:t xml:space="preserve">, reflecting the difference in labels rather than any difference in the underlying quantity.</w:t>
      </w:r>
    </w:p>
    <w:p>
      <w:pPr>
        <w:pStyle w:val="BodyText"/>
      </w:pPr>
      <w:r>
        <w:t xml:space="preserve">The model is then fit using:</w:t>
      </w:r>
    </w:p>
    <w:p>
      <w:pPr>
        <w:pStyle w:val="SourceCode"/>
      </w:pPr>
      <w:r>
        <w:rPr>
          <w:rStyle w:val="NormalTok"/>
        </w:rPr>
        <w:t xml:space="preserve">fit_brms_new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FunctionTok"/>
        </w:rPr>
        <w:t xml:space="preserve">bf</w:t>
      </w:r>
      <w:r>
        <w:rPr>
          <w:rStyle w:val="NormalTok"/>
        </w:rPr>
        <w:t xml:space="preserve">(</w:t>
      </w:r>
      <w:r>
        <w:br/>
      </w:r>
      <w:r>
        <w:rPr>
          <w:rStyle w:val="NormalTok"/>
        </w:rPr>
        <w:t xml:space="preserve">    rt </w:t>
      </w:r>
      <w:r>
        <w:rPr>
          <w:rStyle w:val="SpecialCharTok"/>
        </w:rPr>
        <w:t xml:space="preserve">~</w:t>
      </w:r>
      <w:r>
        <w:rPr>
          <w:rStyle w:val="NormalTok"/>
        </w:rPr>
        <w:t xml:space="preserve"> Blur,      </w:t>
      </w:r>
      <w:r>
        <w:rPr>
          <w:rStyle w:val="CommentTok"/>
        </w:rPr>
        <w:t xml:space="preserve"># mu submodel: here mu IS the Gaussian location</w:t>
      </w:r>
      <w:r>
        <w:br/>
      </w:r>
      <w:r>
        <w:rPr>
          <w:rStyle w:val="NormalTok"/>
        </w:rPr>
        <w:t xml:space="preserve">    tau </w:t>
      </w:r>
      <w:r>
        <w:rPr>
          <w:rStyle w:val="SpecialCharTok"/>
        </w:rPr>
        <w:t xml:space="preserve">~</w:t>
      </w:r>
      <w:r>
        <w:rPr>
          <w:rStyle w:val="NormalTok"/>
        </w:rPr>
        <w:t xml:space="preserve"> Blur,     </w:t>
      </w:r>
      <w:r>
        <w:rPr>
          <w:rStyle w:val="CommentTok"/>
        </w:rPr>
        <w:t xml:space="preserve"># exponential mean (the tail), allowed to vary</w:t>
      </w:r>
      <w:r>
        <w:br/>
      </w:r>
      <w:r>
        <w:rPr>
          <w:rStyle w:val="NormalTok"/>
        </w:rPr>
        <w:t xml:space="preserve">    sigma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constant Gaussian SD</w:t>
      </w:r>
      <w:r>
        <w:br/>
      </w:r>
      <w:r>
        <w:rPr>
          <w:rStyle w:val="NormalTok"/>
        </w:rPr>
        <w:t xml:space="preserve">  ),</w:t>
      </w:r>
      <w:r>
        <w:br/>
      </w:r>
      <w:r>
        <w:rPr>
          <w:rStyle w:val="NormalTok"/>
        </w:rPr>
        <w:t xml:space="preserve">  </w:t>
      </w:r>
      <w:r>
        <w:rPr>
          <w:rStyle w:val="AttributeTok"/>
        </w:rPr>
        <w:t xml:space="preserve">data =</w:t>
      </w:r>
      <w:r>
        <w:rPr>
          <w:rStyle w:val="NormalTok"/>
        </w:rPr>
        <w:t xml:space="preserve"> d,</w:t>
      </w:r>
      <w:r>
        <w:br/>
      </w:r>
      <w:r>
        <w:rPr>
          <w:rStyle w:val="NormalTok"/>
        </w:rPr>
        <w:t xml:space="preserve">  </w:t>
      </w:r>
      <w:r>
        <w:rPr>
          <w:rStyle w:val="AttributeTok"/>
        </w:rPr>
        <w:t xml:space="preserve">prior =</w:t>
      </w:r>
      <w:r>
        <w:rPr>
          <w:rStyle w:val="NormalTok"/>
        </w:rPr>
        <w:t xml:space="preserve"> priors_classical,</w:t>
      </w:r>
      <w:r>
        <w:br/>
      </w:r>
      <w:r>
        <w:rPr>
          <w:rStyle w:val="NormalTok"/>
        </w:rPr>
        <w:t xml:space="preserve">  </w:t>
      </w:r>
      <w:r>
        <w:rPr>
          <w:rStyle w:val="AttributeTok"/>
        </w:rPr>
        <w:t xml:space="preserve">family =</w:t>
      </w:r>
      <w:r>
        <w:rPr>
          <w:rStyle w:val="NormalTok"/>
        </w:rPr>
        <w:t xml:space="preserve"> exg_family,        </w:t>
      </w:r>
      <w:r>
        <w:rPr>
          <w:rStyle w:val="CommentTok"/>
        </w:rPr>
        <w:t xml:space="preserve"># custom classical ex-Gaussian family</w:t>
      </w:r>
      <w:r>
        <w:br/>
      </w:r>
      <w:r>
        <w:rPr>
          <w:rStyle w:val="NormalTok"/>
        </w:rPr>
        <w:t xml:space="preserve">  </w:t>
      </w:r>
      <w:r>
        <w:rPr>
          <w:rStyle w:val="AttributeTok"/>
        </w:rPr>
        <w:t xml:space="preserve">stanvars =</w:t>
      </w:r>
      <w:r>
        <w:rPr>
          <w:rStyle w:val="NormalTok"/>
        </w:rPr>
        <w:t xml:space="preserve"> exg_stanvars,    </w:t>
      </w:r>
      <w:r>
        <w:rPr>
          <w:rStyle w:val="CommentTok"/>
        </w:rPr>
        <w:t xml:space="preserve"># supplies its Stan implementation</w:t>
      </w:r>
      <w:r>
        <w:br/>
      </w:r>
      <w:r>
        <w:rPr>
          <w:rStyle w:val="NormalTok"/>
        </w:rPr>
        <w:t xml:space="preserve">  </w:t>
      </w:r>
      <w:r>
        <w:rPr>
          <w:rStyle w:val="AttributeTok"/>
        </w:rPr>
        <w:t xml:space="preserve">chains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warmup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backend =</w:t>
      </w:r>
      <w:r>
        <w:rPr>
          <w:rStyle w:val="NormalTok"/>
        </w:rPr>
        <w:t xml:space="preserve"> </w:t>
      </w:r>
      <w:r>
        <w:rPr>
          <w:rStyle w:val="StringTok"/>
        </w:rPr>
        <w:t xml:space="preserve">"cmdstanr"</w:t>
      </w:r>
      <w:r>
        <w:rPr>
          <w:rStyle w:val="NormalTok"/>
        </w:rPr>
        <w:t xml:space="preserve">,</w:t>
      </w:r>
      <w:r>
        <w:br/>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1234</w:t>
      </w:r>
      <w:r>
        <w:br/>
      </w:r>
      <w:r>
        <w:rPr>
          <w:rStyle w:val="NormalTok"/>
        </w:rPr>
        <w:t xml:space="preserve">)</w:t>
      </w:r>
    </w:p>
    <w:bookmarkEnd w:id="37"/>
    <w:bookmarkStart w:id="38" w:name="Xf1881fa03386ccd01ef8a6de585e309ed9529e2"/>
    <w:p>
      <w:pPr>
        <w:pStyle w:val="Heading3"/>
      </w:pPr>
      <w:r>
        <w:t xml:space="preserve">Estimating the Gaussian-Location Parameter</w:t>
      </w:r>
    </w:p>
    <w:p>
      <w:pPr>
        <w:pStyle w:val="FirstParagraph"/>
      </w:pPr>
      <w:r>
        <w:t xml:space="preserve">For the classical model, estimates from the primary regression formula correspond to the Gaussian-location parameter</w:t>
      </w:r>
      <w:r>
        <w:t xml:space="preserve"> </w:t>
      </w:r>
      <m:oMath>
        <m:r>
          <m:t>μ</m:t>
        </m:r>
      </m:oMath>
      <w:r>
        <w:t xml:space="preserve">:</w:t>
      </w:r>
    </w:p>
    <w:p>
      <w:pPr>
        <w:pStyle w:val="SourceCode"/>
      </w:pPr>
      <w:r>
        <w:rPr>
          <w:rStyle w:val="CommentTok"/>
        </w:rPr>
        <w:t xml:space="preserve"># Classical model: per-condition mu, now the Gaussian-location parameter.</w:t>
      </w:r>
      <w:r>
        <w:br/>
      </w:r>
      <w:r>
        <w:rPr>
          <w:rStyle w:val="NormalTok"/>
        </w:rPr>
        <w:t xml:space="preserve">mu_estimates </w:t>
      </w:r>
      <w:r>
        <w:rPr>
          <w:rStyle w:val="OtherTok"/>
        </w:rPr>
        <w:t xml:space="preserve">&lt;-</w:t>
      </w:r>
      <w:r>
        <w:rPr>
          <w:rStyle w:val="NormalTok"/>
        </w:rPr>
        <w:t xml:space="preserve"> </w:t>
      </w:r>
      <w:r>
        <w:rPr>
          <w:rStyle w:val="FunctionTok"/>
        </w:rPr>
        <w:t xml:space="preserve">estimate_means</w:t>
      </w:r>
      <w:r>
        <w:rPr>
          <w:rStyle w:val="NormalTok"/>
        </w:rPr>
        <w:t xml:space="preserve">(</w:t>
      </w:r>
      <w:r>
        <w:br/>
      </w:r>
      <w:r>
        <w:rPr>
          <w:rStyle w:val="NormalTok"/>
        </w:rPr>
        <w:t xml:space="preserve">  fit_brms_new,</w:t>
      </w:r>
      <w:r>
        <w:br/>
      </w:r>
      <w:r>
        <w:rPr>
          <w:rStyle w:val="NormalTok"/>
        </w:rPr>
        <w:t xml:space="preserve">  </w:t>
      </w:r>
      <w:r>
        <w:rPr>
          <w:rStyle w:val="AttributeTok"/>
        </w:rPr>
        <w:t xml:space="preserve">by =</w:t>
      </w:r>
      <w:r>
        <w:rPr>
          <w:rStyle w:val="NormalTok"/>
        </w:rPr>
        <w:t xml:space="preserve"> </w:t>
      </w:r>
      <w:r>
        <w:rPr>
          <w:rStyle w:val="StringTok"/>
        </w:rPr>
        <w:t xml:space="preserve">"Blur"</w:t>
      </w:r>
      <w:r>
        <w:rPr>
          <w:rStyle w:val="NormalTok"/>
        </w:rPr>
        <w:t xml:space="preserve">,</w:t>
      </w:r>
      <w:r>
        <w:br/>
      </w:r>
      <w:r>
        <w:rPr>
          <w:rStyle w:val="NormalTok"/>
        </w:rPr>
        <w:t xml:space="preserve">  </w:t>
      </w:r>
      <w:r>
        <w:rPr>
          <w:rStyle w:val="AttributeTok"/>
        </w:rPr>
        <w:t xml:space="preserve">predict =</w:t>
      </w:r>
      <w:r>
        <w:rPr>
          <w:rStyle w:val="NormalTok"/>
        </w:rPr>
        <w:t xml:space="preserve"> </w:t>
      </w:r>
      <w:r>
        <w:rPr>
          <w:rStyle w:val="StringTok"/>
        </w:rPr>
        <w:t xml:space="preserve">"mu"</w:t>
      </w:r>
      <w:r>
        <w:rPr>
          <w:rStyle w:val="NormalTok"/>
        </w:rPr>
        <w:t xml:space="preserve">,</w:t>
      </w:r>
      <w:r>
        <w:br/>
      </w:r>
      <w:r>
        <w:rPr>
          <w:rStyle w:val="NormalTok"/>
        </w:rPr>
        <w:t xml:space="preserve">  </w:t>
      </w:r>
      <w:r>
        <w:rPr>
          <w:rStyle w:val="AttributeTok"/>
        </w:rPr>
        <w:t xml:space="preserve">centrality =</w:t>
      </w:r>
      <w:r>
        <w:rPr>
          <w:rStyle w:val="NormalTok"/>
        </w:rPr>
        <w:t xml:space="preserve"> </w:t>
      </w:r>
      <w:r>
        <w:rPr>
          <w:rStyle w:val="StringTok"/>
        </w:rPr>
        <w:t xml:space="preserve">"mean"</w:t>
      </w:r>
      <w:r>
        <w:br/>
      </w:r>
      <w:r>
        <w:rPr>
          <w:rStyle w:val="NormalTok"/>
        </w:rPr>
        <w:t xml:space="preserve">)</w:t>
      </w:r>
    </w:p>
    <w:p>
      <w:pPr>
        <w:pStyle w:val="FirstParagraph"/>
      </w:pPr>
      <w:r>
        <w:t xml:space="preserve">The estimates should be approximately 500 ms for Clear and 550 ms for Low-Blur.</w:t>
      </w:r>
    </w:p>
    <w:p>
      <w:pPr>
        <w:pStyle w:val="BodyText"/>
      </w:pPr>
      <w:r>
        <w:t xml:space="preserve">The contrast can be obtained using:</w:t>
      </w:r>
    </w:p>
    <w:p>
      <w:pPr>
        <w:pStyle w:val="SourceCode"/>
      </w:pPr>
      <w:r>
        <w:rPr>
          <w:rStyle w:val="CommentTok"/>
        </w:rPr>
        <w:t xml:space="preserve"># Classical model: Blur contrast in the Gaussian-location parameter mu.</w:t>
      </w:r>
      <w:r>
        <w:br/>
      </w:r>
      <w:r>
        <w:rPr>
          <w:rStyle w:val="NormalTok"/>
        </w:rPr>
        <w:t xml:space="preserve">mu_difference </w:t>
      </w:r>
      <w:r>
        <w:rPr>
          <w:rStyle w:val="OtherTok"/>
        </w:rPr>
        <w:t xml:space="preserve">&lt;-</w:t>
      </w:r>
      <w:r>
        <w:rPr>
          <w:rStyle w:val="NormalTok"/>
        </w:rPr>
        <w:t xml:space="preserve"> </w:t>
      </w:r>
      <w:r>
        <w:rPr>
          <w:rStyle w:val="FunctionTok"/>
        </w:rPr>
        <w:t xml:space="preserve">estimate_contrasts</w:t>
      </w:r>
      <w:r>
        <w:rPr>
          <w:rStyle w:val="NormalTok"/>
        </w:rPr>
        <w:t xml:space="preserve">(</w:t>
      </w:r>
      <w:r>
        <w:br/>
      </w:r>
      <w:r>
        <w:rPr>
          <w:rStyle w:val="NormalTok"/>
        </w:rPr>
        <w:t xml:space="preserve">  fit_brms_new,</w:t>
      </w:r>
      <w:r>
        <w:br/>
      </w:r>
      <w:r>
        <w:rPr>
          <w:rStyle w:val="NormalTok"/>
        </w:rPr>
        <w:t xml:space="preserve">  </w:t>
      </w:r>
      <w:r>
        <w:rPr>
          <w:rStyle w:val="AttributeTok"/>
        </w:rPr>
        <w:t xml:space="preserve">contrast =</w:t>
      </w:r>
      <w:r>
        <w:rPr>
          <w:rStyle w:val="NormalTok"/>
        </w:rPr>
        <w:t xml:space="preserve"> </w:t>
      </w:r>
      <w:r>
        <w:rPr>
          <w:rStyle w:val="StringTok"/>
        </w:rPr>
        <w:t xml:space="preserve">"Blur"</w:t>
      </w:r>
      <w:r>
        <w:rPr>
          <w:rStyle w:val="NormalTok"/>
        </w:rPr>
        <w:t xml:space="preserve">,</w:t>
      </w:r>
      <w:r>
        <w:br/>
      </w:r>
      <w:r>
        <w:rPr>
          <w:rStyle w:val="NormalTok"/>
        </w:rPr>
        <w:t xml:space="preserve">  </w:t>
      </w:r>
      <w:r>
        <w:rPr>
          <w:rStyle w:val="AttributeTok"/>
        </w:rPr>
        <w:t xml:space="preserve">predict =</w:t>
      </w:r>
      <w:r>
        <w:rPr>
          <w:rStyle w:val="NormalTok"/>
        </w:rPr>
        <w:t xml:space="preserve"> </w:t>
      </w:r>
      <w:r>
        <w:rPr>
          <w:rStyle w:val="StringTok"/>
        </w:rPr>
        <w:t xml:space="preserve">"mu"</w:t>
      </w:r>
      <w:r>
        <w:rPr>
          <w:rStyle w:val="NormalTok"/>
        </w:rPr>
        <w:t xml:space="preserve">,</w:t>
      </w:r>
      <w:r>
        <w:br/>
      </w:r>
      <w:r>
        <w:rPr>
          <w:rStyle w:val="NormalTok"/>
        </w:rPr>
        <w:t xml:space="preserve">  </w:t>
      </w:r>
      <w:r>
        <w:rPr>
          <w:rStyle w:val="AttributeTok"/>
        </w:rPr>
        <w:t xml:space="preserve">centrality =</w:t>
      </w:r>
      <w:r>
        <w:rPr>
          <w:rStyle w:val="NormalTok"/>
        </w:rPr>
        <w:t xml:space="preserve"> </w:t>
      </w:r>
      <w:r>
        <w:rPr>
          <w:rStyle w:val="StringTok"/>
        </w:rPr>
        <w:t xml:space="preserve">"mean"</w:t>
      </w:r>
      <w:r>
        <w:br/>
      </w:r>
      <w:r>
        <w:rPr>
          <w:rStyle w:val="NormalTok"/>
        </w:rPr>
        <w:t xml:space="preserve">)</w:t>
      </w:r>
    </w:p>
    <w:p>
      <w:pPr>
        <w:pStyle w:val="FirstParagraph"/>
      </w:pPr>
      <w:r>
        <w:t xml:space="preserve">The expected contrast is</w:t>
      </w:r>
    </w:p>
    <w:p>
      <w:pPr>
        <w:pStyle w:val="BodyText"/>
      </w:pPr>
      <m:oMathPara>
        <m:oMathParaPr>
          <m:jc m:val="center"/>
        </m:oMathParaPr>
        <m:oMath>
          <m:r>
            <m:t>550</m:t>
          </m:r>
          <m:r>
            <m:rPr>
              <m:sty m:val="p"/>
            </m:rPr>
            <m:t>−</m:t>
          </m:r>
          <m:r>
            <m:t>500</m:t>
          </m:r>
          <m:r>
            <m:rPr>
              <m:sty m:val="p"/>
            </m:rPr>
            <m:t>=</m:t>
          </m:r>
          <m:r>
            <m:t>50</m:t>
          </m:r>
          <m:r>
            <m:rPr>
              <m:nor/>
              <m:sty m:val="p"/>
            </m:rPr>
            <m:t> ms</m:t>
          </m:r>
          <m:r>
            <m:rPr>
              <m:sty m:val="p"/>
            </m:rPr>
            <m:t>.</m:t>
          </m:r>
        </m:oMath>
      </m:oMathPara>
    </w:p>
    <w:p>
      <w:pPr>
        <w:pStyle w:val="FirstParagraph"/>
      </w:pPr>
      <w:r>
        <w:t xml:space="preserve">The posterior mean will not necessarily equal exactly 50 ms because of sampling variability. However, the 95% credible interval should contain the population value of 50 ms when the model successfully recovers the simulated effect.</w:t>
      </w:r>
    </w:p>
    <w:bookmarkEnd w:id="38"/>
    <w:bookmarkStart w:id="39" w:name="estimating-the-exponential-component-1"/>
    <w:p>
      <w:pPr>
        <w:pStyle w:val="Heading3"/>
      </w:pPr>
      <w:r>
        <w:t xml:space="preserve">Estimating the Exponential Component</w:t>
      </w:r>
    </w:p>
    <w:p>
      <w:pPr>
        <w:pStyle w:val="FirstParagraph"/>
      </w:pPr>
      <w:r>
        <w:t xml:space="preserve">Condition-specific estimates of</w:t>
      </w:r>
      <w:r>
        <w:t xml:space="preserve"> </w:t>
      </w:r>
      <m:oMath>
        <m:r>
          <m:t>τ</m:t>
        </m:r>
      </m:oMath>
      <w:r>
        <w:t xml:space="preserve"> </w:t>
      </w:r>
      <w:r>
        <w:t xml:space="preserve">can be obtained by requesting predictions for the</w:t>
      </w:r>
      <w:r>
        <w:t xml:space="preserve"> </w:t>
      </w:r>
      <w:r>
        <w:rPr>
          <w:rStyle w:val="VerbatimChar"/>
        </w:rPr>
        <w:t xml:space="preserve">tau</w:t>
      </w:r>
      <w:r>
        <w:t xml:space="preserve"> </w:t>
      </w:r>
      <w:r>
        <w:t xml:space="preserve">distributional parameter:</w:t>
      </w:r>
    </w:p>
    <w:p>
      <w:pPr>
        <w:pStyle w:val="SourceCode"/>
      </w:pPr>
      <w:r>
        <w:rPr>
          <w:rStyle w:val="CommentTok"/>
        </w:rPr>
        <w:t xml:space="preserve"># Classical model: per-condition tau (the exponential component).</w:t>
      </w:r>
      <w:r>
        <w:br/>
      </w:r>
      <w:r>
        <w:rPr>
          <w:rStyle w:val="NormalTok"/>
        </w:rPr>
        <w:t xml:space="preserve">tau_estimates </w:t>
      </w:r>
      <w:r>
        <w:rPr>
          <w:rStyle w:val="OtherTok"/>
        </w:rPr>
        <w:t xml:space="preserve">&lt;-</w:t>
      </w:r>
      <w:r>
        <w:rPr>
          <w:rStyle w:val="NormalTok"/>
        </w:rPr>
        <w:t xml:space="preserve"> </w:t>
      </w:r>
      <w:r>
        <w:rPr>
          <w:rStyle w:val="FunctionTok"/>
        </w:rPr>
        <w:t xml:space="preserve">estimate_means</w:t>
      </w:r>
      <w:r>
        <w:rPr>
          <w:rStyle w:val="NormalTok"/>
        </w:rPr>
        <w:t xml:space="preserve">(</w:t>
      </w:r>
      <w:r>
        <w:br/>
      </w:r>
      <w:r>
        <w:rPr>
          <w:rStyle w:val="NormalTok"/>
        </w:rPr>
        <w:t xml:space="preserve">  fit_brms_new,</w:t>
      </w:r>
      <w:r>
        <w:br/>
      </w:r>
      <w:r>
        <w:rPr>
          <w:rStyle w:val="NormalTok"/>
        </w:rPr>
        <w:t xml:space="preserve">  </w:t>
      </w:r>
      <w:r>
        <w:rPr>
          <w:rStyle w:val="AttributeTok"/>
        </w:rPr>
        <w:t xml:space="preserve">by =</w:t>
      </w:r>
      <w:r>
        <w:rPr>
          <w:rStyle w:val="NormalTok"/>
        </w:rPr>
        <w:t xml:space="preserve"> </w:t>
      </w:r>
      <w:r>
        <w:rPr>
          <w:rStyle w:val="StringTok"/>
        </w:rPr>
        <w:t xml:space="preserve">"Blur"</w:t>
      </w:r>
      <w:r>
        <w:rPr>
          <w:rStyle w:val="NormalTok"/>
        </w:rPr>
        <w:t xml:space="preserve">,</w:t>
      </w:r>
      <w:r>
        <w:br/>
      </w:r>
      <w:r>
        <w:rPr>
          <w:rStyle w:val="NormalTok"/>
        </w:rPr>
        <w:t xml:space="preserve">  </w:t>
      </w:r>
      <w:r>
        <w:rPr>
          <w:rStyle w:val="AttributeTok"/>
        </w:rPr>
        <w:t xml:space="preserve">predict =</w:t>
      </w:r>
      <w:r>
        <w:rPr>
          <w:rStyle w:val="NormalTok"/>
        </w:rPr>
        <w:t xml:space="preserve"> </w:t>
      </w:r>
      <w:r>
        <w:rPr>
          <w:rStyle w:val="StringTok"/>
        </w:rPr>
        <w:t xml:space="preserve">"tau"</w:t>
      </w:r>
      <w:r>
        <w:rPr>
          <w:rStyle w:val="NormalTok"/>
        </w:rPr>
        <w:t xml:space="preserve">,</w:t>
      </w:r>
      <w:r>
        <w:br/>
      </w:r>
      <w:r>
        <w:rPr>
          <w:rStyle w:val="NormalTok"/>
        </w:rPr>
        <w:t xml:space="preserve">  </w:t>
      </w:r>
      <w:r>
        <w:rPr>
          <w:rStyle w:val="AttributeTok"/>
        </w:rPr>
        <w:t xml:space="preserve">centrality =</w:t>
      </w:r>
      <w:r>
        <w:rPr>
          <w:rStyle w:val="NormalTok"/>
        </w:rPr>
        <w:t xml:space="preserve"> </w:t>
      </w:r>
      <w:r>
        <w:rPr>
          <w:rStyle w:val="StringTok"/>
        </w:rPr>
        <w:t xml:space="preserve">"mean"</w:t>
      </w:r>
      <w:r>
        <w:br/>
      </w:r>
      <w:r>
        <w:rPr>
          <w:rStyle w:val="NormalTok"/>
        </w:rPr>
        <w:t xml:space="preserve">)</w:t>
      </w:r>
    </w:p>
    <w:p>
      <w:pPr>
        <w:pStyle w:val="FirstParagraph"/>
      </w:pPr>
      <w:r>
        <w:t xml:space="preserve">The estimates should be close to 100 ms for Clear and 50 ms for Low-Blur.</w:t>
      </w:r>
    </w:p>
    <w:p>
      <w:pPr>
        <w:pStyle w:val="BodyText"/>
      </w:pPr>
      <w:r>
        <w:t xml:space="preserve">The corresponding contrast can be obtained using:</w:t>
      </w:r>
    </w:p>
    <w:p>
      <w:pPr>
        <w:pStyle w:val="SourceCode"/>
      </w:pPr>
      <w:r>
        <w:rPr>
          <w:rStyle w:val="CommentTok"/>
        </w:rPr>
        <w:t xml:space="preserve"># Classical model: Blur contrast in tau (the exponential component).</w:t>
      </w:r>
      <w:r>
        <w:br/>
      </w:r>
      <w:r>
        <w:rPr>
          <w:rStyle w:val="NormalTok"/>
        </w:rPr>
        <w:t xml:space="preserve">tau_difference </w:t>
      </w:r>
      <w:r>
        <w:rPr>
          <w:rStyle w:val="OtherTok"/>
        </w:rPr>
        <w:t xml:space="preserve">&lt;-</w:t>
      </w:r>
      <w:r>
        <w:rPr>
          <w:rStyle w:val="NormalTok"/>
        </w:rPr>
        <w:t xml:space="preserve"> </w:t>
      </w:r>
      <w:r>
        <w:rPr>
          <w:rStyle w:val="FunctionTok"/>
        </w:rPr>
        <w:t xml:space="preserve">estimate_contrasts</w:t>
      </w:r>
      <w:r>
        <w:rPr>
          <w:rStyle w:val="NormalTok"/>
        </w:rPr>
        <w:t xml:space="preserve">(</w:t>
      </w:r>
      <w:r>
        <w:br/>
      </w:r>
      <w:r>
        <w:rPr>
          <w:rStyle w:val="NormalTok"/>
        </w:rPr>
        <w:t xml:space="preserve">  fit_brms_new,</w:t>
      </w:r>
      <w:r>
        <w:br/>
      </w:r>
      <w:r>
        <w:rPr>
          <w:rStyle w:val="NormalTok"/>
        </w:rPr>
        <w:t xml:space="preserve">  </w:t>
      </w:r>
      <w:r>
        <w:rPr>
          <w:rStyle w:val="AttributeTok"/>
        </w:rPr>
        <w:t xml:space="preserve">contrast =</w:t>
      </w:r>
      <w:r>
        <w:rPr>
          <w:rStyle w:val="NormalTok"/>
        </w:rPr>
        <w:t xml:space="preserve"> </w:t>
      </w:r>
      <w:r>
        <w:rPr>
          <w:rStyle w:val="StringTok"/>
        </w:rPr>
        <w:t xml:space="preserve">"Blur"</w:t>
      </w:r>
      <w:r>
        <w:rPr>
          <w:rStyle w:val="NormalTok"/>
        </w:rPr>
        <w:t xml:space="preserve">,</w:t>
      </w:r>
      <w:r>
        <w:br/>
      </w:r>
      <w:r>
        <w:rPr>
          <w:rStyle w:val="NormalTok"/>
        </w:rPr>
        <w:t xml:space="preserve">  </w:t>
      </w:r>
      <w:r>
        <w:rPr>
          <w:rStyle w:val="AttributeTok"/>
        </w:rPr>
        <w:t xml:space="preserve">predict =</w:t>
      </w:r>
      <w:r>
        <w:rPr>
          <w:rStyle w:val="NormalTok"/>
        </w:rPr>
        <w:t xml:space="preserve"> </w:t>
      </w:r>
      <w:r>
        <w:rPr>
          <w:rStyle w:val="StringTok"/>
        </w:rPr>
        <w:t xml:space="preserve">"tau"</w:t>
      </w:r>
      <w:r>
        <w:rPr>
          <w:rStyle w:val="NormalTok"/>
        </w:rPr>
        <w:t xml:space="preserve">,</w:t>
      </w:r>
      <w:r>
        <w:br/>
      </w:r>
      <w:r>
        <w:rPr>
          <w:rStyle w:val="NormalTok"/>
        </w:rPr>
        <w:t xml:space="preserve">  </w:t>
      </w:r>
      <w:r>
        <w:rPr>
          <w:rStyle w:val="AttributeTok"/>
        </w:rPr>
        <w:t xml:space="preserve">centrality =</w:t>
      </w:r>
      <w:r>
        <w:rPr>
          <w:rStyle w:val="NormalTok"/>
        </w:rPr>
        <w:t xml:space="preserve"> </w:t>
      </w:r>
      <w:r>
        <w:rPr>
          <w:rStyle w:val="StringTok"/>
        </w:rPr>
        <w:t xml:space="preserve">"mean"</w:t>
      </w:r>
      <w:r>
        <w:br/>
      </w:r>
      <w:r>
        <w:rPr>
          <w:rStyle w:val="NormalTok"/>
        </w:rPr>
        <w:t xml:space="preserve">)</w:t>
      </w:r>
    </w:p>
    <w:p>
      <w:pPr>
        <w:pStyle w:val="FirstParagraph"/>
      </w:pPr>
      <w:r>
        <w:t xml:space="preserve">The expected contrast is</w:t>
      </w:r>
    </w:p>
    <w:p>
      <w:pPr>
        <w:pStyle w:val="BodyText"/>
      </w:pPr>
      <m:oMathPara>
        <m:oMathParaPr>
          <m:jc m:val="center"/>
        </m:oMathParaPr>
        <m:oMath>
          <m:r>
            <m:t>50</m:t>
          </m:r>
          <m:r>
            <m:rPr>
              <m:sty m:val="p"/>
            </m:rPr>
            <m:t>−</m:t>
          </m:r>
          <m:r>
            <m:t>100</m:t>
          </m:r>
          <m:r>
            <m:rPr>
              <m:sty m:val="p"/>
            </m:rPr>
            <m:t>=</m:t>
          </m:r>
          <m:r>
            <m:rPr>
              <m:sty m:val="p"/>
            </m:rPr>
            <m:t>−</m:t>
          </m:r>
          <m:r>
            <m:t>50</m:t>
          </m:r>
          <m:r>
            <m:rPr>
              <m:nor/>
              <m:sty m:val="p"/>
            </m:rPr>
            <m:t> ms</m:t>
          </m:r>
          <m:r>
            <m:rPr>
              <m:sty m:val="p"/>
            </m:rPr>
            <m:t>.</m:t>
          </m:r>
        </m:oMath>
      </m:oMathPara>
    </w:p>
    <w:bookmarkEnd w:id="39"/>
    <w:bookmarkEnd w:id="40"/>
    <w:bookmarkStart w:id="41" w:name="calculating-the-expected-response"/>
    <w:p>
      <w:pPr>
        <w:pStyle w:val="Heading2"/>
      </w:pPr>
      <w:r>
        <w:t xml:space="preserve">Calculating the Expected Response</w:t>
      </w:r>
    </w:p>
    <w:p>
      <w:pPr>
        <w:pStyle w:val="FirstParagraph"/>
      </w:pPr>
      <w:r>
        <w:t xml:space="preserve">Under the classical parameterization, the expected response is not represented by either parameter alone. It must be calculated as</w:t>
      </w:r>
    </w:p>
    <w:p>
      <w:pPr>
        <w:pStyle w:val="BodyText"/>
      </w:pPr>
      <m:oMathPara>
        <m:oMathParaPr>
          <m:jc m:val="center"/>
        </m:oMathParaPr>
        <m:oMath>
          <m:r>
            <m:t>E</m:t>
          </m:r>
          <m:r>
            <m:rPr>
              <m:sty m:val="p"/>
            </m:rPr>
            <m:t>(</m:t>
          </m:r>
          <m:r>
            <m:t>R</m:t>
          </m:r>
          <m:r>
            <m:t>T</m:t>
          </m:r>
          <m:r>
            <m:rPr>
              <m:sty m:val="p"/>
            </m:rPr>
            <m:t>)</m:t>
          </m:r>
          <m:r>
            <m:rPr>
              <m:sty m:val="p"/>
            </m:rPr>
            <m:t>=</m:t>
          </m:r>
          <m:r>
            <m:t>μ</m:t>
          </m:r>
          <m:r>
            <m:rPr>
              <m:sty m:val="p"/>
            </m:rPr>
            <m:t>+</m:t>
          </m:r>
          <m:r>
            <m:t>τ</m:t>
          </m:r>
          <m:r>
            <m:rPr>
              <m:sty m:val="p"/>
            </m:rPr>
            <m:t>.</m:t>
          </m:r>
        </m:oMath>
      </m:oMathPara>
    </w:p>
    <w:p>
      <w:pPr>
        <w:pStyle w:val="FirstParagraph"/>
      </w:pPr>
      <w:r>
        <w:t xml:space="preserve">For the Clear condition,</w:t>
      </w:r>
    </w:p>
    <w:p>
      <w:pPr>
        <w:pStyle w:val="BodyText"/>
      </w:pPr>
      <m:oMathPara>
        <m:oMathParaPr>
          <m:jc m:val="center"/>
        </m:oMathParaPr>
        <m:oMath>
          <m:r>
            <m:t>E</m:t>
          </m:r>
          <m:r>
            <m:rPr>
              <m:sty m:val="p"/>
            </m:rPr>
            <m:t>(</m:t>
          </m:r>
          <m:r>
            <m:t>R</m:t>
          </m:r>
          <m:sSub>
            <m:e>
              <m:r>
                <m:t>T</m:t>
              </m:r>
            </m:e>
            <m:sub>
              <m:r>
                <m:rPr>
                  <m:nor/>
                  <m:sty m:val="p"/>
                </m:rPr>
                <m:t>Clear</m:t>
              </m:r>
            </m:sub>
          </m:sSub>
          <m:r>
            <m:rPr>
              <m:sty m:val="p"/>
            </m:rPr>
            <m:t>)</m:t>
          </m:r>
          <m:r>
            <m:rPr>
              <m:sty m:val="p"/>
            </m:rPr>
            <m:t>=</m:t>
          </m:r>
          <m:r>
            <m:t>500</m:t>
          </m:r>
          <m:r>
            <m:rPr>
              <m:sty m:val="p"/>
            </m:rPr>
            <m:t>+</m:t>
          </m:r>
          <m:r>
            <m:t>100</m:t>
          </m:r>
          <m:r>
            <m:rPr>
              <m:sty m:val="p"/>
            </m:rPr>
            <m:t>=</m:t>
          </m:r>
          <m:r>
            <m:t>600</m:t>
          </m:r>
          <m:r>
            <m:rPr>
              <m:nor/>
              <m:sty m:val="p"/>
            </m:rPr>
            <m:t> ms</m:t>
          </m:r>
          <m:r>
            <m:rPr>
              <m:sty m:val="p"/>
            </m:rPr>
            <m:t>.</m:t>
          </m:r>
        </m:oMath>
      </m:oMathPara>
    </w:p>
    <w:p>
      <w:pPr>
        <w:pStyle w:val="FirstParagraph"/>
      </w:pPr>
      <w:r>
        <w:t xml:space="preserve">For the Low-Blur condition,</w:t>
      </w:r>
    </w:p>
    <w:p>
      <w:pPr>
        <w:pStyle w:val="BodyText"/>
      </w:pPr>
      <m:oMathPara>
        <m:oMathParaPr>
          <m:jc m:val="center"/>
        </m:oMathParaPr>
        <m:oMath>
          <m:r>
            <m:t>E</m:t>
          </m:r>
          <m:r>
            <m:rPr>
              <m:sty m:val="p"/>
            </m:rPr>
            <m:t>(</m:t>
          </m:r>
          <m:r>
            <m:t>R</m:t>
          </m:r>
          <m:sSub>
            <m:e>
              <m:r>
                <m:t>T</m:t>
              </m:r>
            </m:e>
            <m:sub>
              <m:r>
                <m:rPr>
                  <m:nor/>
                  <m:sty m:val="p"/>
                </m:rPr>
                <m:t>Low-Blur</m:t>
              </m:r>
            </m:sub>
          </m:sSub>
          <m:r>
            <m:rPr>
              <m:sty m:val="p"/>
            </m:rPr>
            <m:t>)</m:t>
          </m:r>
          <m:r>
            <m:rPr>
              <m:sty m:val="p"/>
            </m:rPr>
            <m:t>=</m:t>
          </m:r>
          <m:r>
            <m:t>550</m:t>
          </m:r>
          <m:r>
            <m:rPr>
              <m:sty m:val="p"/>
            </m:rPr>
            <m:t>+</m:t>
          </m:r>
          <m:r>
            <m:t>50</m:t>
          </m:r>
          <m:r>
            <m:rPr>
              <m:sty m:val="p"/>
            </m:rPr>
            <m:t>=</m:t>
          </m:r>
          <m:r>
            <m:t>600</m:t>
          </m:r>
          <m:r>
            <m:rPr>
              <m:nor/>
              <m:sty m:val="p"/>
            </m:rPr>
            <m:t> ms</m:t>
          </m:r>
          <m:r>
            <m:rPr>
              <m:sty m:val="p"/>
            </m:rPr>
            <m:t>.</m:t>
          </m:r>
        </m:oMath>
      </m:oMathPara>
    </w:p>
    <w:p>
      <w:pPr>
        <w:pStyle w:val="FirstParagraph"/>
      </w:pPr>
      <w:r>
        <w:t xml:space="preserve">The difference in expected RT is therefore</w:t>
      </w:r>
    </w:p>
    <w:p>
      <w:pPr>
        <w:pStyle w:val="BodyText"/>
      </w:pPr>
      <m:oMathPara>
        <m:oMathParaPr>
          <m:jc m:val="center"/>
        </m:oMathParaPr>
        <m:oMath>
          <m:r>
            <m:t>E</m:t>
          </m:r>
          <m:r>
            <m:rPr>
              <m:sty m:val="p"/>
            </m:rPr>
            <m:t>(</m:t>
          </m:r>
          <m:r>
            <m:t>R</m:t>
          </m:r>
          <m:sSub>
            <m:e>
              <m:r>
                <m:t>T</m:t>
              </m:r>
            </m:e>
            <m:sub>
              <m:r>
                <m:rPr>
                  <m:nor/>
                  <m:sty m:val="p"/>
                </m:rPr>
                <m:t>Low-Blur</m:t>
              </m:r>
            </m:sub>
          </m:sSub>
          <m:r>
            <m:rPr>
              <m:sty m:val="p"/>
            </m:rPr>
            <m:t>)</m:t>
          </m:r>
          <m:r>
            <m:rPr>
              <m:sty m:val="p"/>
            </m:rPr>
            <m:t>−</m:t>
          </m:r>
          <m:r>
            <m:t>E</m:t>
          </m:r>
          <m:r>
            <m:rPr>
              <m:sty m:val="p"/>
            </m:rPr>
            <m:t>(</m:t>
          </m:r>
          <m:r>
            <m:t>R</m:t>
          </m:r>
          <m:sSub>
            <m:e>
              <m:r>
                <m:t>T</m:t>
              </m:r>
            </m:e>
            <m:sub>
              <m:r>
                <m:rPr>
                  <m:nor/>
                  <m:sty m:val="p"/>
                </m:rPr>
                <m:t>Clear</m:t>
              </m:r>
            </m:sub>
          </m:sSub>
          <m:r>
            <m:rPr>
              <m:sty m:val="p"/>
            </m:rPr>
            <m:t>)</m:t>
          </m:r>
          <m:r>
            <m:rPr>
              <m:sty m:val="p"/>
            </m:rPr>
            <m:t>=</m:t>
          </m:r>
          <m:r>
            <m:t>600</m:t>
          </m:r>
          <m:r>
            <m:rPr>
              <m:sty m:val="p"/>
            </m:rPr>
            <m:t>−</m:t>
          </m:r>
          <m:r>
            <m:t>600</m:t>
          </m:r>
          <m:r>
            <m:rPr>
              <m:sty m:val="p"/>
            </m:rPr>
            <m:t>=</m:t>
          </m:r>
          <m:r>
            <m:t>0</m:t>
          </m:r>
          <m:r>
            <m:rPr>
              <m:nor/>
              <m:sty m:val="p"/>
            </m:rPr>
            <m:t> ms</m:t>
          </m:r>
          <m:r>
            <m:rPr>
              <m:sty m:val="p"/>
            </m:rPr>
            <m:t>.</m:t>
          </m:r>
        </m:oMath>
      </m:oMathPara>
    </w:p>
    <w:p>
      <w:pPr>
        <w:pStyle w:val="FirstParagraph"/>
      </w:pPr>
      <w:r>
        <w:t xml:space="preserve">Although the classical model should recover a positive blur effect on</w:t>
      </w:r>
      <w:r>
        <w:t xml:space="preserve"> </w:t>
      </w:r>
      <m:oMath>
        <m:r>
          <m:t>μ</m:t>
        </m:r>
      </m:oMath>
      <w:r>
        <w:t xml:space="preserve"> </w:t>
      </w:r>
      <w:r>
        <w:t xml:space="preserve">and a negative blur effect on</w:t>
      </w:r>
      <w:r>
        <w:t xml:space="preserve"> </w:t>
      </w:r>
      <m:oMath>
        <m:r>
          <m:t>τ</m:t>
        </m:r>
      </m:oMath>
      <w:r>
        <w:t xml:space="preserve">, these effects cancel when the expected response is calculated. The full distributional mean therefore remains approximately equal across conditions.</w:t>
      </w:r>
    </w:p>
    <w:p>
      <w:pPr>
        <w:pStyle w:val="BodyText"/>
      </w:pPr>
      <w:r>
        <w:t xml:space="preserve">This example illustrates the central difference between the two parameterizations. The default</w:t>
      </w:r>
      <w:r>
        <w:t xml:space="preserve"> </w:t>
      </w:r>
      <w:r>
        <w:rPr>
          <w:rStyle w:val="VerbatimChar"/>
        </w:rPr>
        <w:t xml:space="preserve">brms</w:t>
      </w:r>
      <w:r>
        <w:t xml:space="preserve"> </w:t>
      </w:r>
      <w:r>
        <w:t xml:space="preserve">ex-Gaussian model directly estimates the expected response and labels that parameter</w:t>
      </w:r>
      <w:r>
        <w:t xml:space="preserve"> </w:t>
      </w:r>
      <w:r>
        <w:rPr>
          <w:rStyle w:val="VerbatimChar"/>
        </w:rPr>
        <w:t xml:space="preserve">mu</w:t>
      </w:r>
      <w:r>
        <w:t xml:space="preserve">. The exponential component is labeled</w:t>
      </w:r>
      <w:r>
        <w:t xml:space="preserve"> </w:t>
      </w:r>
      <w:r>
        <w:rPr>
          <w:rStyle w:val="VerbatimChar"/>
        </w:rPr>
        <w:t xml:space="preserve">beta</w:t>
      </w:r>
      <w:r>
        <w:t xml:space="preserve">, although it corresponds to the classical</w:t>
      </w:r>
      <w:r>
        <w:t xml:space="preserve"> </w:t>
      </w:r>
      <m:oMath>
        <m:r>
          <m:t>τ</m:t>
        </m:r>
      </m:oMath>
      <w:r>
        <w:t xml:space="preserve"> </w:t>
      </w:r>
      <w:r>
        <w:t xml:space="preserve">parameter. In contrast, the</w:t>
      </w:r>
      <w:r>
        <w:t xml:space="preserve"> </w:t>
      </w:r>
      <w:r>
        <w:rPr>
          <w:rStyle w:val="VerbatimChar"/>
        </w:rPr>
        <w:t xml:space="preserve">{brms.exgaussian}</w:t>
      </w:r>
      <w:r>
        <w:t xml:space="preserve"> </w:t>
      </w:r>
      <w:r>
        <w:t xml:space="preserve">model uses</w:t>
      </w:r>
      <w:r>
        <w:t xml:space="preserve"> </w:t>
      </w:r>
      <w:r>
        <w:rPr>
          <w:rStyle w:val="VerbatimChar"/>
        </w:rPr>
        <w:t xml:space="preserve">mu</w:t>
      </w:r>
      <w:r>
        <w:t xml:space="preserve"> </w:t>
      </w:r>
      <w:r>
        <w:t xml:space="preserve">for the Gaussian-location parameter and</w:t>
      </w:r>
      <w:r>
        <w:t xml:space="preserve"> </w:t>
      </w:r>
      <w:r>
        <w:rPr>
          <w:rStyle w:val="VerbatimChar"/>
        </w:rPr>
        <w:t xml:space="preserve">tau</w:t>
      </w:r>
      <w:r>
        <w:t xml:space="preserve"> </w:t>
      </w:r>
      <w:r>
        <w:t xml:space="preserve">for the exponential mean, consistent with the classical parameterization commonly used in reaction-time research.</w:t>
      </w:r>
    </w:p>
    <w:bookmarkEnd w:id="41"/>
    <w:bookmarkStart w:id="42" w:name="conclusion"/>
    <w:p>
      <w:pPr>
        <w:pStyle w:val="Heading2"/>
      </w:pPr>
      <w:r>
        <w:t xml:space="preserve">Conclusion</w:t>
      </w:r>
    </w:p>
    <w:p>
      <w:pPr>
        <w:pStyle w:val="FirstParagraph"/>
      </w:pPr>
      <w:r>
        <w:t xml:space="preserve">With this commentary, I hope to encourage researchers to use the appropriate ex-Gaussian parameterization when modeling reaction-time data with the {brms} package. The ex-Gaussian distribution provides a powerful framework for moving beyond analyses of the mean by separating differences in the central portion of the reaction-time distribution from differences in its right tail.</w:t>
      </w:r>
    </w:p>
    <w:p>
      <w:pPr>
        <w:pStyle w:val="BodyText"/>
      </w:pPr>
      <w:r>
        <w:t xml:space="preserve">However, this flexibility also requires careful attention to model parameterization. In particular, researchers should not assume that parameters with familiar labels necessarily have the same interpretation across software implementations. Researchers should therefore examine the statistical definition and underlying implementation of a model before fitting it and interpreting its parameters. This is especially important when using flexible modeling software that may adopt parameterizations that differ from those commonly used in a particular research literature. I hope this commentary serves both as a practical guide to fitting the classical ex-Gaussian model in {brms} and as a broader reminder that convenient software defaults should not replace careful consideration of what a model actually estimates.</w:t>
      </w:r>
    </w:p>
    <w:bookmarkEnd w:id="42"/>
    <w:bookmarkEnd w:id="43"/>
    <w:bookmarkStart w:id="86" w:name="references"/>
    <w:p>
      <w:pPr>
        <w:pStyle w:val="Heading1"/>
      </w:pPr>
      <w:r>
        <w:t xml:space="preserve">References</w:t>
      </w:r>
    </w:p>
    <w:bookmarkStart w:id="76" w:name="refs"/>
    <w:bookmarkStart w:id="45" w:name="ref-balota2011"/>
    <w:p>
      <w:pPr>
        <w:pStyle w:val="Bibliography"/>
      </w:pPr>
      <w:r>
        <w:t xml:space="preserve">Balota, D. A., &amp; Yap, M. J. (2011). Moving beyond the mean in studies of mental chronometry the power of response time distributional analyses.</w:t>
      </w:r>
      <w:r>
        <w:t xml:space="preserve"> </w:t>
      </w:r>
      <w:r>
        <w:rPr>
          <w:i/>
          <w:iCs/>
        </w:rPr>
        <w:t xml:space="preserve">Current Directions in Psychological Science</w:t>
      </w:r>
      <w:r>
        <w:t xml:space="preserve">,</w:t>
      </w:r>
      <w:r>
        <w:t xml:space="preserve"> </w:t>
      </w:r>
      <w:r>
        <w:rPr>
          <w:i/>
          <w:iCs/>
        </w:rPr>
        <w:t xml:space="preserve">20</w:t>
      </w:r>
      <w:r>
        <w:t xml:space="preserve">(3), 160166.</w:t>
      </w:r>
      <w:r>
        <w:t xml:space="preserve"> </w:t>
      </w:r>
      <w:hyperlink r:id="rId44">
        <w:r>
          <w:rPr>
            <w:rStyle w:val="Hyperlink"/>
          </w:rPr>
          <w:t xml:space="preserve">http://cdp.sagepub.com/content/20/3/160.short</w:t>
        </w:r>
      </w:hyperlink>
    </w:p>
    <w:bookmarkEnd w:id="45"/>
    <w:bookmarkStart w:id="47" w:name="ref-julia"/>
    <w:p>
      <w:pPr>
        <w:pStyle w:val="Bibliography"/>
      </w:pPr>
      <w:r>
        <w:t xml:space="preserve">Bezanson, J., Edelman, A., Karpinski, S., &amp; Shah, V. B. (2017). Julia: A fresh approach to numerical computing.</w:t>
      </w:r>
      <w:r>
        <w:t xml:space="preserve"> </w:t>
      </w:r>
      <w:r>
        <w:rPr>
          <w:i/>
          <w:iCs/>
        </w:rPr>
        <w:t xml:space="preserve">SIAM Review</w:t>
      </w:r>
      <w:r>
        <w:t xml:space="preserve">,</w:t>
      </w:r>
      <w:r>
        <w:t xml:space="preserve"> </w:t>
      </w:r>
      <w:r>
        <w:rPr>
          <w:i/>
          <w:iCs/>
        </w:rPr>
        <w:t xml:space="preserve">59</w:t>
      </w:r>
      <w:r>
        <w:t xml:space="preserve">(1), 65–98.</w:t>
      </w:r>
      <w:r>
        <w:t xml:space="preserve"> </w:t>
      </w:r>
      <w:hyperlink r:id="rId46">
        <w:r>
          <w:rPr>
            <w:rStyle w:val="Hyperlink"/>
          </w:rPr>
          <w:t xml:space="preserve">https://doi.org/10.1137/141000671</w:t>
        </w:r>
      </w:hyperlink>
    </w:p>
    <w:bookmarkEnd w:id="47"/>
    <w:bookmarkStart w:id="49" w:name="ref-stan"/>
    <w:p>
      <w:pPr>
        <w:pStyle w:val="Bibliography"/>
      </w:pPr>
      <w:r>
        <w:t xml:space="preserve">Carpenter, B., Gelman, A., Hoffman, M. D., Lee, D., Goodrich, B., Betancourt, M., Brubaker, M. A., Guo, J., Li, P., &amp; Riddell, A. (2017). Stan: A probabilistic programming language.</w:t>
      </w:r>
      <w:r>
        <w:t xml:space="preserve"> </w:t>
      </w:r>
      <w:r>
        <w:rPr>
          <w:i/>
          <w:iCs/>
        </w:rPr>
        <w:t xml:space="preserve">Journal of Statistical Software</w:t>
      </w:r>
      <w:r>
        <w:t xml:space="preserve">,</w:t>
      </w:r>
      <w:r>
        <w:t xml:space="preserve"> </w:t>
      </w:r>
      <w:r>
        <w:rPr>
          <w:i/>
          <w:iCs/>
        </w:rPr>
        <w:t xml:space="preserve">76</w:t>
      </w:r>
      <w:r>
        <w:t xml:space="preserve">(1), 1–32.</w:t>
      </w:r>
      <w:r>
        <w:t xml:space="preserve"> </w:t>
      </w:r>
      <w:hyperlink r:id="rId48">
        <w:r>
          <w:rPr>
            <w:rStyle w:val="Hyperlink"/>
          </w:rPr>
          <w:t xml:space="preserve">https://doi.org/10.18637/jss.v076.i01</w:t>
        </w:r>
      </w:hyperlink>
    </w:p>
    <w:bookmarkEnd w:id="49"/>
    <w:bookmarkStart w:id="51" w:name="ref-geller2025"/>
    <w:p>
      <w:pPr>
        <w:pStyle w:val="Bibliography"/>
      </w:pPr>
      <w:r>
        <w:t xml:space="preserve">Geller, J., Gomez, P., Buchanan, E. M., &amp; Makowski, D. (2025). A distributional response time analysis of the perceptual disfluency effect.</w:t>
      </w:r>
      <w:r>
        <w:t xml:space="preserve"> </w:t>
      </w:r>
      <w:r>
        <w:rPr>
          <w:i/>
          <w:iCs/>
        </w:rPr>
        <w:t xml:space="preserve">Journal of Cognition</w:t>
      </w:r>
      <w:r>
        <w:t xml:space="preserve">,</w:t>
      </w:r>
      <w:r>
        <w:t xml:space="preserve"> </w:t>
      </w:r>
      <w:r>
        <w:rPr>
          <w:i/>
          <w:iCs/>
        </w:rPr>
        <w:t xml:space="preserve">8</w:t>
      </w:r>
      <w:r>
        <w:t xml:space="preserve">(1), 50.</w:t>
      </w:r>
      <w:r>
        <w:t xml:space="preserve"> </w:t>
      </w:r>
      <w:hyperlink r:id="rId50">
        <w:r>
          <w:rPr>
            <w:rStyle w:val="Hyperlink"/>
          </w:rPr>
          <w:t xml:space="preserve">https://doi.org/10.5334/joc.469</w:t>
        </w:r>
      </w:hyperlink>
    </w:p>
    <w:bookmarkEnd w:id="51"/>
    <w:bookmarkStart w:id="53" w:name="ref-matzke2009"/>
    <w:p>
      <w:pPr>
        <w:pStyle w:val="Bibliography"/>
      </w:pPr>
      <w:r>
        <w:t xml:space="preserve">Matzke, D., &amp; Wagenmakers, E.-J. (2009). Psychological interpretation of the ex-gaussian and shifted wald parameters: A diffusion model analysis.</w:t>
      </w:r>
      <w:r>
        <w:t xml:space="preserve"> </w:t>
      </w:r>
      <w:r>
        <w:rPr>
          <w:i/>
          <w:iCs/>
        </w:rPr>
        <w:t xml:space="preserve">Psychonomic Bulletin &amp; Review</w:t>
      </w:r>
      <w:r>
        <w:t xml:space="preserve">,</w:t>
      </w:r>
      <w:r>
        <w:t xml:space="preserve"> </w:t>
      </w:r>
      <w:r>
        <w:rPr>
          <w:i/>
          <w:iCs/>
        </w:rPr>
        <w:t xml:space="preserve">16</w:t>
      </w:r>
      <w:r>
        <w:t xml:space="preserve">(5), 798817.</w:t>
      </w:r>
      <w:r>
        <w:t xml:space="preserve"> </w:t>
      </w:r>
      <w:hyperlink r:id="rId52">
        <w:r>
          <w:rPr>
            <w:rStyle w:val="Hyperlink"/>
          </w:rPr>
          <w:t xml:space="preserve">http://link.springer.com/article/10.3758/PBR.16.5.798</w:t>
        </w:r>
      </w:hyperlink>
    </w:p>
    <w:bookmarkEnd w:id="53"/>
    <w:bookmarkStart w:id="55" w:name="ref-pfadt2025methodological"/>
    <w:p>
      <w:pPr>
        <w:pStyle w:val="Bibliography"/>
      </w:pPr>
      <w:r>
        <w:t xml:space="preserve">Pfadt, J. M., Bartoš, F., Godmann, H. R., Waaijers, M., Groot, L., Heo, I., et al.</w:t>
      </w:r>
      <w:r>
        <w:t xml:space="preserve"> (2025). A methodological metamorphosis: The rapid rise of bayesian inference and open science practices in psychology.</w:t>
      </w:r>
      <w:r>
        <w:t xml:space="preserve"> </w:t>
      </w:r>
      <w:r>
        <w:rPr>
          <w:i/>
          <w:iCs/>
        </w:rPr>
        <w:t xml:space="preserve">PsyArXiv</w:t>
      </w:r>
      <w:r>
        <w:t xml:space="preserve">.</w:t>
      </w:r>
      <w:r>
        <w:t xml:space="preserve"> </w:t>
      </w:r>
      <w:hyperlink r:id="rId54">
        <w:r>
          <w:rPr>
            <w:rStyle w:val="Hyperlink"/>
          </w:rPr>
          <w:t xml:space="preserve">https://doi.org/10.31234/osf.io/ck3js_v1</w:t>
        </w:r>
      </w:hyperlink>
    </w:p>
    <w:bookmarkEnd w:id="55"/>
    <w:bookmarkStart w:id="57" w:name="ref-R"/>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56">
        <w:r>
          <w:rPr>
            <w:rStyle w:val="Hyperlink"/>
          </w:rPr>
          <w:t xml:space="preserve">https://www.R-project.org/</w:t>
        </w:r>
      </w:hyperlink>
    </w:p>
    <w:bookmarkEnd w:id="57"/>
    <w:bookmarkStart w:id="59" w:name="ref-ratcliff1976"/>
    <w:p>
      <w:pPr>
        <w:pStyle w:val="Bibliography"/>
      </w:pPr>
      <w:r>
        <w:t xml:space="preserve">Ratcliff, R., &amp; Murdock, B. B. (1976). Retrieval processes in recognition memory.</w:t>
      </w:r>
      <w:r>
        <w:t xml:space="preserve"> </w:t>
      </w:r>
      <w:r>
        <w:rPr>
          <w:i/>
          <w:iCs/>
        </w:rPr>
        <w:t xml:space="preserve">Psychological Review</w:t>
      </w:r>
      <w:r>
        <w:t xml:space="preserve">,</w:t>
      </w:r>
      <w:r>
        <w:t xml:space="preserve"> </w:t>
      </w:r>
      <w:r>
        <w:rPr>
          <w:i/>
          <w:iCs/>
        </w:rPr>
        <w:t xml:space="preserve">83</w:t>
      </w:r>
      <w:r>
        <w:t xml:space="preserve">(3), 190–214.</w:t>
      </w:r>
      <w:r>
        <w:t xml:space="preserve"> </w:t>
      </w:r>
      <w:hyperlink r:id="rId58">
        <w:r>
          <w:rPr>
            <w:rStyle w:val="Hyperlink"/>
          </w:rPr>
          <w:t xml:space="preserve">https://doi.org/10.1037/0033-295X.83.3.190</w:t>
        </w:r>
      </w:hyperlink>
    </w:p>
    <w:bookmarkEnd w:id="59"/>
    <w:bookmarkStart w:id="60" w:name="ref-python"/>
    <w:p>
      <w:pPr>
        <w:pStyle w:val="Bibliography"/>
      </w:pPr>
      <w:r>
        <w:t xml:space="preserve">Van Rossum, G., &amp; Drake, F. L. (2009).</w:t>
      </w:r>
      <w:r>
        <w:t xml:space="preserve"> </w:t>
      </w:r>
      <w:r>
        <w:rPr>
          <w:i/>
          <w:iCs/>
        </w:rPr>
        <w:t xml:space="preserve">Python 3 reference manual</w:t>
      </w:r>
      <w:r>
        <w:t xml:space="preserve">. CreateSpace.</w:t>
      </w:r>
    </w:p>
    <w:bookmarkEnd w:id="60"/>
    <w:bookmarkStart w:id="62" w:name="ref-vazire2018"/>
    <w:p>
      <w:pPr>
        <w:pStyle w:val="Bibliography"/>
      </w:pPr>
      <w:r>
        <w:t xml:space="preserve">Vazire, S. (2018). Implications of the credibility revolution for productivity, creativity, and progress.</w:t>
      </w:r>
      <w:r>
        <w:t xml:space="preserve"> </w:t>
      </w:r>
      <w:r>
        <w:rPr>
          <w:i/>
          <w:iCs/>
        </w:rPr>
        <w:t xml:space="preserve">Perspectives on Psychological Science</w:t>
      </w:r>
      <w:r>
        <w:t xml:space="preserve">,</w:t>
      </w:r>
      <w:r>
        <w:t xml:space="preserve"> </w:t>
      </w:r>
      <w:r>
        <w:rPr>
          <w:i/>
          <w:iCs/>
        </w:rPr>
        <w:t xml:space="preserve">13</w:t>
      </w:r>
      <w:r>
        <w:t xml:space="preserve">(4), 411–417.</w:t>
      </w:r>
      <w:r>
        <w:t xml:space="preserve"> </w:t>
      </w:r>
      <w:hyperlink r:id="rId61">
        <w:r>
          <w:rPr>
            <w:rStyle w:val="Hyperlink"/>
          </w:rPr>
          <w:t xml:space="preserve">https://doi.org/10.1177/1745691617751884</w:t>
        </w:r>
      </w:hyperlink>
    </w:p>
    <w:bookmarkEnd w:id="62"/>
    <w:bookmarkStart w:id="64" w:name="ref-wilcox"/>
    <w:p>
      <w:pPr>
        <w:pStyle w:val="Bibliography"/>
      </w:pPr>
      <w:r>
        <w:t xml:space="preserve">Wilcox, R. R., &amp; Keselman, H. J. (2003). Modern robust data analysis methods: Measures of central tendency.</w:t>
      </w:r>
      <w:r>
        <w:t xml:space="preserve"> </w:t>
      </w:r>
      <w:r>
        <w:rPr>
          <w:i/>
          <w:iCs/>
        </w:rPr>
        <w:t xml:space="preserve">Psychological Methods</w:t>
      </w:r>
      <w:r>
        <w:t xml:space="preserve">,</w:t>
      </w:r>
      <w:r>
        <w:t xml:space="preserve"> </w:t>
      </w:r>
      <w:r>
        <w:rPr>
          <w:i/>
          <w:iCs/>
        </w:rPr>
        <w:t xml:space="preserve">8</w:t>
      </w:r>
      <w:r>
        <w:t xml:space="preserve">(3), 254274.</w:t>
      </w:r>
      <w:r>
        <w:t xml:space="preserve"> </w:t>
      </w:r>
      <w:hyperlink r:id="rId63">
        <w:r>
          <w:rPr>
            <w:rStyle w:val="Hyperlink"/>
          </w:rPr>
          <w:t xml:space="preserve">https://doi.org/10.1037/1082-989X.8.3.254</w:t>
        </w:r>
      </w:hyperlink>
    </w:p>
    <w:bookmarkEnd w:id="64"/>
    <w:bookmarkStart w:id="65" w:name="ref-balota2011"/>
    <w:p>
      <w:pPr>
        <w:pStyle w:val="Bibliography"/>
      </w:pPr>
      <w:r>
        <w:t xml:space="preserve">Balota, D. A., &amp; Yap, M. J. (2011). Moving beyond the mean in studies of mental chronometry the power of response time distributional analyses.</w:t>
      </w:r>
      <w:r>
        <w:t xml:space="preserve"> </w:t>
      </w:r>
      <w:r>
        <w:rPr>
          <w:i/>
          <w:iCs/>
        </w:rPr>
        <w:t xml:space="preserve">Current Directions in Psychological Science</w:t>
      </w:r>
      <w:r>
        <w:t xml:space="preserve">,</w:t>
      </w:r>
      <w:r>
        <w:t xml:space="preserve"> </w:t>
      </w:r>
      <w:r>
        <w:rPr>
          <w:i/>
          <w:iCs/>
        </w:rPr>
        <w:t xml:space="preserve">20</w:t>
      </w:r>
      <w:r>
        <w:t xml:space="preserve">(3), 160166.</w:t>
      </w:r>
      <w:r>
        <w:t xml:space="preserve"> </w:t>
      </w:r>
      <w:hyperlink r:id="rId44">
        <w:r>
          <w:rPr>
            <w:rStyle w:val="Hyperlink"/>
          </w:rPr>
          <w:t xml:space="preserve">http://cdp.sagepub.com/content/20/3/160.short</w:t>
        </w:r>
      </w:hyperlink>
    </w:p>
    <w:bookmarkEnd w:id="65"/>
    <w:bookmarkStart w:id="66" w:name="ref-julia"/>
    <w:p>
      <w:pPr>
        <w:pStyle w:val="Bibliography"/>
      </w:pPr>
      <w:r>
        <w:t xml:space="preserve">Bezanson, J., Edelman, A., Karpinski, S., &amp; Shah, V. B. (2017). Julia: A fresh approach to numerical computing.</w:t>
      </w:r>
      <w:r>
        <w:t xml:space="preserve"> </w:t>
      </w:r>
      <w:r>
        <w:rPr>
          <w:i/>
          <w:iCs/>
        </w:rPr>
        <w:t xml:space="preserve">SIAM Review</w:t>
      </w:r>
      <w:r>
        <w:t xml:space="preserve">,</w:t>
      </w:r>
      <w:r>
        <w:t xml:space="preserve"> </w:t>
      </w:r>
      <w:r>
        <w:rPr>
          <w:i/>
          <w:iCs/>
        </w:rPr>
        <w:t xml:space="preserve">59</w:t>
      </w:r>
      <w:r>
        <w:t xml:space="preserve">(1), 65–98.</w:t>
      </w:r>
      <w:r>
        <w:t xml:space="preserve"> </w:t>
      </w:r>
      <w:hyperlink r:id="rId46">
        <w:r>
          <w:rPr>
            <w:rStyle w:val="Hyperlink"/>
          </w:rPr>
          <w:t xml:space="preserve">https://doi.org/10.1137/141000671</w:t>
        </w:r>
      </w:hyperlink>
    </w:p>
    <w:bookmarkEnd w:id="66"/>
    <w:bookmarkStart w:id="67" w:name="ref-stan"/>
    <w:p>
      <w:pPr>
        <w:pStyle w:val="Bibliography"/>
      </w:pPr>
      <w:r>
        <w:t xml:space="preserve">Carpenter, B., Gelman, A., Hoffman, M. D., Lee, D., Goodrich, B., Betancourt, M., Brubaker, M. A., Guo, J., Li, P., &amp; Riddell, A. (2017). Stan: A probabilistic programming language.</w:t>
      </w:r>
      <w:r>
        <w:t xml:space="preserve"> </w:t>
      </w:r>
      <w:r>
        <w:rPr>
          <w:i/>
          <w:iCs/>
        </w:rPr>
        <w:t xml:space="preserve">Journal of Statistical Software</w:t>
      </w:r>
      <w:r>
        <w:t xml:space="preserve">,</w:t>
      </w:r>
      <w:r>
        <w:t xml:space="preserve"> </w:t>
      </w:r>
      <w:r>
        <w:rPr>
          <w:i/>
          <w:iCs/>
        </w:rPr>
        <w:t xml:space="preserve">76</w:t>
      </w:r>
      <w:r>
        <w:t xml:space="preserve">(1), 1–32.</w:t>
      </w:r>
      <w:r>
        <w:t xml:space="preserve"> </w:t>
      </w:r>
      <w:hyperlink r:id="rId48">
        <w:r>
          <w:rPr>
            <w:rStyle w:val="Hyperlink"/>
          </w:rPr>
          <w:t xml:space="preserve">https://doi.org/10.18637/jss.v076.i01</w:t>
        </w:r>
      </w:hyperlink>
    </w:p>
    <w:bookmarkEnd w:id="67"/>
    <w:bookmarkStart w:id="68" w:name="ref-geller2025"/>
    <w:p>
      <w:pPr>
        <w:pStyle w:val="Bibliography"/>
      </w:pPr>
      <w:r>
        <w:t xml:space="preserve">Geller, J., Gomez, P., Buchanan, E. M., &amp; Makowski, D. (2025). A distributional response time analysis of the perceptual disfluency effect.</w:t>
      </w:r>
      <w:r>
        <w:t xml:space="preserve"> </w:t>
      </w:r>
      <w:r>
        <w:rPr>
          <w:i/>
          <w:iCs/>
        </w:rPr>
        <w:t xml:space="preserve">Journal of Cognition</w:t>
      </w:r>
      <w:r>
        <w:t xml:space="preserve">,</w:t>
      </w:r>
      <w:r>
        <w:t xml:space="preserve"> </w:t>
      </w:r>
      <w:r>
        <w:rPr>
          <w:i/>
          <w:iCs/>
        </w:rPr>
        <w:t xml:space="preserve">8</w:t>
      </w:r>
      <w:r>
        <w:t xml:space="preserve">(1), 50.</w:t>
      </w:r>
      <w:r>
        <w:t xml:space="preserve"> </w:t>
      </w:r>
      <w:hyperlink r:id="rId50">
        <w:r>
          <w:rPr>
            <w:rStyle w:val="Hyperlink"/>
          </w:rPr>
          <w:t xml:space="preserve">https://doi.org/10.5334/joc.469</w:t>
        </w:r>
      </w:hyperlink>
    </w:p>
    <w:bookmarkEnd w:id="68"/>
    <w:bookmarkStart w:id="69" w:name="ref-matzke2009"/>
    <w:p>
      <w:pPr>
        <w:pStyle w:val="Bibliography"/>
      </w:pPr>
      <w:r>
        <w:t xml:space="preserve">Matzke, D., &amp; Wagenmakers, E.-J. (2009). Psychological interpretation of the ex-gaussian and shifted wald parameters: A diffusion model analysis.</w:t>
      </w:r>
      <w:r>
        <w:t xml:space="preserve"> </w:t>
      </w:r>
      <w:r>
        <w:rPr>
          <w:i/>
          <w:iCs/>
        </w:rPr>
        <w:t xml:space="preserve">Psychonomic Bulletin &amp; Review</w:t>
      </w:r>
      <w:r>
        <w:t xml:space="preserve">,</w:t>
      </w:r>
      <w:r>
        <w:t xml:space="preserve"> </w:t>
      </w:r>
      <w:r>
        <w:rPr>
          <w:i/>
          <w:iCs/>
        </w:rPr>
        <w:t xml:space="preserve">16</w:t>
      </w:r>
      <w:r>
        <w:t xml:space="preserve">(5), 798817.</w:t>
      </w:r>
      <w:r>
        <w:t xml:space="preserve"> </w:t>
      </w:r>
      <w:hyperlink r:id="rId52">
        <w:r>
          <w:rPr>
            <w:rStyle w:val="Hyperlink"/>
          </w:rPr>
          <w:t xml:space="preserve">http://link.springer.com/article/10.3758/PBR.16.5.798</w:t>
        </w:r>
      </w:hyperlink>
    </w:p>
    <w:bookmarkEnd w:id="69"/>
    <w:bookmarkStart w:id="70" w:name="ref-pfadt2025methodological"/>
    <w:p>
      <w:pPr>
        <w:pStyle w:val="Bibliography"/>
      </w:pPr>
      <w:r>
        <w:t xml:space="preserve">Pfadt, J. M., Bartoš, F., Godmann, H. R., Waaijers, M., Groot, L., Heo, I., et al.</w:t>
      </w:r>
      <w:r>
        <w:t xml:space="preserve"> (2025). A methodological metamorphosis: The rapid rise of bayesian inference and open science practices in psychology.</w:t>
      </w:r>
      <w:r>
        <w:t xml:space="preserve"> </w:t>
      </w:r>
      <w:r>
        <w:rPr>
          <w:i/>
          <w:iCs/>
        </w:rPr>
        <w:t xml:space="preserve">PsyArXiv</w:t>
      </w:r>
      <w:r>
        <w:t xml:space="preserve">.</w:t>
      </w:r>
      <w:r>
        <w:t xml:space="preserve"> </w:t>
      </w:r>
      <w:hyperlink r:id="rId54">
        <w:r>
          <w:rPr>
            <w:rStyle w:val="Hyperlink"/>
          </w:rPr>
          <w:t xml:space="preserve">https://doi.org/10.31234/osf.io/ck3js_v1</w:t>
        </w:r>
      </w:hyperlink>
    </w:p>
    <w:bookmarkEnd w:id="70"/>
    <w:bookmarkStart w:id="71" w:name="ref-R"/>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56">
        <w:r>
          <w:rPr>
            <w:rStyle w:val="Hyperlink"/>
          </w:rPr>
          <w:t xml:space="preserve">https://www.R-project.org/</w:t>
        </w:r>
      </w:hyperlink>
    </w:p>
    <w:bookmarkEnd w:id="71"/>
    <w:bookmarkStart w:id="72" w:name="ref-ratcliff1976"/>
    <w:p>
      <w:pPr>
        <w:pStyle w:val="Bibliography"/>
      </w:pPr>
      <w:r>
        <w:t xml:space="preserve">Ratcliff, R., &amp; Murdock, B. B. (1976). Retrieval processes in recognition memory.</w:t>
      </w:r>
      <w:r>
        <w:t xml:space="preserve"> </w:t>
      </w:r>
      <w:r>
        <w:rPr>
          <w:i/>
          <w:iCs/>
        </w:rPr>
        <w:t xml:space="preserve">Psychological Review</w:t>
      </w:r>
      <w:r>
        <w:t xml:space="preserve">,</w:t>
      </w:r>
      <w:r>
        <w:t xml:space="preserve"> </w:t>
      </w:r>
      <w:r>
        <w:rPr>
          <w:i/>
          <w:iCs/>
        </w:rPr>
        <w:t xml:space="preserve">83</w:t>
      </w:r>
      <w:r>
        <w:t xml:space="preserve">(3), 190–214.</w:t>
      </w:r>
      <w:r>
        <w:t xml:space="preserve"> </w:t>
      </w:r>
      <w:hyperlink r:id="rId58">
        <w:r>
          <w:rPr>
            <w:rStyle w:val="Hyperlink"/>
          </w:rPr>
          <w:t xml:space="preserve">https://doi.org/10.1037/0033-295X.83.3.190</w:t>
        </w:r>
      </w:hyperlink>
    </w:p>
    <w:bookmarkEnd w:id="72"/>
    <w:bookmarkStart w:id="73" w:name="ref-python"/>
    <w:p>
      <w:pPr>
        <w:pStyle w:val="Bibliography"/>
      </w:pPr>
      <w:r>
        <w:t xml:space="preserve">Van Rossum, G., &amp; Drake, F. L. (2009).</w:t>
      </w:r>
      <w:r>
        <w:t xml:space="preserve"> </w:t>
      </w:r>
      <w:r>
        <w:rPr>
          <w:i/>
          <w:iCs/>
        </w:rPr>
        <w:t xml:space="preserve">Python 3 reference manual</w:t>
      </w:r>
      <w:r>
        <w:t xml:space="preserve">. CreateSpace.</w:t>
      </w:r>
    </w:p>
    <w:bookmarkEnd w:id="73"/>
    <w:bookmarkStart w:id="74" w:name="ref-vazire2018"/>
    <w:p>
      <w:pPr>
        <w:pStyle w:val="Bibliography"/>
      </w:pPr>
      <w:r>
        <w:t xml:space="preserve">Vazire, S. (2018). Implications of the credibility revolution for productivity, creativity, and progress.</w:t>
      </w:r>
      <w:r>
        <w:t xml:space="preserve"> </w:t>
      </w:r>
      <w:r>
        <w:rPr>
          <w:i/>
          <w:iCs/>
        </w:rPr>
        <w:t xml:space="preserve">Perspectives on Psychological Science</w:t>
      </w:r>
      <w:r>
        <w:t xml:space="preserve">,</w:t>
      </w:r>
      <w:r>
        <w:t xml:space="preserve"> </w:t>
      </w:r>
      <w:r>
        <w:rPr>
          <w:i/>
          <w:iCs/>
        </w:rPr>
        <w:t xml:space="preserve">13</w:t>
      </w:r>
      <w:r>
        <w:t xml:space="preserve">(4), 411–417.</w:t>
      </w:r>
      <w:r>
        <w:t xml:space="preserve"> </w:t>
      </w:r>
      <w:hyperlink r:id="rId61">
        <w:r>
          <w:rPr>
            <w:rStyle w:val="Hyperlink"/>
          </w:rPr>
          <w:t xml:space="preserve">https://doi.org/10.1177/1745691617751884</w:t>
        </w:r>
      </w:hyperlink>
    </w:p>
    <w:bookmarkEnd w:id="74"/>
    <w:bookmarkStart w:id="75" w:name="ref-wilcox"/>
    <w:p>
      <w:pPr>
        <w:pStyle w:val="Bibliography"/>
      </w:pPr>
      <w:r>
        <w:t xml:space="preserve">Wilcox, R. R., &amp; Keselman, H. J. (2003). Modern robust data analysis methods: Measures of central tendency.</w:t>
      </w:r>
      <w:r>
        <w:t xml:space="preserve"> </w:t>
      </w:r>
      <w:r>
        <w:rPr>
          <w:i/>
          <w:iCs/>
        </w:rPr>
        <w:t xml:space="preserve">Psychological Methods</w:t>
      </w:r>
      <w:r>
        <w:t xml:space="preserve">,</w:t>
      </w:r>
      <w:r>
        <w:t xml:space="preserve"> </w:t>
      </w:r>
      <w:r>
        <w:rPr>
          <w:i/>
          <w:iCs/>
        </w:rPr>
        <w:t xml:space="preserve">8</w:t>
      </w:r>
      <w:r>
        <w:t xml:space="preserve">(3), 254274.</w:t>
      </w:r>
      <w:r>
        <w:t xml:space="preserve"> </w:t>
      </w:r>
      <w:hyperlink r:id="rId63">
        <w:r>
          <w:rPr>
            <w:rStyle w:val="Hyperlink"/>
          </w:rPr>
          <w:t xml:space="preserve">https://doi.org/10.1037/1082-989X.8.3.254</w:t>
        </w:r>
      </w:hyperlink>
    </w:p>
    <w:bookmarkEnd w:id="75"/>
    <w:bookmarkEnd w:id="76"/>
    <w:bookmarkStart w:id="77" w:name="tbl-exgauss"/>
    <w:p>
      <w:pPr>
        <w:pStyle w:val="FigureTitle"/>
      </w:pPr>
      <w:r>
        <w:t xml:space="preserve">Table 1</w:t>
      </w:r>
    </w:p>
    <w:p>
      <w:pPr>
        <w:pStyle w:val="Caption"/>
      </w:pPr>
      <w:r>
        <w:t xml:space="preserve">Data-generating ex-Gaussian parameters for the two simulated conditions.</w:t>
      </w:r>
    </w:p>
    <w:tbl>
      <w:tblPr>
        <w:tblStyle w:val="Table"/>
        <w:tblW w:type="pct" w:w="2917"/>
        <w:tblLayout w:type="fixed"/>
        <w:tblLook w:firstRow="1" w:lastRow="0" w:firstColumn="0" w:lastColumn="0" w:noHBand="0" w:noVBand="0" w:val="0020"/>
      </w:tblPr>
      <w:tblGrid>
        <w:gridCol w:w="1210"/>
        <w:gridCol w:w="660"/>
        <w:gridCol w:w="550"/>
        <w:gridCol w:w="660"/>
        <w:gridCol w:w="1540"/>
      </w:tblGrid>
      <w:tr>
        <w:trPr>
          <w:tblHeader w:val="on"/>
        </w:trPr>
        <w:tc>
          <w:tcPr/>
          <w:p>
            <w:pPr>
              <w:pStyle w:val="Compact"/>
            </w:pPr>
            <w:r>
              <w:t xml:space="preserve">Blur</w:t>
            </w:r>
          </w:p>
        </w:tc>
        <w:tc>
          <w:tcPr/>
          <w:p>
            <w:pPr>
              <w:pStyle w:val="Compact"/>
            </w:pPr>
            <w:r>
              <w:t xml:space="preserve">μ</w:t>
            </w:r>
          </w:p>
        </w:tc>
        <w:tc>
          <w:tcPr/>
          <w:p>
            <w:pPr>
              <w:pStyle w:val="Compact"/>
            </w:pPr>
            <w:r>
              <w:t xml:space="preserve">σ</w:t>
            </w:r>
          </w:p>
        </w:tc>
        <w:tc>
          <w:tcPr/>
          <w:p>
            <w:pPr>
              <w:pStyle w:val="Compact"/>
            </w:pPr>
            <w:r>
              <w:t xml:space="preserve">τ</w:t>
            </w:r>
          </w:p>
        </w:tc>
        <w:tc>
          <w:tcPr/>
          <w:p>
            <w:pPr>
              <w:pStyle w:val="Compact"/>
            </w:pPr>
            <w:r>
              <w:t xml:space="preserve">Expected RT</w:t>
            </w:r>
          </w:p>
        </w:tc>
      </w:tr>
      <w:tr>
        <w:tc>
          <w:tcPr/>
          <w:p>
            <w:pPr>
              <w:pStyle w:val="Compact"/>
            </w:pPr>
            <w:r>
              <w:t xml:space="preserve">Clear</w:t>
            </w:r>
          </w:p>
        </w:tc>
        <w:tc>
          <w:tcPr/>
          <w:p>
            <w:pPr>
              <w:pStyle w:val="Compact"/>
            </w:pPr>
            <w:r>
              <w:t xml:space="preserve">500</w:t>
            </w:r>
          </w:p>
        </w:tc>
        <w:tc>
          <w:tcPr/>
          <w:p>
            <w:pPr>
              <w:pStyle w:val="Compact"/>
            </w:pPr>
            <w:r>
              <w:t xml:space="preserve">60</w:t>
            </w:r>
          </w:p>
        </w:tc>
        <w:tc>
          <w:tcPr/>
          <w:p>
            <w:pPr>
              <w:pStyle w:val="Compact"/>
            </w:pPr>
            <w:r>
              <w:t xml:space="preserve">100</w:t>
            </w:r>
          </w:p>
        </w:tc>
        <w:tc>
          <w:tcPr/>
          <w:p>
            <w:pPr>
              <w:pStyle w:val="Compact"/>
            </w:pPr>
            <w:r>
              <w:t xml:space="preserve">600</w:t>
            </w:r>
          </w:p>
        </w:tc>
      </w:tr>
      <w:tr>
        <w:tc>
          <w:tcPr/>
          <w:p>
            <w:pPr>
              <w:pStyle w:val="Compact"/>
            </w:pPr>
            <w:r>
              <w:t xml:space="preserve">Low-Blur</w:t>
            </w:r>
          </w:p>
        </w:tc>
        <w:tc>
          <w:tcPr/>
          <w:p>
            <w:pPr>
              <w:pStyle w:val="Compact"/>
            </w:pPr>
            <w:r>
              <w:t xml:space="preserve">550</w:t>
            </w:r>
          </w:p>
        </w:tc>
        <w:tc>
          <w:tcPr/>
          <w:p>
            <w:pPr>
              <w:pStyle w:val="Compact"/>
            </w:pPr>
            <w:r>
              <w:t xml:space="preserve">60</w:t>
            </w:r>
          </w:p>
        </w:tc>
        <w:tc>
          <w:tcPr/>
          <w:p>
            <w:pPr>
              <w:pStyle w:val="Compact"/>
            </w:pPr>
            <w:r>
              <w:t xml:space="preserve">50</w:t>
            </w:r>
          </w:p>
        </w:tc>
        <w:tc>
          <w:tcPr/>
          <w:p>
            <w:pPr>
              <w:pStyle w:val="Compact"/>
            </w:pPr>
            <w:r>
              <w:t xml:space="preserve">600</w:t>
            </w:r>
          </w:p>
        </w:tc>
      </w:tr>
    </w:tbl>
    <w:bookmarkEnd w:id="77"/>
    <w:p>
      <w:r>
        <w:br w:type="page"/>
      </w:r>
    </w:p>
    <w:bookmarkStart w:id="78" w:name="tbl-default-means"/>
    <w:p>
      <w:pPr>
        <w:pStyle w:val="FigureTitle"/>
      </w:pPr>
      <w:r>
        <w:t xml:space="preserve">Table 2</w:t>
      </w:r>
    </w:p>
    <w:p>
      <w:pPr>
        <w:pStyle w:val="Caption"/>
      </w:pPr>
      <w:r>
        <w:t xml:space="preserve">Estimated expected response,</w:t>
      </w:r>
      <w:r>
        <w:t xml:space="preserve"> </w:t>
      </w:r>
      <m:oMath>
        <m:r>
          <m:t>E</m:t>
        </m:r>
        <m:r>
          <m:rPr>
            <m:sty m:val="p"/>
          </m:rPr>
          <m:t>(</m:t>
        </m:r>
        <m:r>
          <m:t>R</m:t>
        </m:r>
        <m:r>
          <m:t>T</m:t>
        </m:r>
        <m:r>
          <m:rPr>
            <m:sty m:val="p"/>
          </m:rPr>
          <m:t>)</m:t>
        </m:r>
      </m:oMath>
      <w:r>
        <w:t xml:space="preserve">, by condition from the default brms model.</w:t>
      </w:r>
    </w:p>
    <w:tbl>
      <w:tblPr>
        <w:tblStyle w:val="Table"/>
        <w:tblW w:type="pct" w:w="2847"/>
        <w:tblLayout w:type="fixed"/>
        <w:tblLook w:firstRow="1" w:lastRow="0" w:firstColumn="0" w:lastColumn="0" w:noHBand="0" w:noVBand="0" w:val="0020"/>
      </w:tblPr>
      <w:tblGrid>
        <w:gridCol w:w="1210"/>
        <w:gridCol w:w="880"/>
        <w:gridCol w:w="1870"/>
        <w:gridCol w:w="550"/>
      </w:tblGrid>
      <w:tr>
        <w:trPr>
          <w:tblHeader w:val="on"/>
        </w:trPr>
        <w:tc>
          <w:tcPr/>
          <w:p>
            <w:pPr>
              <w:pStyle w:val="Compact"/>
            </w:pPr>
            <w:r>
              <w:t xml:space="preserve">Blur</w:t>
            </w:r>
          </w:p>
        </w:tc>
        <w:tc>
          <w:tcPr/>
          <w:p>
            <w:pPr>
              <w:pStyle w:val="Compact"/>
            </w:pPr>
            <w:r>
              <w:t xml:space="preserve">Mu</w:t>
            </w:r>
          </w:p>
        </w:tc>
        <w:tc>
          <w:tcPr/>
          <w:p>
            <w:pPr>
              <w:pStyle w:val="Compact"/>
            </w:pPr>
            <w:r>
              <w:t xml:space="preserve">95% CrI</w:t>
            </w:r>
          </w:p>
        </w:tc>
        <w:tc>
          <w:tcPr/>
          <w:p>
            <w:pPr>
              <w:pStyle w:val="Compact"/>
            </w:pPr>
            <w:r>
              <w:t xml:space="preserve">pd</w:t>
            </w:r>
          </w:p>
        </w:tc>
      </w:tr>
      <w:tr>
        <w:tc>
          <w:tcPr/>
          <w:p>
            <w:pPr>
              <w:pStyle w:val="Compact"/>
            </w:pPr>
            <w:r>
              <w:t xml:space="preserve">Clear</w:t>
            </w:r>
          </w:p>
        </w:tc>
        <w:tc>
          <w:tcPr/>
          <w:p>
            <w:pPr>
              <w:pStyle w:val="Compact"/>
            </w:pPr>
            <w:r>
              <w:t xml:space="preserve">599.8</w:t>
            </w:r>
          </w:p>
        </w:tc>
        <w:tc>
          <w:tcPr/>
          <w:p>
            <w:pPr>
              <w:pStyle w:val="Compact"/>
            </w:pPr>
            <w:r>
              <w:t xml:space="preserve">[577.9, 623.5]</w:t>
            </w:r>
          </w:p>
        </w:tc>
        <w:tc>
          <w:tcPr/>
          <w:p>
            <w:pPr>
              <w:pStyle w:val="Compact"/>
            </w:pPr>
            <w:r>
              <w:t xml:space="preserve">1</w:t>
            </w:r>
          </w:p>
        </w:tc>
      </w:tr>
      <w:tr>
        <w:tc>
          <w:tcPr/>
          <w:p>
            <w:pPr>
              <w:pStyle w:val="Compact"/>
            </w:pPr>
            <w:r>
              <w:t xml:space="preserve">Low-Blur</w:t>
            </w:r>
          </w:p>
        </w:tc>
        <w:tc>
          <w:tcPr/>
          <w:p>
            <w:pPr>
              <w:pStyle w:val="Compact"/>
            </w:pPr>
            <w:r>
              <w:t xml:space="preserve">602.5</w:t>
            </w:r>
          </w:p>
        </w:tc>
        <w:tc>
          <w:tcPr/>
          <w:p>
            <w:pPr>
              <w:pStyle w:val="Compact"/>
            </w:pPr>
            <w:r>
              <w:t xml:space="preserve">[588.7, 617.4]</w:t>
            </w:r>
          </w:p>
        </w:tc>
        <w:tc>
          <w:tcPr/>
          <w:p>
            <w:pPr>
              <w:pStyle w:val="Compact"/>
            </w:pPr>
            <w:r>
              <w:t xml:space="preserve">1</w:t>
            </w:r>
          </w:p>
        </w:tc>
      </w:tr>
    </w:tbl>
    <w:bookmarkEnd w:id="78"/>
    <w:p>
      <w:r>
        <w:br w:type="page"/>
      </w:r>
    </w:p>
    <w:bookmarkStart w:id="79" w:name="tbl-default-contrast"/>
    <w:p>
      <w:pPr>
        <w:pStyle w:val="FigureTitle"/>
      </w:pPr>
      <w:r>
        <w:t xml:space="preserve">Table 3</w:t>
      </w:r>
    </w:p>
    <w:p>
      <w:pPr>
        <w:pStyle w:val="Caption"/>
      </w:pPr>
      <w:r>
        <w:t xml:space="preserve">Blur contrast in the expected response from the default brms model.</w:t>
      </w:r>
    </w:p>
    <w:tbl>
      <w:tblPr>
        <w:tblStyle w:val="Table"/>
        <w:tblW w:type="pct" w:w="3333"/>
        <w:tblLayout w:type="fixed"/>
        <w:tblLook w:firstRow="1" w:lastRow="0" w:firstColumn="0" w:lastColumn="0" w:noHBand="0" w:noVBand="0" w:val="0020"/>
      </w:tblPr>
      <w:tblGrid>
        <w:gridCol w:w="2090"/>
        <w:gridCol w:w="770"/>
        <w:gridCol w:w="1540"/>
        <w:gridCol w:w="880"/>
      </w:tblGrid>
      <w:tr>
        <w:trPr>
          <w:tblHeader w:val="on"/>
        </w:trPr>
        <w:tc>
          <w:tcPr/>
          <w:p>
            <w:pPr>
              <w:pStyle w:val="Compact"/>
            </w:pPr>
            <w:r>
              <w:t xml:space="preserve">Contrast</w:t>
            </w:r>
          </w:p>
        </w:tc>
        <w:tc>
          <w:tcPr/>
          <w:p>
            <w:pPr>
              <w:pStyle w:val="Compact"/>
            </w:pPr>
            <w:r>
              <w:t xml:space="preserve">Mean</w:t>
            </w:r>
          </w:p>
        </w:tc>
        <w:tc>
          <w:tcPr/>
          <w:p>
            <w:pPr>
              <w:pStyle w:val="Compact"/>
            </w:pPr>
            <w:r>
              <w:t xml:space="preserve">95% CrI</w:t>
            </w:r>
          </w:p>
        </w:tc>
        <w:tc>
          <w:tcPr/>
          <w:p>
            <w:pPr>
              <w:pStyle w:val="Compact"/>
            </w:pPr>
            <w:r>
              <w:t xml:space="preserve">pd</w:t>
            </w:r>
          </w:p>
        </w:tc>
      </w:tr>
      <w:tr>
        <w:tc>
          <w:tcPr/>
          <w:p>
            <w:pPr>
              <w:pStyle w:val="Compact"/>
            </w:pPr>
            <w:r>
              <w:t xml:space="preserve">Low-Blur - Clear</w:t>
            </w:r>
          </w:p>
        </w:tc>
        <w:tc>
          <w:tcPr/>
          <w:p>
            <w:pPr>
              <w:pStyle w:val="Compact"/>
            </w:pPr>
            <w:r>
              <w:t xml:space="preserve">2.7</w:t>
            </w:r>
          </w:p>
        </w:tc>
        <w:tc>
          <w:tcPr/>
          <w:p>
            <w:pPr>
              <w:pStyle w:val="Compact"/>
            </w:pPr>
            <w:r>
              <w:t xml:space="preserve">[-24.5, 28]</w:t>
            </w:r>
          </w:p>
        </w:tc>
        <w:tc>
          <w:tcPr/>
          <w:p>
            <w:pPr>
              <w:pStyle w:val="Compact"/>
            </w:pPr>
            <w:r>
              <w:t xml:space="preserve">0.593</w:t>
            </w:r>
          </w:p>
        </w:tc>
      </w:tr>
    </w:tbl>
    <w:bookmarkEnd w:id="79"/>
    <w:p>
      <w:r>
        <w:br w:type="page"/>
      </w:r>
    </w:p>
    <w:bookmarkStart w:id="80" w:name="tbl-default-beta"/>
    <w:p>
      <w:pPr>
        <w:pStyle w:val="FigureTitle"/>
      </w:pPr>
      <w:r>
        <w:t xml:space="preserve">Table 4</w:t>
      </w:r>
    </w:p>
    <w:p>
      <w:pPr>
        <w:pStyle w:val="Caption"/>
      </w:pPr>
      <w:r>
        <w:t xml:space="preserve">Estimated exponential component (</w:t>
      </w:r>
      <w:r>
        <w:rPr>
          <w:rStyle w:val="VerbatimChar"/>
        </w:rPr>
        <w:t xml:space="preserve">beta</w:t>
      </w:r>
      <w:r>
        <w:t xml:space="preserve">) by condition from the default brms model.</w:t>
      </w:r>
    </w:p>
    <w:tbl>
      <w:tblPr>
        <w:tblStyle w:val="Table"/>
        <w:tblW w:type="pct" w:w="2778"/>
        <w:tblLayout w:type="fixed"/>
        <w:tblLook w:firstRow="1" w:lastRow="0" w:firstColumn="0" w:lastColumn="0" w:noHBand="0" w:noVBand="0" w:val="0020"/>
      </w:tblPr>
      <w:tblGrid>
        <w:gridCol w:w="1210"/>
        <w:gridCol w:w="880"/>
        <w:gridCol w:w="1760"/>
        <w:gridCol w:w="550"/>
      </w:tblGrid>
      <w:tr>
        <w:trPr>
          <w:tblHeader w:val="on"/>
        </w:trPr>
        <w:tc>
          <w:tcPr/>
          <w:p>
            <w:pPr>
              <w:pStyle w:val="Compact"/>
            </w:pPr>
            <w:r>
              <w:t xml:space="preserve">Blur</w:t>
            </w:r>
          </w:p>
        </w:tc>
        <w:tc>
          <w:tcPr/>
          <w:p>
            <w:pPr>
              <w:pStyle w:val="Compact"/>
            </w:pPr>
            <w:r>
              <w:t xml:space="preserve">Beta</w:t>
            </w:r>
          </w:p>
        </w:tc>
        <w:tc>
          <w:tcPr/>
          <w:p>
            <w:pPr>
              <w:pStyle w:val="Compact"/>
            </w:pPr>
            <w:r>
              <w:t xml:space="preserve">95% CrI</w:t>
            </w:r>
          </w:p>
        </w:tc>
        <w:tc>
          <w:tcPr/>
          <w:p>
            <w:pPr>
              <w:pStyle w:val="Compact"/>
            </w:pPr>
            <w:r>
              <w:t xml:space="preserve">pd</w:t>
            </w:r>
          </w:p>
        </w:tc>
      </w:tr>
      <w:tr>
        <w:tc>
          <w:tcPr/>
          <w:p>
            <w:pPr>
              <w:pStyle w:val="Compact"/>
            </w:pPr>
            <w:r>
              <w:t xml:space="preserve">Clear</w:t>
            </w:r>
          </w:p>
        </w:tc>
        <w:tc>
          <w:tcPr/>
          <w:p>
            <w:pPr>
              <w:pStyle w:val="Compact"/>
            </w:pPr>
            <w:r>
              <w:t xml:space="preserve">109.3</w:t>
            </w:r>
          </w:p>
        </w:tc>
        <w:tc>
          <w:tcPr/>
          <w:p>
            <w:pPr>
              <w:pStyle w:val="Compact"/>
            </w:pPr>
            <w:r>
              <w:t xml:space="preserve">[83.6, 140.6]</w:t>
            </w:r>
          </w:p>
        </w:tc>
        <w:tc>
          <w:tcPr/>
          <w:p>
            <w:pPr>
              <w:pStyle w:val="Compact"/>
            </w:pPr>
            <w:r>
              <w:t xml:space="preserve">1</w:t>
            </w:r>
          </w:p>
        </w:tc>
      </w:tr>
      <w:tr>
        <w:tc>
          <w:tcPr/>
          <w:p>
            <w:pPr>
              <w:pStyle w:val="Compact"/>
            </w:pPr>
            <w:r>
              <w:t xml:space="preserve">Low-Blur</w:t>
            </w:r>
          </w:p>
        </w:tc>
        <w:tc>
          <w:tcPr/>
          <w:p>
            <w:pPr>
              <w:pStyle w:val="Compact"/>
            </w:pPr>
            <w:r>
              <w:t xml:space="preserve">45.5</w:t>
            </w:r>
          </w:p>
        </w:tc>
        <w:tc>
          <w:tcPr/>
          <w:p>
            <w:pPr>
              <w:pStyle w:val="Compact"/>
            </w:pPr>
            <w:r>
              <w:t xml:space="preserve">[26.3, 67.7]</w:t>
            </w:r>
          </w:p>
        </w:tc>
        <w:tc>
          <w:tcPr/>
          <w:p>
            <w:pPr>
              <w:pStyle w:val="Compact"/>
            </w:pPr>
            <w:r>
              <w:t xml:space="preserve">1</w:t>
            </w:r>
          </w:p>
        </w:tc>
      </w:tr>
    </w:tbl>
    <w:bookmarkEnd w:id="80"/>
    <w:p>
      <w:r>
        <w:br w:type="page"/>
      </w:r>
    </w:p>
    <w:bookmarkStart w:id="81" w:name="tbl-default-beta-contrast"/>
    <w:p>
      <w:pPr>
        <w:pStyle w:val="FigureTitle"/>
      </w:pPr>
      <w:r>
        <w:t xml:space="preserve">Table 5</w:t>
      </w:r>
    </w:p>
    <w:p>
      <w:pPr>
        <w:pStyle w:val="Caption"/>
      </w:pPr>
      <w:r>
        <w:t xml:space="preserve">Blur contrast in the exponential component (</w:t>
      </w:r>
      <w:r>
        <w:rPr>
          <w:rStyle w:val="VerbatimChar"/>
        </w:rPr>
        <w:t xml:space="preserve">beta</w:t>
      </w:r>
      <w:r>
        <w:t xml:space="preserve">) from the default brms model.</w:t>
      </w:r>
    </w:p>
    <w:tbl>
      <w:tblPr>
        <w:tblStyle w:val="Table"/>
        <w:tblW w:type="pct" w:w="3403"/>
        <w:tblLayout w:type="fixed"/>
        <w:tblLook w:firstRow="1" w:lastRow="0" w:firstColumn="0" w:lastColumn="0" w:noHBand="0" w:noVBand="0" w:val="0020"/>
      </w:tblPr>
      <w:tblGrid>
        <w:gridCol w:w="2090"/>
        <w:gridCol w:w="880"/>
        <w:gridCol w:w="1870"/>
        <w:gridCol w:w="550"/>
      </w:tblGrid>
      <w:tr>
        <w:trPr>
          <w:tblHeader w:val="on"/>
        </w:trPr>
        <w:tc>
          <w:tcPr/>
          <w:p>
            <w:pPr>
              <w:pStyle w:val="Compact"/>
            </w:pPr>
            <w:r>
              <w:t xml:space="preserve">Contrast</w:t>
            </w:r>
          </w:p>
        </w:tc>
        <w:tc>
          <w:tcPr/>
          <w:p>
            <w:pPr>
              <w:pStyle w:val="Compact"/>
            </w:pPr>
            <w:r>
              <w:t xml:space="preserve">Mean</w:t>
            </w:r>
          </w:p>
        </w:tc>
        <w:tc>
          <w:tcPr/>
          <w:p>
            <w:pPr>
              <w:pStyle w:val="Compact"/>
            </w:pPr>
            <w:r>
              <w:t xml:space="preserve">95% CrI</w:t>
            </w:r>
          </w:p>
        </w:tc>
        <w:tc>
          <w:tcPr/>
          <w:p>
            <w:pPr>
              <w:pStyle w:val="Compact"/>
            </w:pPr>
            <w:r>
              <w:t xml:space="preserve">pd</w:t>
            </w:r>
          </w:p>
        </w:tc>
      </w:tr>
      <w:tr>
        <w:tc>
          <w:tcPr/>
          <w:p>
            <w:pPr>
              <w:pStyle w:val="Compact"/>
            </w:pPr>
            <w:r>
              <w:t xml:space="preserve">Low-Blur - Clear</w:t>
            </w:r>
          </w:p>
        </w:tc>
        <w:tc>
          <w:tcPr/>
          <w:p>
            <w:pPr>
              <w:pStyle w:val="Compact"/>
            </w:pPr>
            <w:r>
              <w:t xml:space="preserve">-63.8</w:t>
            </w:r>
          </w:p>
        </w:tc>
        <w:tc>
          <w:tcPr/>
          <w:p>
            <w:pPr>
              <w:pStyle w:val="Compact"/>
            </w:pPr>
            <w:r>
              <w:t xml:space="preserve">[-96.1, -34.4]</w:t>
            </w:r>
          </w:p>
        </w:tc>
        <w:tc>
          <w:tcPr/>
          <w:p>
            <w:pPr>
              <w:pStyle w:val="Compact"/>
            </w:pPr>
            <w:r>
              <w:t xml:space="preserve">1</w:t>
            </w:r>
          </w:p>
        </w:tc>
      </w:tr>
    </w:tbl>
    <w:bookmarkEnd w:id="81"/>
    <w:p>
      <w:r>
        <w:br w:type="page"/>
      </w:r>
    </w:p>
    <w:bookmarkStart w:id="82" w:name="tbl-classical-mu"/>
    <w:p>
      <w:pPr>
        <w:pStyle w:val="FigureTitle"/>
      </w:pPr>
      <w:r>
        <w:t xml:space="preserve">Table 6</w:t>
      </w:r>
    </w:p>
    <w:p>
      <w:pPr>
        <w:pStyle w:val="Caption"/>
      </w:pPr>
      <w:r>
        <w:t xml:space="preserve">Estimated Gaussian-location parameter (</w:t>
      </w:r>
      <m:oMath>
        <m:r>
          <m:t>μ</m:t>
        </m:r>
      </m:oMath>
      <w:r>
        <w:t xml:space="preserve">) by condition from the classical model.</w:t>
      </w:r>
    </w:p>
    <w:tbl>
      <w:tblPr>
        <w:tblStyle w:val="Table"/>
        <w:tblW w:type="pct" w:w="2847"/>
        <w:tblLayout w:type="fixed"/>
        <w:tblLook w:firstRow="1" w:lastRow="0" w:firstColumn="0" w:lastColumn="0" w:noHBand="0" w:noVBand="0" w:val="0020"/>
      </w:tblPr>
      <w:tblGrid>
        <w:gridCol w:w="1210"/>
        <w:gridCol w:w="880"/>
        <w:gridCol w:w="1870"/>
        <w:gridCol w:w="550"/>
      </w:tblGrid>
      <w:tr>
        <w:trPr>
          <w:tblHeader w:val="on"/>
        </w:trPr>
        <w:tc>
          <w:tcPr/>
          <w:p>
            <w:pPr>
              <w:pStyle w:val="Compact"/>
            </w:pPr>
            <w:r>
              <w:t xml:space="preserve">Blur</w:t>
            </w:r>
          </w:p>
        </w:tc>
        <w:tc>
          <w:tcPr/>
          <w:p>
            <w:pPr>
              <w:pStyle w:val="Compact"/>
            </w:pPr>
            <w:r>
              <w:t xml:space="preserve">Mu</w:t>
            </w:r>
          </w:p>
        </w:tc>
        <w:tc>
          <w:tcPr/>
          <w:p>
            <w:pPr>
              <w:pStyle w:val="Compact"/>
            </w:pPr>
            <w:r>
              <w:t xml:space="preserve">95% CrI</w:t>
            </w:r>
          </w:p>
        </w:tc>
        <w:tc>
          <w:tcPr/>
          <w:p>
            <w:pPr>
              <w:pStyle w:val="Compact"/>
            </w:pPr>
            <w:r>
              <w:t xml:space="preserve">pd</w:t>
            </w:r>
          </w:p>
        </w:tc>
      </w:tr>
      <w:tr>
        <w:tc>
          <w:tcPr/>
          <w:p>
            <w:pPr>
              <w:pStyle w:val="Compact"/>
            </w:pPr>
            <w:r>
              <w:t xml:space="preserve">Clear</w:t>
            </w:r>
          </w:p>
        </w:tc>
        <w:tc>
          <w:tcPr/>
          <w:p>
            <w:pPr>
              <w:pStyle w:val="Compact"/>
            </w:pPr>
            <w:r>
              <w:t xml:space="preserve">493.3</w:t>
            </w:r>
          </w:p>
        </w:tc>
        <w:tc>
          <w:tcPr/>
          <w:p>
            <w:pPr>
              <w:pStyle w:val="Compact"/>
            </w:pPr>
            <w:r>
              <w:t xml:space="preserve">[471.6, 514.6]</w:t>
            </w:r>
          </w:p>
        </w:tc>
        <w:tc>
          <w:tcPr/>
          <w:p>
            <w:pPr>
              <w:pStyle w:val="Compact"/>
            </w:pPr>
            <w:r>
              <w:t xml:space="preserve">1</w:t>
            </w:r>
          </w:p>
        </w:tc>
      </w:tr>
      <w:tr>
        <w:tc>
          <w:tcPr/>
          <w:p>
            <w:pPr>
              <w:pStyle w:val="Compact"/>
            </w:pPr>
            <w:r>
              <w:t xml:space="preserve">Low-Blur</w:t>
            </w:r>
          </w:p>
        </w:tc>
        <w:tc>
          <w:tcPr/>
          <w:p>
            <w:pPr>
              <w:pStyle w:val="Compact"/>
            </w:pPr>
            <w:r>
              <w:t xml:space="preserve">555.0</w:t>
            </w:r>
          </w:p>
        </w:tc>
        <w:tc>
          <w:tcPr/>
          <w:p>
            <w:pPr>
              <w:pStyle w:val="Compact"/>
            </w:pPr>
            <w:r>
              <w:t xml:space="preserve">[533.9, 575.5]</w:t>
            </w:r>
          </w:p>
        </w:tc>
        <w:tc>
          <w:tcPr/>
          <w:p>
            <w:pPr>
              <w:pStyle w:val="Compact"/>
            </w:pPr>
            <w:r>
              <w:t xml:space="preserve">1</w:t>
            </w:r>
          </w:p>
        </w:tc>
      </w:tr>
    </w:tbl>
    <w:bookmarkEnd w:id="82"/>
    <w:p>
      <w:r>
        <w:br w:type="page"/>
      </w:r>
    </w:p>
    <w:bookmarkStart w:id="83" w:name="tbl-classical-mu-contrast"/>
    <w:p>
      <w:pPr>
        <w:pStyle w:val="FigureTitle"/>
      </w:pPr>
      <w:r>
        <w:t xml:space="preserve">Table 7</w:t>
      </w:r>
    </w:p>
    <w:p>
      <w:pPr>
        <w:pStyle w:val="Caption"/>
      </w:pPr>
      <w:r>
        <w:t xml:space="preserve">Blur contrast in the Gaussian-location parameter (</w:t>
      </w:r>
      <m:oMath>
        <m:r>
          <m:t>μ</m:t>
        </m:r>
      </m:oMath>
      <w:r>
        <w:t xml:space="preserve">) from the classical model.</w:t>
      </w:r>
    </w:p>
    <w:tbl>
      <w:tblPr>
        <w:tblStyle w:val="Table"/>
        <w:tblW w:type="pct" w:w="3194"/>
        <w:tblLayout w:type="fixed"/>
        <w:tblLook w:firstRow="1" w:lastRow="0" w:firstColumn="0" w:lastColumn="0" w:noHBand="0" w:noVBand="0" w:val="0020"/>
      </w:tblPr>
      <w:tblGrid>
        <w:gridCol w:w="2090"/>
        <w:gridCol w:w="770"/>
        <w:gridCol w:w="1650"/>
        <w:gridCol w:w="550"/>
      </w:tblGrid>
      <w:tr>
        <w:trPr>
          <w:tblHeader w:val="on"/>
        </w:trPr>
        <w:tc>
          <w:tcPr/>
          <w:p>
            <w:pPr>
              <w:pStyle w:val="Compact"/>
            </w:pPr>
            <w:r>
              <w:t xml:space="preserve">Contrast</w:t>
            </w:r>
          </w:p>
        </w:tc>
        <w:tc>
          <w:tcPr/>
          <w:p>
            <w:pPr>
              <w:pStyle w:val="Compact"/>
            </w:pPr>
            <w:r>
              <w:t xml:space="preserve">Mean</w:t>
            </w:r>
          </w:p>
        </w:tc>
        <w:tc>
          <w:tcPr/>
          <w:p>
            <w:pPr>
              <w:pStyle w:val="Compact"/>
            </w:pPr>
            <w:r>
              <w:t xml:space="preserve">95% CrI</w:t>
            </w:r>
          </w:p>
        </w:tc>
        <w:tc>
          <w:tcPr/>
          <w:p>
            <w:pPr>
              <w:pStyle w:val="Compact"/>
            </w:pPr>
            <w:r>
              <w:t xml:space="preserve">pd</w:t>
            </w:r>
          </w:p>
        </w:tc>
      </w:tr>
      <w:tr>
        <w:tc>
          <w:tcPr/>
          <w:p>
            <w:pPr>
              <w:pStyle w:val="Compact"/>
            </w:pPr>
            <w:r>
              <w:t xml:space="preserve">Low-Blur - Clear</w:t>
            </w:r>
          </w:p>
        </w:tc>
        <w:tc>
          <w:tcPr/>
          <w:p>
            <w:pPr>
              <w:pStyle w:val="Compact"/>
            </w:pPr>
            <w:r>
              <w:t xml:space="preserve">61.7</w:t>
            </w:r>
          </w:p>
        </w:tc>
        <w:tc>
          <w:tcPr/>
          <w:p>
            <w:pPr>
              <w:pStyle w:val="Compact"/>
            </w:pPr>
            <w:r>
              <w:t xml:space="preserve">[35.4, 88.9]</w:t>
            </w:r>
          </w:p>
        </w:tc>
        <w:tc>
          <w:tcPr/>
          <w:p>
            <w:pPr>
              <w:pStyle w:val="Compact"/>
            </w:pPr>
            <w:r>
              <w:t xml:space="preserve">1</w:t>
            </w:r>
          </w:p>
        </w:tc>
      </w:tr>
    </w:tbl>
    <w:bookmarkEnd w:id="83"/>
    <w:p>
      <w:r>
        <w:br w:type="page"/>
      </w:r>
    </w:p>
    <w:bookmarkStart w:id="84" w:name="tbl-classical-tau"/>
    <w:p>
      <w:pPr>
        <w:pStyle w:val="FigureTitle"/>
      </w:pPr>
      <w:r>
        <w:t xml:space="preserve">Table 8</w:t>
      </w:r>
    </w:p>
    <w:p>
      <w:pPr>
        <w:pStyle w:val="Caption"/>
      </w:pPr>
      <w:r>
        <w:t xml:space="preserve">Estimated exponential component (</w:t>
      </w:r>
      <m:oMath>
        <m:r>
          <m:t>τ</m:t>
        </m:r>
      </m:oMath>
      <w:r>
        <w:t xml:space="preserve">) by condition from the classical model.</w:t>
      </w:r>
    </w:p>
    <w:tbl>
      <w:tblPr>
        <w:tblStyle w:val="Table"/>
        <w:tblW w:type="pct" w:w="2778"/>
        <w:tblLayout w:type="fixed"/>
        <w:tblLook w:firstRow="1" w:lastRow="0" w:firstColumn="0" w:lastColumn="0" w:noHBand="0" w:noVBand="0" w:val="0020"/>
      </w:tblPr>
      <w:tblGrid>
        <w:gridCol w:w="1210"/>
        <w:gridCol w:w="880"/>
        <w:gridCol w:w="1760"/>
        <w:gridCol w:w="550"/>
      </w:tblGrid>
      <w:tr>
        <w:trPr>
          <w:tblHeader w:val="on"/>
        </w:trPr>
        <w:tc>
          <w:tcPr/>
          <w:p>
            <w:pPr>
              <w:pStyle w:val="Compact"/>
            </w:pPr>
            <w:r>
              <w:t xml:space="preserve">Blur</w:t>
            </w:r>
          </w:p>
        </w:tc>
        <w:tc>
          <w:tcPr/>
          <w:p>
            <w:pPr>
              <w:pStyle w:val="Compact"/>
            </w:pPr>
            <w:r>
              <w:t xml:space="preserve">Mean</w:t>
            </w:r>
          </w:p>
        </w:tc>
        <w:tc>
          <w:tcPr/>
          <w:p>
            <w:pPr>
              <w:pStyle w:val="Compact"/>
            </w:pPr>
            <w:r>
              <w:t xml:space="preserve">95% CrI</w:t>
            </w:r>
          </w:p>
        </w:tc>
        <w:tc>
          <w:tcPr/>
          <w:p>
            <w:pPr>
              <w:pStyle w:val="Compact"/>
            </w:pPr>
            <w:r>
              <w:t xml:space="preserve">pd</w:t>
            </w:r>
          </w:p>
        </w:tc>
      </w:tr>
      <w:tr>
        <w:tc>
          <w:tcPr/>
          <w:p>
            <w:pPr>
              <w:pStyle w:val="Compact"/>
            </w:pPr>
            <w:r>
              <w:t xml:space="preserve">Clear</w:t>
            </w:r>
          </w:p>
        </w:tc>
        <w:tc>
          <w:tcPr/>
          <w:p>
            <w:pPr>
              <w:pStyle w:val="Compact"/>
            </w:pPr>
            <w:r>
              <w:t xml:space="preserve">107.2</w:t>
            </w:r>
          </w:p>
        </w:tc>
        <w:tc>
          <w:tcPr/>
          <w:p>
            <w:pPr>
              <w:pStyle w:val="Compact"/>
            </w:pPr>
            <w:r>
              <w:t xml:space="preserve">[81.5, 137.6]</w:t>
            </w:r>
          </w:p>
        </w:tc>
        <w:tc>
          <w:tcPr/>
          <w:p>
            <w:pPr>
              <w:pStyle w:val="Compact"/>
            </w:pPr>
            <w:r>
              <w:t xml:space="preserve">1</w:t>
            </w:r>
          </w:p>
        </w:tc>
      </w:tr>
      <w:tr>
        <w:tc>
          <w:tcPr/>
          <w:p>
            <w:pPr>
              <w:pStyle w:val="Compact"/>
            </w:pPr>
            <w:r>
              <w:t xml:space="preserve">Low-Blur</w:t>
            </w:r>
          </w:p>
        </w:tc>
        <w:tc>
          <w:tcPr/>
          <w:p>
            <w:pPr>
              <w:pStyle w:val="Compact"/>
            </w:pPr>
            <w:r>
              <w:t xml:space="preserve">46.7</w:t>
            </w:r>
          </w:p>
        </w:tc>
        <w:tc>
          <w:tcPr/>
          <w:p>
            <w:pPr>
              <w:pStyle w:val="Compact"/>
            </w:pPr>
            <w:r>
              <w:t xml:space="preserve">[27.3, 68.3]</w:t>
            </w:r>
          </w:p>
        </w:tc>
        <w:tc>
          <w:tcPr/>
          <w:p>
            <w:pPr>
              <w:pStyle w:val="Compact"/>
            </w:pPr>
            <w:r>
              <w:t xml:space="preserve">1</w:t>
            </w:r>
          </w:p>
        </w:tc>
      </w:tr>
    </w:tbl>
    <w:bookmarkEnd w:id="84"/>
    <w:p>
      <w:r>
        <w:br w:type="page"/>
      </w:r>
    </w:p>
    <w:bookmarkStart w:id="85" w:name="tbl-classical-tau-contrast"/>
    <w:p>
      <w:pPr>
        <w:pStyle w:val="FigureTitle"/>
      </w:pPr>
      <w:r>
        <w:t xml:space="preserve">Table 9</w:t>
      </w:r>
    </w:p>
    <w:p>
      <w:pPr>
        <w:pStyle w:val="Caption"/>
      </w:pPr>
      <w:r>
        <w:t xml:space="preserve">Blur contrast in the exponential component (</w:t>
      </w:r>
      <m:oMath>
        <m:r>
          <m:t>τ</m:t>
        </m:r>
      </m:oMath>
      <w:r>
        <w:t xml:space="preserve">) from the classical model.</w:t>
      </w:r>
    </w:p>
    <w:tbl>
      <w:tblPr>
        <w:tblStyle w:val="Table"/>
        <w:tblW w:type="pct" w:w="3403"/>
        <w:tblLayout w:type="fixed"/>
        <w:tblLook w:firstRow="1" w:lastRow="0" w:firstColumn="0" w:lastColumn="0" w:noHBand="0" w:noVBand="0" w:val="0020"/>
      </w:tblPr>
      <w:tblGrid>
        <w:gridCol w:w="2090"/>
        <w:gridCol w:w="880"/>
        <w:gridCol w:w="1870"/>
        <w:gridCol w:w="550"/>
      </w:tblGrid>
      <w:tr>
        <w:trPr>
          <w:tblHeader w:val="on"/>
        </w:trPr>
        <w:tc>
          <w:tcPr/>
          <w:p>
            <w:pPr>
              <w:pStyle w:val="Compact"/>
            </w:pPr>
            <w:r>
              <w:t xml:space="preserve">Contrast</w:t>
            </w:r>
          </w:p>
        </w:tc>
        <w:tc>
          <w:tcPr/>
          <w:p>
            <w:pPr>
              <w:pStyle w:val="Compact"/>
            </w:pPr>
            <w:r>
              <w:t xml:space="preserve">Mean</w:t>
            </w:r>
          </w:p>
        </w:tc>
        <w:tc>
          <w:tcPr/>
          <w:p>
            <w:pPr>
              <w:pStyle w:val="Compact"/>
            </w:pPr>
            <w:r>
              <w:t xml:space="preserve">95% CrI</w:t>
            </w:r>
          </w:p>
        </w:tc>
        <w:tc>
          <w:tcPr/>
          <w:p>
            <w:pPr>
              <w:pStyle w:val="Compact"/>
            </w:pPr>
            <w:r>
              <w:t xml:space="preserve">pd</w:t>
            </w:r>
          </w:p>
        </w:tc>
      </w:tr>
      <w:tr>
        <w:tc>
          <w:tcPr/>
          <w:p>
            <w:pPr>
              <w:pStyle w:val="Compact"/>
            </w:pPr>
            <w:r>
              <w:t xml:space="preserve">Low-Blur - Clear</w:t>
            </w:r>
          </w:p>
        </w:tc>
        <w:tc>
          <w:tcPr/>
          <w:p>
            <w:pPr>
              <w:pStyle w:val="Compact"/>
            </w:pPr>
            <w:r>
              <w:t xml:space="preserve">-60.5</w:t>
            </w:r>
          </w:p>
        </w:tc>
        <w:tc>
          <w:tcPr/>
          <w:p>
            <w:pPr>
              <w:pStyle w:val="Compact"/>
            </w:pPr>
            <w:r>
              <w:t xml:space="preserve">[-93.5, -30.8]</w:t>
            </w:r>
          </w:p>
        </w:tc>
        <w:tc>
          <w:tcPr/>
          <w:p>
            <w:pPr>
              <w:pStyle w:val="Compact"/>
            </w:pPr>
            <w:r>
              <w:t xml:space="preserve">1</w:t>
            </w:r>
          </w:p>
        </w:tc>
      </w:tr>
    </w:tbl>
    <w:bookmarkEnd w:id="85"/>
    <w:p>
      <w:r>
        <w:br w:type="page"/>
      </w:r>
    </w:p>
    <w:bookmarkEnd w:id="86"/>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jc w:val="left"/>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hyperlink" Id="rId44" Target="http://cdp.sagepub.com/content/20/3/160.short" TargetMode="External" /><Relationship Type="http://schemas.openxmlformats.org/officeDocument/2006/relationships/hyperlink" Id="rId52" Target="http://link.springer.com/article/10.3758/PBR.16.5.798" TargetMode="External" /><Relationship Type="http://schemas.openxmlformats.org/officeDocument/2006/relationships/hyperlink" Id="rId58" Target="https://doi.org/10.1037/0033-295X.83.3.190" TargetMode="External" /><Relationship Type="http://schemas.openxmlformats.org/officeDocument/2006/relationships/hyperlink" Id="rId63" Target="https://doi.org/10.1037/1082-989X.8.3.254" TargetMode="External" /><Relationship Type="http://schemas.openxmlformats.org/officeDocument/2006/relationships/hyperlink" Id="rId46" Target="https://doi.org/10.1137/141000671" TargetMode="External" /><Relationship Type="http://schemas.openxmlformats.org/officeDocument/2006/relationships/hyperlink" Id="rId61" Target="https://doi.org/10.1177/1745691617751884" TargetMode="External" /><Relationship Type="http://schemas.openxmlformats.org/officeDocument/2006/relationships/hyperlink" Id="rId48" Target="https://doi.org/10.18637/jss.v076.i01" TargetMode="External" /><Relationship Type="http://schemas.openxmlformats.org/officeDocument/2006/relationships/hyperlink" Id="rId54" Target="https://doi.org/10.31234/osf.io/ck3js_v1" TargetMode="External" /><Relationship Type="http://schemas.openxmlformats.org/officeDocument/2006/relationships/hyperlink" Id="rId50" Target="https://doi.org/10.5334/joc.469" TargetMode="External" /><Relationship Type="http://schemas.openxmlformats.org/officeDocument/2006/relationships/hyperlink" Id="rId27" Target="https://orcid.org/0000-0002-7459-4505" TargetMode="External" /><Relationship Type="http://schemas.openxmlformats.org/officeDocument/2006/relationships/hyperlink" Id="rId56" Target="https://www.R-project.org/" TargetMode="External" /><Relationship Type="http://schemas.openxmlformats.org/officeDocument/2006/relationships/hyperlink" Id="rId28" Target="mailto:drjasongeller@gmail.com" TargetMode="External" /></Relationships>
</file>

<file path=word/_rels/footnotes.xml.rels><?xml version="1.0" encoding="UTF-8"?><Relationships xmlns="http://schemas.openxmlformats.org/package/2006/relationships"><Relationship Type="http://schemas.openxmlformats.org/officeDocument/2006/relationships/hyperlink" Id="rId44" Target="http://cdp.sagepub.com/content/20/3/160.short" TargetMode="External" /><Relationship Type="http://schemas.openxmlformats.org/officeDocument/2006/relationships/hyperlink" Id="rId52" Target="http://link.springer.com/article/10.3758/PBR.16.5.798" TargetMode="External" /><Relationship Type="http://schemas.openxmlformats.org/officeDocument/2006/relationships/hyperlink" Id="rId58" Target="https://doi.org/10.1037/0033-295X.83.3.190" TargetMode="External" /><Relationship Type="http://schemas.openxmlformats.org/officeDocument/2006/relationships/hyperlink" Id="rId63" Target="https://doi.org/10.1037/1082-989X.8.3.254" TargetMode="External" /><Relationship Type="http://schemas.openxmlformats.org/officeDocument/2006/relationships/hyperlink" Id="rId46" Target="https://doi.org/10.1137/141000671" TargetMode="External" /><Relationship Type="http://schemas.openxmlformats.org/officeDocument/2006/relationships/hyperlink" Id="rId61" Target="https://doi.org/10.1177/1745691617751884" TargetMode="External" /><Relationship Type="http://schemas.openxmlformats.org/officeDocument/2006/relationships/hyperlink" Id="rId48" Target="https://doi.org/10.18637/jss.v076.i01" TargetMode="External" /><Relationship Type="http://schemas.openxmlformats.org/officeDocument/2006/relationships/hyperlink" Id="rId54" Target="https://doi.org/10.31234/osf.io/ck3js_v1" TargetMode="External" /><Relationship Type="http://schemas.openxmlformats.org/officeDocument/2006/relationships/hyperlink" Id="rId50" Target="https://doi.org/10.5334/joc.469" TargetMode="External" /><Relationship Type="http://schemas.openxmlformats.org/officeDocument/2006/relationships/hyperlink" Id="rId27" Target="https://orcid.org/0000-0002-7459-4505" TargetMode="External" /><Relationship Type="http://schemas.openxmlformats.org/officeDocument/2006/relationships/hyperlink" Id="rId56" Target="https://www.R-project.org/" TargetMode="External" /><Relationship Type="http://schemas.openxmlformats.org/officeDocument/2006/relationships/hyperlink" Id="rId28" Target="mailto:drjasongelle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THIS IS NOT THE EX-GAUSSIAN MODEL YOU ARE LOOKING FOR: ON THE DEFAULT PARAMETERIZATION OF BAYESIAN EX-GAUSSIAN MODELS IN BRMS</dc:description>
  <cp:keywords>ex-Gaussian, reaction time, Bayesian estimation, brms, parameterization</cp:keywords>
  <dcterms:created xsi:type="dcterms:W3CDTF">2026-07-07T18:13:18Z</dcterms:created>
  <dcterms:modified xsi:type="dcterms:W3CDTF">2026-07-07T18:13:18Z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The ex-Gaussian distribution is a popular tool for analyzing reaction-time (RT) data because it distinguishes the central portion of the distribution, summarized by the Gaussian parameters \mu and \sigma, from its positively skewed tail, summarized by the exponential parameter \tau. Bayesian ex-Gaussian models can now be fit easily with the {brms} package in R, but the default parameterization contains a subtle pitfall: the parameter labeled mu represents the mean of the full ex-Gaussian distribution, E(RT) = \mu + \tau, rather than the location of the Gaussian component. Consequently, effects estimated on the default mu describe changes in the overall mean and can obscure genuine shifts in the Gaussian component. Using simulated data in which the Gaussian location and the exponential tail move in opposite directions—holding the overall mean constant—I show that the default model returns a null effect on mu, whereas a classical parameterization recovers the true 50-ms shift. I provide annotated {brms} code for both parameterizations and argue that convenient software defaults should not replace careful attention to what a model’s parameters actually estimate.</vt:lpwstr>
  </property>
  <property fmtid="{D5CDD505-2E9C-101B-9397-08002B2CF9AE}" pid="5" name="apaauthor">
    <vt:lpwstr/>
  </property>
  <property fmtid="{D5CDD505-2E9C-101B-9397-08002B2CF9AE}" pid="6" name="apadate">
    <vt:lpwstr>2026-07-07</vt:lpwstr>
  </property>
  <property fmtid="{D5CDD505-2E9C-101B-9397-08002B2CF9AE}" pid="7" name="apatitle">
    <vt:lpwstr>THIS IS NOT THE EX-GAUSSIAN MODEL YOU ARE LOOKING FOR: ON THE DEFAULT PARAMETERIZATION OF BAYESIAN EX-GAUSSIAN MODELS IN BRMS</vt:lpwstr>
  </property>
  <property fmtid="{D5CDD505-2E9C-101B-9397-08002B2CF9AE}" pid="8" name="apatitledisplay">
    <vt:lpwstr>This Is Not the ex-Gaussian Model You Are Looking For: On the Default Parameterization of Bayesian ex-Gaussian Models in brms</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https://www.zotero.org/styles/apa</vt:lpwstr>
  </property>
  <property fmtid="{D5CDD505-2E9C-101B-9397-08002B2CF9AE}" pid="16" name="documentmode">
    <vt:lpwstr>man</vt:lpwstr>
  </property>
  <property fmtid="{D5CDD505-2E9C-101B-9397-08002B2CF9AE}" pid="17" name="engines">
    <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True</vt:lpwstr>
  </property>
  <property fmtid="{D5CDD505-2E9C-101B-9397-08002B2CF9AE}" pid="30" name="oneauthor">
    <vt:lpwstr>True</vt:lpwstr>
  </property>
  <property fmtid="{D5CDD505-2E9C-101B-9397-08002B2CF9AE}" pid="31" name="references">
    <vt:lpwstr/>
  </property>
  <property fmtid="{D5CDD505-2E9C-101B-9397-08002B2CF9AE}" pid="32" name="revealjs-plugins">
    <vt:lpwstr/>
  </property>
  <property fmtid="{D5CDD505-2E9C-101B-9397-08002B2CF9AE}" pid="33" name="shortitle">
    <vt:lpwstr>Ex-Gaussian Parameterization in brms</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3252</vt:lpwstr>
  </property>
  <property fmtid="{D5CDD505-2E9C-101B-9397-08002B2CF9AE}" pid="61" name="zerocitations">
    <vt:lpwstr>False</vt:lpwstr>
  </property>
</Properties>
</file>