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Diseño Arquitectónico de un Motor de Inferencia de LLMs en Rust: Layer-Streaming y Orquestación de Alto Rendimiento bajo Restricciones de VRAM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despliegue de Modelos de Lenguaje de Gran Escala (LLMs) con parámetros situados en el rango de 30B a 70B dentro de aceleradores gráficos con memoria de vídeo (VRAM) restringida (8GB a 16GB) constituye uno de los desafíos más complejos en la ingeniería de sistemas de inteligencia artificial. La arquitectura tradicional de inferencia exige que la totalidad de los pesos del modelo residan de forma contigua e ininterrumpida en la VRAM de la GPU para evitar latencias de transferencia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Sin embargo, mediante la implementación de técnicas avanzadas de transmisión capa por capa (</w:t>
      </w:r>
      <w:r w:rsidDel="00000000" w:rsidR="00000000" w:rsidRPr="00000000">
        <w:rPr>
          <w:rFonts w:ascii="Google Sans" w:cs="Google Sans" w:eastAsia="Google Sans" w:hAnsi="Google Sans"/>
          <w:i w:val="1"/>
          <w:iCs w:val="1"/>
          <w:rtl w:val="0"/>
        </w:rPr>
        <w:t xml:space="preserve">layer-streaming</w:t>
      </w:r>
      <w:r w:rsidDel="00000000" w:rsidR="00000000" w:rsidRPr="00000000">
        <w:rPr>
          <w:rFonts w:ascii="Google Sans" w:cs="Google Sans" w:eastAsia="Google Sans" w:hAnsi="Google Sans"/>
          <w:rtl w:val="0"/>
        </w:rPr>
        <w:t xml:space="preserve">), descarga dinámicamente orquestada (</w:t>
      </w:r>
      <w:r w:rsidDel="00000000" w:rsidR="00000000" w:rsidRPr="00000000">
        <w:rPr>
          <w:rFonts w:ascii="Google Sans" w:cs="Google Sans" w:eastAsia="Google Sans" w:hAnsi="Google Sans"/>
          <w:i w:val="1"/>
          <w:iCs w:val="1"/>
          <w:rtl w:val="0"/>
        </w:rPr>
        <w:t xml:space="preserve">offloading</w:t>
      </w:r>
      <w:r w:rsidDel="00000000" w:rsidR="00000000" w:rsidRPr="00000000">
        <w:rPr>
          <w:rFonts w:ascii="Google Sans" w:cs="Google Sans" w:eastAsia="Google Sans" w:hAnsi="Google Sans"/>
          <w:rtl w:val="0"/>
        </w:rPr>
        <w:t xml:space="preserve">) y tuberías de entrada/salida (I/O) asíncronas de ultra baja latencia, es posible superar estos límites físicos de memoria framebuffer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informe presenta un análisis técnico profundo, un benchmarking de arquitecturas del estado del arte y el diseño detallado para un motor de inferencia local escrito íntegramente en Rust. El sistema está optimizado para maximizar la saturación del bus PCI Express (PCIe) y reducir los tiempos de inactividad de las unidades de cómputo GPU (</w:t>
      </w:r>
      <w:r w:rsidDel="00000000" w:rsidR="00000000" w:rsidRPr="00000000">
        <w:rPr>
          <w:rFonts w:ascii="Google Sans" w:cs="Google Sans" w:eastAsia="Google Sans" w:hAnsi="Google Sans"/>
          <w:i w:val="1"/>
          <w:iCs w:val="1"/>
          <w:rtl w:val="0"/>
        </w:rPr>
        <w:t xml:space="preserve">compute stalls</w:t>
      </w:r>
      <w:r w:rsidDel="00000000" w:rsidR="00000000" w:rsidRPr="00000000">
        <w:rPr>
          <w:rFonts w:ascii="Google Sans" w:cs="Google Sans" w:eastAsia="Google Sans" w:hAnsi="Google Sans"/>
          <w:rtl w:val="0"/>
        </w:rPr>
        <w:t xml:space="preserve">), logrando altas tasas de generación de tokens bajo estrictas restricciones de VRAM.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Benchmark de Proyectos del Estado del Arte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mistral.rs (Rust / Candle)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repositorio mistral.rs representa una de las implementaciones más maduras de motores de inferencia en el ecosistema de Rust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Construido sobre el framework candle desarrollado por Hugging Face, integra soporte nativo para </w:t>
      </w:r>
      <w:r w:rsidDel="00000000" w:rsidR="00000000" w:rsidRPr="00000000">
        <w:rPr>
          <w:rFonts w:ascii="Google Sans" w:cs="Google Sans" w:eastAsia="Google Sans" w:hAnsi="Google Sans"/>
          <w:i w:val="1"/>
          <w:iCs w:val="1"/>
          <w:rtl w:val="0"/>
        </w:rPr>
        <w:t xml:space="preserve">PagedAttention</w:t>
      </w:r>
      <w:r w:rsidDel="00000000" w:rsidR="00000000" w:rsidRPr="00000000">
        <w:rPr>
          <w:rFonts w:ascii="Google Sans" w:cs="Google Sans" w:eastAsia="Google Sans" w:hAnsi="Google Sans"/>
          <w:rtl w:val="0"/>
        </w:rPr>
        <w:t xml:space="preserve">, cuantización </w:t>
      </w:r>
      <w:r w:rsidDel="00000000" w:rsidR="00000000" w:rsidRPr="00000000">
        <w:rPr>
          <w:rFonts w:ascii="Google Sans" w:cs="Google Sans" w:eastAsia="Google Sans" w:hAnsi="Google Sans"/>
          <w:i w:val="1"/>
          <w:iCs w:val="1"/>
          <w:rtl w:val="0"/>
        </w:rPr>
        <w:t xml:space="preserve">In-Situ</w:t>
      </w:r>
      <w:r w:rsidDel="00000000" w:rsidR="00000000" w:rsidRPr="00000000">
        <w:rPr>
          <w:rFonts w:ascii="Google Sans" w:cs="Google Sans" w:eastAsia="Google Sans" w:hAnsi="Google Sans"/>
          <w:rtl w:val="0"/>
        </w:rPr>
        <w:t xml:space="preserve"> (ISQ), </w:t>
      </w:r>
      <w:r w:rsidDel="00000000" w:rsidR="00000000" w:rsidRPr="00000000">
        <w:rPr>
          <w:rFonts w:ascii="Google Sans" w:cs="Google Sans" w:eastAsia="Google Sans" w:hAnsi="Google Sans"/>
          <w:i w:val="1"/>
          <w:iCs w:val="1"/>
          <w:rtl w:val="0"/>
        </w:rPr>
        <w:t xml:space="preserve">continuous batching</w:t>
      </w:r>
      <w:r w:rsidDel="00000000" w:rsidR="00000000" w:rsidRPr="00000000">
        <w:rPr>
          <w:rFonts w:ascii="Google Sans" w:cs="Google Sans" w:eastAsia="Google Sans" w:hAnsi="Google Sans"/>
          <w:rtl w:val="0"/>
        </w:rPr>
        <w:t xml:space="preserve"> y mapeo explícito de dispositivos (</w:t>
      </w:r>
      <w:r w:rsidDel="00000000" w:rsidR="00000000" w:rsidRPr="00000000">
        <w:rPr>
          <w:rFonts w:ascii="Google Sans" w:cs="Google Sans" w:eastAsia="Google Sans" w:hAnsi="Google Sans"/>
          <w:i w:val="1"/>
          <w:iCs w:val="1"/>
          <w:rtl w:val="0"/>
        </w:rPr>
        <w:t xml:space="preserve">device mapping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su arquitectura de orquestación, mistral.rs desacopla el servidor HTTP del motor de cómputo mediante un modelo de paso de mensajes concurrente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La interfaz pública web (basada en axum y tokio) recibe las solicitudes y las canaliza a través de transmisores y receptores multimodulo (tokio::sync::mpsc) hacia un hilo dedicado al motor (Engine)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Este motor mantiene el estado del planificador (</w:t>
      </w:r>
      <w:r w:rsidDel="00000000" w:rsidR="00000000" w:rsidRPr="00000000">
        <w:rPr>
          <w:rFonts w:ascii="Google Sans" w:cs="Google Sans" w:eastAsia="Google Sans" w:hAnsi="Google Sans"/>
          <w:i w:val="1"/>
          <w:iCs w:val="1"/>
          <w:rtl w:val="0"/>
        </w:rPr>
        <w:t xml:space="preserve">Scheduler</w:t>
      </w:r>
      <w:r w:rsidDel="00000000" w:rsidR="00000000" w:rsidRPr="00000000">
        <w:rPr>
          <w:rFonts w:ascii="Google Sans" w:cs="Google Sans" w:eastAsia="Google Sans" w:hAnsi="Google Sans"/>
          <w:rtl w:val="0"/>
        </w:rPr>
        <w:t xml:space="preserve">) e interactúa con los tensores de candle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La técnica ISQ le permite cargar modelos originalmente almacenados en precisión completa (FP16/BF16) y aplicar algoritmos de cuantización (tales como GGUF de 2 a 8 bits, FP8, AWQ o HQQ) directamente en la memoria del sistema durante la inicialización de la tubería, optimizando la huella de memoria del modelo antes de ejecutar las operaciones de inferencia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pesar de sus sólidas garantías de seguridad de memoria y ausencia de </w:t>
      </w:r>
      <w:r w:rsidDel="00000000" w:rsidR="00000000" w:rsidRPr="00000000">
        <w:rPr>
          <w:rFonts w:ascii="Google Sans" w:cs="Google Sans" w:eastAsia="Google Sans" w:hAnsi="Google Sans"/>
          <w:i w:val="1"/>
          <w:iCs w:val="1"/>
          <w:rtl w:val="0"/>
        </w:rPr>
        <w:t xml:space="preserve">Garbage Collector</w:t>
      </w:r>
      <w:r w:rsidDel="00000000" w:rsidR="00000000" w:rsidRPr="00000000">
        <w:rPr>
          <w:rFonts w:ascii="Google Sans" w:cs="Google Sans" w:eastAsia="Google Sans" w:hAnsi="Google Sans"/>
          <w:rtl w:val="0"/>
        </w:rPr>
        <w:t xml:space="preserve"> (GC), el cuello de botella estructural de mistral.rs reside en su dependencia de la abstracción de backend de candle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candle envuelve la ejecución de CUDA en un nivel de abstracción que dificulta el control sutil sobre flujos asíncronos paralelos (</w:t>
      </w:r>
      <w:r w:rsidDel="00000000" w:rsidR="00000000" w:rsidRPr="00000000">
        <w:rPr>
          <w:rFonts w:ascii="Google Sans" w:cs="Google Sans" w:eastAsia="Google Sans" w:hAnsi="Google Sans"/>
          <w:i w:val="1"/>
          <w:iCs w:val="1"/>
          <w:rtl w:val="0"/>
        </w:rPr>
        <w:t xml:space="preserve">CUDA Streams</w:t>
      </w:r>
      <w:r w:rsidDel="00000000" w:rsidR="00000000" w:rsidRPr="00000000">
        <w:rPr>
          <w:rFonts w:ascii="Google Sans" w:cs="Google Sans" w:eastAsia="Google Sans" w:hAnsi="Google Sans"/>
          <w:rtl w:val="0"/>
        </w:rPr>
        <w:t xml:space="preserve">) y la sincronización explícita mediante eventos CUDA sin realizar modificaciones internas al código fuente de la librería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Esta limitación impide un solapamiento perfecto a nivel de driver entre la copia de memoria Host-a-Dispositivo (H2D) de la capa subsiguiente y la ejecución matemática de la capa actual</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AirLLM vs. FlexGen (Python / CUDA)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comparativo entre AirLLM y FlexGen expone dos filosofías de diseño diametralmente opuestas para la ejecución de modelos bajo escasez de VRAM: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primer lugar, AirLLM implementa un esquema de transmisión secuencial lineal (</w:t>
      </w:r>
      <w:r w:rsidDel="00000000" w:rsidR="00000000" w:rsidRPr="00000000">
        <w:rPr>
          <w:rFonts w:ascii="Google Sans" w:cs="Google Sans" w:eastAsia="Google Sans" w:hAnsi="Google Sans"/>
        </w:rPr>
        <w:drawing>
          <wp:inline distB="19050" distT="19050" distL="19050" distR="19050">
            <wp:extent cx="536098" cy="248903"/>
            <wp:effectExtent b="0" l="0" r="0" t="0"/>
            <wp:docPr id="3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36098" cy="248903"/>
                    </a:xfrm>
                    <a:prstGeom prst="rect"/>
                    <a:ln/>
                  </pic:spPr>
                </pic:pic>
              </a:graphicData>
            </a:graphic>
          </wp:inline>
        </w:drawing>
      </w:r>
      <w:r w:rsidDel="00000000" w:rsidR="00000000" w:rsidRPr="00000000">
        <w:rPr>
          <w:rFonts w:ascii="Google Sans" w:cs="Google Sans" w:eastAsia="Google Sans" w:hAnsi="Google Sans"/>
          <w:rtl w:val="0"/>
        </w:rPr>
        <w:t xml:space="preserve">, donde </w:t>
      </w:r>
      <w:r w:rsidDel="00000000" w:rsidR="00000000" w:rsidRPr="00000000">
        <w:rPr>
          <w:rFonts w:ascii="Google Sans" w:cs="Google Sans" w:eastAsia="Google Sans" w:hAnsi="Google Sans"/>
        </w:rPr>
        <w:drawing>
          <wp:inline distB="19050" distT="19050" distL="19050" distR="19050">
            <wp:extent cx="133350" cy="247650"/>
            <wp:effectExtent b="0" l="0" r="0" t="0"/>
            <wp:docPr id="33"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33350" cy="247650"/>
                    </a:xfrm>
                    <a:prstGeom prst="rect"/>
                    <a:ln/>
                  </pic:spPr>
                </pic:pic>
              </a:graphicData>
            </a:graphic>
          </wp:inline>
        </w:drawing>
      </w:r>
      <w:r w:rsidDel="00000000" w:rsidR="00000000" w:rsidRPr="00000000">
        <w:rPr>
          <w:rFonts w:ascii="Google Sans" w:cs="Google Sans" w:eastAsia="Google Sans" w:hAnsi="Google Sans"/>
          <w:rtl w:val="0"/>
        </w:rPr>
        <w:t xml:space="preserve"> es el número total de capas del Transformer)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Para un token determinado, AirLLM carga los pesos de la capa </w:t>
      </w:r>
      <w:r w:rsidDel="00000000" w:rsidR="00000000" w:rsidRPr="00000000">
        <w:rPr>
          <w:rFonts w:ascii="Google Sans" w:cs="Google Sans" w:eastAsia="Google Sans" w:hAnsi="Google Sans"/>
        </w:rPr>
        <w:drawing>
          <wp:inline distB="19050" distT="19050" distL="19050" distR="19050">
            <wp:extent cx="62230" cy="242697"/>
            <wp:effectExtent b="0" l="0" r="0" t="0"/>
            <wp:docPr id="3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2230" cy="242697"/>
                    </a:xfrm>
                    <a:prstGeom prst="rect"/>
                    <a:ln/>
                  </pic:spPr>
                </pic:pic>
              </a:graphicData>
            </a:graphic>
          </wp:inline>
        </w:drawing>
      </w:r>
      <w:r w:rsidDel="00000000" w:rsidR="00000000" w:rsidRPr="00000000">
        <w:rPr>
          <w:rFonts w:ascii="Google Sans" w:cs="Google Sans" w:eastAsia="Google Sans" w:hAnsi="Google Sans"/>
          <w:rtl w:val="0"/>
        </w:rPr>
        <w:t xml:space="preserve"> desde la memoria RAM/NVMe hacia la VRAM, ejecuta la pasada hacia adelante (</w:t>
      </w:r>
      <w:r w:rsidDel="00000000" w:rsidR="00000000" w:rsidRPr="00000000">
        <w:rPr>
          <w:rFonts w:ascii="Google Sans" w:cs="Google Sans" w:eastAsia="Google Sans" w:hAnsi="Google Sans"/>
          <w:i w:val="1"/>
          <w:iCs w:val="1"/>
          <w:rtl w:val="0"/>
        </w:rPr>
        <w:t xml:space="preserve">forward pass</w:t>
      </w:r>
      <w:r w:rsidDel="00000000" w:rsidR="00000000" w:rsidRPr="00000000">
        <w:rPr>
          <w:rFonts w:ascii="Google Sans" w:cs="Google Sans" w:eastAsia="Google Sans" w:hAnsi="Google Sans"/>
          <w:rtl w:val="0"/>
        </w:rPr>
        <w:t xml:space="preserve">) para un único lote, descarta los pesos cargados y procede con la capa </w:t>
      </w:r>
      <w:r w:rsidDel="00000000" w:rsidR="00000000" w:rsidRPr="00000000">
        <w:rPr>
          <w:rFonts w:ascii="Google Sans" w:cs="Google Sans" w:eastAsia="Google Sans" w:hAnsi="Google Sans"/>
        </w:rPr>
        <w:drawing>
          <wp:inline distB="19050" distT="19050" distL="19050" distR="19050">
            <wp:extent cx="399574" cy="247355"/>
            <wp:effectExtent b="0" l="0" r="0" t="0"/>
            <wp:docPr id="3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99574" cy="247355"/>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 bien este enfoque reduce drásticamente la huella de memoria en la GPU al mínimo absoluto requerido para una sola capa, su rendimiento está severamente limitado por la latencia del bus PCIe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Dado que los pesos deben transferirse repetidamente a través del bus para cada token generado, la velocidad de procesamiento suele colapsar por debajo de 0.5 token por segundo</w:t>
      </w:r>
      <w:r w:rsidDel="00000000" w:rsidR="00000000" w:rsidRPr="00000000">
        <w:rPr>
          <w:rFonts w:ascii="Google Sans" w:cs="Google Sans" w:eastAsia="Google Sans" w:hAnsi="Google Sans"/>
        </w:rPr>
      </w:r>
      <w:r w:rsidDel="00000000" w:rsidR="00000000" w:rsidRPr="00000000">
        <w:rPr>
          <w:rFonts w:ascii="Google Sans" w:cs="Google Sans" w:eastAsia="Google Sans" w:hAnsi="Google Sans"/>
          <w:rtl w:val="0"/>
        </w:rPr>
        <w:t xml:space="preserve"> en modelos de escala 70B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segundo lugar, FlexGen aborda el problema introduciendo un algoritmo de programación en bloque en zig-zag (</w:t>
      </w:r>
      <w:r w:rsidDel="00000000" w:rsidR="00000000" w:rsidRPr="00000000">
        <w:rPr>
          <w:rFonts w:ascii="Google Sans" w:cs="Google Sans" w:eastAsia="Google Sans" w:hAnsi="Google Sans"/>
          <w:i w:val="1"/>
          <w:iCs w:val="1"/>
          <w:rtl w:val="0"/>
        </w:rPr>
        <w:t xml:space="preserve">zig-zag block schedule</w:t>
      </w:r>
      <w:r w:rsidDel="00000000" w:rsidR="00000000" w:rsidRPr="00000000">
        <w:rPr>
          <w:rFonts w:ascii="Google Sans" w:cs="Google Sans" w:eastAsia="Google Sans" w:hAnsi="Google Sans"/>
          <w:rtl w:val="0"/>
        </w:rPr>
        <w:t xml:space="preserve">) optimizado para alto rendimiento masivo (</w:t>
      </w:r>
      <w:r w:rsidDel="00000000" w:rsidR="00000000" w:rsidRPr="00000000">
        <w:rPr>
          <w:rFonts w:ascii="Google Sans" w:cs="Google Sans" w:eastAsia="Google Sans" w:hAnsi="Google Sans"/>
          <w:i w:val="1"/>
          <w:iCs w:val="1"/>
          <w:rtl w:val="0"/>
        </w:rPr>
        <w:t xml:space="preserve">throughput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En lugar de procesar un solo paso de secuencia a través de toda la red, FlexGen agrega las solicitudes en grandes bloques de micro-lotes y navega el grafo computacional alternando la ejecución a lo largo de las dimensiones de capas y lotes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Al procesar múltiples micro-lotes secuencialmente sobre una misma capa que permanece cargada en la GPU antes de reemplazarla por la siguiente, FlexGen reutiliza los pesos en VRAM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Esto amortiza el costo de la I/O sobre una mayor cantidad de tokens, alcanzando rendimientos descritos en la literatura de hasta </w:t>
      </w:r>
      <w:r w:rsidDel="00000000" w:rsidR="00000000" w:rsidRPr="00000000">
        <w:rPr>
          <w:rFonts w:ascii="Google Sans" w:cs="Google Sans" w:eastAsia="Google Sans" w:hAnsi="Google Sans"/>
        </w:rPr>
        <w:drawing>
          <wp:inline distB="19050" distT="19050" distL="19050" distR="19050">
            <wp:extent cx="348298" cy="234309"/>
            <wp:effectExtent b="0" l="0" r="0" t="0"/>
            <wp:docPr id="3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48298" cy="234309"/>
                    </a:xfrm>
                    <a:prstGeom prst="rect"/>
                    <a:ln/>
                  </pic:spPr>
                </pic:pic>
              </a:graphicData>
            </a:graphic>
          </wp:inline>
        </w:drawing>
      </w:r>
      <w:r w:rsidDel="00000000" w:rsidR="00000000" w:rsidRPr="00000000">
        <w:rPr>
          <w:rFonts w:ascii="Google Sans" w:cs="Google Sans" w:eastAsia="Google Sans" w:hAnsi="Google Sans"/>
          <w:rtl w:val="0"/>
        </w:rPr>
        <w:t xml:space="preserve"> tokens por segundo en hardware donde alternativas como Hugging Face Accelerate obtienen </w:t>
      </w:r>
      <w:r w:rsidDel="00000000" w:rsidR="00000000" w:rsidRPr="00000000">
        <w:rPr>
          <w:rFonts w:ascii="Google Sans" w:cs="Google Sans" w:eastAsia="Google Sans" w:hAnsi="Google Sans"/>
        </w:rPr>
        <w:drawing>
          <wp:inline distB="19050" distT="19050" distL="19050" distR="19050">
            <wp:extent cx="348298" cy="234309"/>
            <wp:effectExtent b="0" l="0" r="0" t="0"/>
            <wp:docPr id="37"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48298" cy="234309"/>
                    </a:xfrm>
                    <a:prstGeom prst="rect"/>
                    <a:ln/>
                  </pic:spPr>
                </pic:pic>
              </a:graphicData>
            </a:graphic>
          </wp:inline>
        </w:drawing>
      </w:r>
      <w:r w:rsidDel="00000000" w:rsidR="00000000" w:rsidRPr="00000000">
        <w:rPr>
          <w:rFonts w:ascii="Google Sans" w:cs="Google Sans" w:eastAsia="Google Sans" w:hAnsi="Google Sans"/>
          <w:rtl w:val="0"/>
        </w:rPr>
        <w:t xml:space="preserve"> tokens por segundo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Métrica / Dimensión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AirLLM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FlexGen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Objetivo Primario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Minimizar consumo de VRAM para 1 secuencia unica (a costa de latencia extrema &gt;1-3 s/token)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Throughput</w:t>
            </w:r>
            <w:r w:rsidDel="00000000" w:rsidR="00000000" w:rsidRPr="00000000">
              <w:rPr>
                <w:rFonts w:ascii="Google Sans" w:cs="Google Sans" w:eastAsia="Google Sans" w:hAnsi="Google Sans"/>
                <w:rtl w:val="0"/>
              </w:rPr>
              <w:t xml:space="preserve"> masivo para múltiples secuencias concurrentes</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Patrón de Programación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Secuencial lineal Capa por Capa (</w:t>
            </w:r>
            <w:r w:rsidDel="00000000" w:rsidR="00000000" w:rsidRPr="00000000">
              <w:rPr>
                <w:rFonts w:ascii="Google Sans" w:cs="Google Sans" w:eastAsia="Google Sans" w:hAnsi="Google Sans"/>
              </w:rPr>
              <w:drawing>
                <wp:inline distB="19050" distT="19050" distL="19050" distR="19050">
                  <wp:extent cx="536098" cy="248903"/>
                  <wp:effectExtent b="0" l="0" r="0" t="0"/>
                  <wp:docPr id="4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36098" cy="24890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Bloques en Zig-Zag (Intercalado Carga-Cómputo)</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Reuso de Pesos en VRAM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Nulo (1 carga por token y por lote)</w:t>
            </w:r>
            <w:r w:rsidDel="00000000" w:rsidR="00000000" w:rsidRPr="00000000">
              <w:rPr>
                <w:rFonts w:ascii="Google Sans" w:cs="Google Sans" w:eastAsia="Google Sans" w:hAnsi="Google Sans"/>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Alto (procesa </w:t>
            </w:r>
            <w:r w:rsidDel="00000000" w:rsidR="00000000" w:rsidRPr="00000000">
              <w:rPr>
                <w:rFonts w:ascii="Google Sans" w:cs="Google Sans" w:eastAsia="Google Sans" w:hAnsi="Google Sans"/>
              </w:rPr>
              <w:drawing>
                <wp:inline distB="19050" distT="19050" distL="19050" distR="19050">
                  <wp:extent cx="178594" cy="248756"/>
                  <wp:effectExtent b="0" l="0" r="0" t="0"/>
                  <wp:docPr id="4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78594" cy="248756"/>
                          </a:xfrm>
                          <a:prstGeom prst="rect"/>
                          <a:ln/>
                        </pic:spPr>
                      </pic:pic>
                    </a:graphicData>
                  </a:graphic>
                </wp:inline>
              </w:drawing>
            </w:r>
            <w:r w:rsidDel="00000000" w:rsidR="00000000" w:rsidRPr="00000000">
              <w:rPr>
                <w:rFonts w:ascii="Google Sans" w:cs="Google Sans" w:eastAsia="Google Sans" w:hAnsi="Google Sans"/>
                <w:rtl w:val="0"/>
              </w:rPr>
              <w:t xml:space="preserve"> micro-lotes por cada carga de capa)</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Complejidad de Portabilidad a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Baja (Tubería lineal con </w:t>
            </w:r>
            <w:r w:rsidDel="00000000" w:rsidR="00000000" w:rsidRPr="00000000">
              <w:rPr>
                <w:rFonts w:ascii="Google Sans" w:cs="Google Sans" w:eastAsia="Google Sans" w:hAnsi="Google Sans"/>
                <w:i w:val="1"/>
                <w:iCs w:val="1"/>
                <w:rtl w:val="0"/>
              </w:rPr>
              <w:t xml:space="preserve">Ping-Pong Buffers</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Alta (Orquestación de grafos I/O y estados intermedios)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Eficiencia del Bus PCIe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Muy Ineficiente (Limitado por latencia I/O)</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Altamente Eficiente (Amortizado por el tamaño del lote)</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una implementación en Rust enfocada en respuestas interactivas de baja latencia (servicios de chat con lotes pequeños), el modelo secuencial de AirLLM optimizado con un pipeline de doble búfer (</w:t>
      </w:r>
      <w:r w:rsidDel="00000000" w:rsidR="00000000" w:rsidRPr="00000000">
        <w:rPr>
          <w:rFonts w:ascii="Google Sans" w:cs="Google Sans" w:eastAsia="Google Sans" w:hAnsi="Google Sans"/>
          <w:i w:val="1"/>
          <w:iCs w:val="1"/>
          <w:rtl w:val="0"/>
        </w:rPr>
        <w:t xml:space="preserve">Ping-Pong</w:t>
      </w:r>
      <w:r w:rsidDel="00000000" w:rsidR="00000000" w:rsidRPr="00000000">
        <w:rPr>
          <w:rFonts w:ascii="Google Sans" w:cs="Google Sans" w:eastAsia="Google Sans" w:hAnsi="Google Sans"/>
          <w:rtl w:val="0"/>
        </w:rPr>
        <w:t xml:space="preserve">) es más directo de implementar y verificar. Sin embargo, para servidores con demandas de procesamiento por lotes masivos o pipelines de analítica, portar el algoritmo de programación en zig-zag de FlexGen resulta la decisión arquitectónica más eficiente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llama.cpp / llama-server (C++)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proyecto llama.cpp constituye la referencia técnica fundamental en el desarrollo de software de inferencia de alto rendimiento en C/C++</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Su motor se apoya en el uso de la llamada al sistema mmap para proyectar archivos en formato GGUF directamente en el espacio de direcciones virtuales del proceso</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Esto permite que el sistema operativo gestione la lectura de datos mediante fallos de página (</w:t>
      </w:r>
      <w:r w:rsidDel="00000000" w:rsidR="00000000" w:rsidRPr="00000000">
        <w:rPr>
          <w:rFonts w:ascii="Google Sans" w:cs="Google Sans" w:eastAsia="Google Sans" w:hAnsi="Google Sans"/>
          <w:i w:val="1"/>
          <w:iCs w:val="1"/>
          <w:rtl w:val="0"/>
        </w:rPr>
        <w:t xml:space="preserve">page faults</w:t>
      </w:r>
      <w:r w:rsidDel="00000000" w:rsidR="00000000" w:rsidRPr="00000000">
        <w:rPr>
          <w:rFonts w:ascii="Google Sans" w:cs="Google Sans" w:eastAsia="Google Sans" w:hAnsi="Google Sans"/>
          <w:rtl w:val="0"/>
        </w:rPr>
        <w:t xml:space="preserve">) sin requerir buffers de copia intermedios en el espacio de usuario (mecanismo </w:t>
      </w:r>
      <w:r w:rsidDel="00000000" w:rsidR="00000000" w:rsidRPr="00000000">
        <w:rPr>
          <w:rFonts w:ascii="Google Sans" w:cs="Google Sans" w:eastAsia="Google Sans" w:hAnsi="Google Sans"/>
          <w:i w:val="1"/>
          <w:iCs w:val="1"/>
          <w:rtl w:val="0"/>
        </w:rPr>
        <w:t xml:space="preserve">zero-copy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estrategia de descarga parcial (--n-gpu-layers o -ngl) de llama.cpp difiere conceptualmente de un enfoque de </w:t>
      </w:r>
      <w:r w:rsidDel="00000000" w:rsidR="00000000" w:rsidRPr="00000000">
        <w:rPr>
          <w:rFonts w:ascii="Google Sans" w:cs="Google Sans" w:eastAsia="Google Sans" w:hAnsi="Google Sans"/>
          <w:i w:val="1"/>
          <w:iCs w:val="1"/>
          <w:rtl w:val="0"/>
        </w:rPr>
        <w:t xml:space="preserve">streaming</w:t>
      </w:r>
      <w:r w:rsidDel="00000000" w:rsidR="00000000" w:rsidRPr="00000000">
        <w:rPr>
          <w:rFonts w:ascii="Google Sans" w:cs="Google Sans" w:eastAsia="Google Sans" w:hAnsi="Google Sans"/>
          <w:rtl w:val="0"/>
        </w:rPr>
        <w:t xml:space="preserve"> puro</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Bajo descarga parcial, las primeras </w:t>
      </w:r>
      <w:r w:rsidDel="00000000" w:rsidR="00000000" w:rsidRPr="00000000">
        <w:rPr>
          <w:rFonts w:ascii="Google Sans" w:cs="Google Sans" w:eastAsia="Google Sans" w:hAnsi="Google Sans"/>
        </w:rPr>
        <w:drawing>
          <wp:inline distB="19050" distT="19050" distL="19050" distR="19050">
            <wp:extent cx="178594" cy="248756"/>
            <wp:effectExtent b="0" l="0" r="0" t="0"/>
            <wp:docPr id="48"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78594" cy="248756"/>
                    </a:xfrm>
                    <a:prstGeom prst="rect"/>
                    <a:ln/>
                  </pic:spPr>
                </pic:pic>
              </a:graphicData>
            </a:graphic>
          </wp:inline>
        </w:drawing>
      </w:r>
      <w:r w:rsidDel="00000000" w:rsidR="00000000" w:rsidRPr="00000000">
        <w:rPr>
          <w:rFonts w:ascii="Google Sans" w:cs="Google Sans" w:eastAsia="Google Sans" w:hAnsi="Google Sans"/>
          <w:rtl w:val="0"/>
        </w:rPr>
        <w:t xml:space="preserve"> capas del modelo se cargan permanentemente en la VRAM de la GPU, mientras que las capas restantes residen fijas en la memoria RAM gestionada por la CPU</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Durante la evaluación de cada token, los tensores de activación resultantes de las capas evaluadas en la GPU deben transferirse a la RAM a través del bus PCIe para que la CPU compute las capas finales (o viceversa)</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contraste, un enfoque de </w:t>
      </w:r>
      <w:r w:rsidDel="00000000" w:rsidR="00000000" w:rsidRPr="00000000">
        <w:rPr>
          <w:rFonts w:ascii="Google Sans" w:cs="Google Sans" w:eastAsia="Google Sans" w:hAnsi="Google Sans"/>
          <w:i w:val="1"/>
          <w:iCs w:val="1"/>
          <w:rtl w:val="0"/>
        </w:rPr>
        <w:t xml:space="preserve">streaming puro</w:t>
      </w:r>
      <w:r w:rsidDel="00000000" w:rsidR="00000000" w:rsidRPr="00000000">
        <w:rPr>
          <w:rFonts w:ascii="Google Sans" w:cs="Google Sans" w:eastAsia="Google Sans" w:hAnsi="Google Sans"/>
          <w:rtl w:val="0"/>
        </w:rPr>
        <w:t xml:space="preserve"> asigna el </w:t>
      </w:r>
      <w:r w:rsidDel="00000000" w:rsidR="00000000" w:rsidRPr="00000000">
        <w:rPr>
          <w:rFonts w:ascii="Google Sans" w:cs="Google Sans" w:eastAsia="Google Sans" w:hAnsi="Google Sans"/>
        </w:rPr>
        <w:drawing>
          <wp:inline distB="19050" distT="19050" distL="19050" distR="19050">
            <wp:extent cx="457041" cy="234868"/>
            <wp:effectExtent b="0" l="0" r="0" t="0"/>
            <wp:docPr id="4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7041" cy="234868"/>
                    </a:xfrm>
                    <a:prstGeom prst="rect"/>
                    <a:ln/>
                  </pic:spPr>
                </pic:pic>
              </a:graphicData>
            </a:graphic>
          </wp:inline>
        </w:drawing>
      </w:r>
      <w:r w:rsidDel="00000000" w:rsidR="00000000" w:rsidRPr="00000000">
        <w:rPr>
          <w:rFonts w:ascii="Google Sans" w:cs="Google Sans" w:eastAsia="Google Sans" w:hAnsi="Google Sans"/>
          <w:rtl w:val="0"/>
        </w:rPr>
        <w:t xml:space="preserve"> de la ejecución matemática a la GPU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este esquema, ningún cómputo de capas es ejecutado por los núcleos de la CPU; la memoria RAM se utiliza exclusivamente como un área de tránsito (</w:t>
      </w:r>
      <w:r w:rsidDel="00000000" w:rsidR="00000000" w:rsidRPr="00000000">
        <w:rPr>
          <w:rFonts w:ascii="Google Sans" w:cs="Google Sans" w:eastAsia="Google Sans" w:hAnsi="Google Sans"/>
          <w:i w:val="1"/>
          <w:iCs w:val="1"/>
          <w:rtl w:val="0"/>
        </w:rPr>
        <w:t xml:space="preserve">staging area</w:t>
      </w:r>
      <w:r w:rsidDel="00000000" w:rsidR="00000000" w:rsidRPr="00000000">
        <w:rPr>
          <w:rFonts w:ascii="Google Sans" w:cs="Google Sans" w:eastAsia="Google Sans" w:hAnsi="Google Sans"/>
          <w:rtl w:val="0"/>
        </w:rPr>
        <w:t xml:space="preserve">) desde la cual se transmiten unidireccionalmente los pesos de las capas hacia la GPU a medida que son requeridos para la inferencia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vLLM y la Mecánica de BlockAllocator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sistema vLLM revolucionó la gestión de memoria en los runtimes de inferencia mediante la introducción de </w:t>
      </w:r>
      <w:r w:rsidDel="00000000" w:rsidR="00000000" w:rsidRPr="00000000">
        <w:rPr>
          <w:rFonts w:ascii="Google Sans" w:cs="Google Sans" w:eastAsia="Google Sans" w:hAnsi="Google Sans"/>
          <w:i w:val="1"/>
          <w:iCs w:val="1"/>
          <w:rtl w:val="0"/>
        </w:rPr>
        <w:t xml:space="preserve">PagedAttention</w:t>
      </w:r>
      <w:r w:rsidDel="00000000" w:rsidR="00000000" w:rsidRPr="00000000">
        <w:rPr>
          <w:rFonts w:ascii="Google Sans" w:cs="Google Sans" w:eastAsia="Google Sans" w:hAnsi="Google Sans"/>
          <w:rtl w:val="0"/>
        </w:rPr>
        <w:t xml:space="preserve"> y su componente central, el BlockAllocator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Tradicionalmente, la memoria reservada para la caché de Claves y Valores (</w:t>
      </w:r>
      <w:r w:rsidDel="00000000" w:rsidR="00000000" w:rsidRPr="00000000">
        <w:rPr>
          <w:rFonts w:ascii="Google Sans" w:cs="Google Sans" w:eastAsia="Google Sans" w:hAnsi="Google Sans"/>
          <w:i w:val="1"/>
          <w:iCs w:val="1"/>
          <w:rtl w:val="0"/>
        </w:rPr>
        <w:t xml:space="preserve">KV-Cache</w:t>
      </w:r>
      <w:r w:rsidDel="00000000" w:rsidR="00000000" w:rsidRPr="00000000">
        <w:rPr>
          <w:rFonts w:ascii="Google Sans" w:cs="Google Sans" w:eastAsia="Google Sans" w:hAnsi="Google Sans"/>
          <w:rtl w:val="0"/>
        </w:rPr>
        <w:t xml:space="preserve">) debía asignarse de forma contigua para el tamaño de contexto máximo precomputado de cada secuencia, lo que derivaba en una fragmentación externa e interna de la VRAM que superaba en ocasiones el </w:t>
      </w:r>
      <w:r w:rsidDel="00000000" w:rsidR="00000000" w:rsidRPr="00000000">
        <w:rPr>
          <w:rFonts w:ascii="Google Sans" w:cs="Google Sans" w:eastAsia="Google Sans" w:hAnsi="Google Sans"/>
        </w:rPr>
        <w:drawing>
          <wp:inline distB="19050" distT="19050" distL="19050" distR="19050">
            <wp:extent cx="359093" cy="233095"/>
            <wp:effectExtent b="0" l="0" r="0" t="0"/>
            <wp:docPr id="46"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59093" cy="233095"/>
                    </a:xfrm>
                    <a:prstGeom prst="rect"/>
                    <a:ln/>
                  </pic:spPr>
                </pic:pic>
              </a:graphicData>
            </a:graphic>
          </wp:inline>
        </w:drawing>
      </w:r>
      <w:r w:rsidDel="00000000" w:rsidR="00000000" w:rsidRPr="00000000">
        <w:rPr>
          <w:rFonts w:ascii="Google Sans" w:cs="Google Sans" w:eastAsia="Google Sans" w:hAnsi="Google Sans"/>
          <w:rtl w:val="0"/>
        </w:rPr>
        <w:t xml:space="preserve"> de la capacidad disponible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BlockAllocator resuelve esto segmentando la VRAM en bloques físicos de tamaño fijo (por ejemplo, bloques configurados para 16 o 32 tokens)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Un espacio de direccionamiento lógico mapea vectores de tokens hacia bloques físicos no contiguos dinámicamente asignados a medida que la secuencia se expande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la implementación original de Python, el rastreo de punteros de bloques, el mantenimiento de listas libres (</w:t>
      </w:r>
      <w:r w:rsidDel="00000000" w:rsidR="00000000" w:rsidRPr="00000000">
        <w:rPr>
          <w:rFonts w:ascii="Google Sans" w:cs="Google Sans" w:eastAsia="Google Sans" w:hAnsi="Google Sans"/>
          <w:i w:val="1"/>
          <w:iCs w:val="1"/>
          <w:rtl w:val="0"/>
        </w:rPr>
        <w:t xml:space="preserve">free lists</w:t>
      </w:r>
      <w:r w:rsidDel="00000000" w:rsidR="00000000" w:rsidRPr="00000000">
        <w:rPr>
          <w:rFonts w:ascii="Google Sans" w:cs="Google Sans" w:eastAsia="Google Sans" w:hAnsi="Google Sans"/>
          <w:rtl w:val="0"/>
        </w:rPr>
        <w:t xml:space="preserve">) y las operaciones de recolección de bloques liberados sufren de pequeñas pero acumulativas sobrecargas de tiempo asociadas a la interpretación del lenguaje y la sincronización entre hilos. En Rust, la gestión nativa de memoria permite implementar un BlockAllocator utilizando estructuras de datos libres de bloqueos (</w:t>
      </w:r>
      <w:r w:rsidDel="00000000" w:rsidR="00000000" w:rsidRPr="00000000">
        <w:rPr>
          <w:rFonts w:ascii="Google Sans" w:cs="Google Sans" w:eastAsia="Google Sans" w:hAnsi="Google Sans"/>
          <w:i w:val="1"/>
          <w:iCs w:val="1"/>
          <w:rtl w:val="0"/>
        </w:rPr>
        <w:t xml:space="preserve">lock-free</w:t>
      </w:r>
      <w:r w:rsidDel="00000000" w:rsidR="00000000" w:rsidRPr="00000000">
        <w:rPr>
          <w:rFonts w:ascii="Google Sans" w:cs="Google Sans" w:eastAsia="Google Sans" w:hAnsi="Google Sans"/>
          <w:rtl w:val="0"/>
        </w:rPr>
        <w:t xml:space="preserve">), asignadores de arena (</w:t>
      </w:r>
      <w:r w:rsidDel="00000000" w:rsidR="00000000" w:rsidRPr="00000000">
        <w:rPr>
          <w:rFonts w:ascii="Google Sans" w:cs="Google Sans" w:eastAsia="Google Sans" w:hAnsi="Google Sans"/>
          <w:i w:val="1"/>
          <w:iCs w:val="1"/>
          <w:rtl w:val="0"/>
        </w:rPr>
        <w:t xml:space="preserve">arena allocators</w:t>
      </w:r>
      <w:r w:rsidDel="00000000" w:rsidR="00000000" w:rsidRPr="00000000">
        <w:rPr>
          <w:rFonts w:ascii="Google Sans" w:cs="Google Sans" w:eastAsia="Google Sans" w:hAnsi="Google Sans"/>
          <w:rtl w:val="0"/>
        </w:rPr>
        <w:t xml:space="preserve">) o arreglos de bits atómicos (</w:t>
      </w:r>
      <w:r w:rsidDel="00000000" w:rsidR="00000000" w:rsidRPr="00000000">
        <w:rPr>
          <w:rFonts w:ascii="Google Sans" w:cs="Google Sans" w:eastAsia="Google Sans" w:hAnsi="Google Sans"/>
          <w:i w:val="1"/>
          <w:iCs w:val="1"/>
          <w:rtl w:val="0"/>
        </w:rPr>
        <w:t xml:space="preserve">atomic bitsets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Esto elimina cualquier pausa por recolección de basura o contención de bloqueos, ofreciendo latencias deterministas en la asignación y reconfiguración de bloques de la KV-Cache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Frameworks de Tensores y Cómputo en Rust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Comparativa Rigurosa de Frameworks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elección del ecosistema de ejecución en Rust dicta el nivel de control sobre la aceleración por hardware, la latencia de las llamadas FFI y la complejidad de mantenimiento de la base de código.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de Selección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candle (Hugging 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burn (Tracel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Bindings FFI Directos (llama-cpp-rs)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CUDA Nativo (cudarc + Kernels PTX)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 de Latencia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Medio (Sujeto a decisiones internas del backend)</w:t>
            </w:r>
            <w:r w:rsidDel="00000000" w:rsidR="00000000" w:rsidRPr="00000000">
              <w:rPr>
                <w:rFonts w:ascii="Google Sans" w:cs="Google Sans" w:eastAsia="Google Sans" w:hAnsi="Google Sans"/>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Medio-Alto (Compilador JIT CubeCL)</w:t>
            </w:r>
            <w:r w:rsidDel="00000000" w:rsidR="00000000" w:rsidRPr="00000000">
              <w:rPr>
                <w:rFonts w:ascii="Google Sans" w:cs="Google Sans" w:eastAsia="Google Sans" w:hAnsi="Google Sans"/>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Alto (Delegado a la implementación en C++)</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Máximo (Control absoluto a nivel de driver y ensamblador)</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 de CUDA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Limitado (Oculto bajo abstracciones de dispositivo)</w:t>
            </w:r>
            <w:r w:rsidDel="00000000" w:rsidR="00000000" w:rsidRPr="00000000">
              <w:rPr>
                <w:rFonts w:ascii="Google Sans" w:cs="Google Sans" w:eastAsia="Google Sans" w:hAnsi="Google Sans"/>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Restringido por abstracción de compilación multinivel</w:t>
            </w:r>
            <w:r w:rsidDel="00000000" w:rsidR="00000000" w:rsidRPr="00000000">
              <w:rPr>
                <w:rFonts w:ascii="Google Sans" w:cs="Google Sans" w:eastAsia="Google Sans" w:hAnsi="Google Sans"/>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Inexistente (Gestionado internamente por GGML)</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Total (Exposición directa de la API cudaStream_t)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Gestión de Memoria Pinned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expuesta de forma directa en las APIs estándar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soportada explícitamente para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Transparente mediante el motor de GGML</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Directa (cudaMallocHost / cudaFreeHost)</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Soporte de Cuantización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Excelente (ISQ, GGUF, AWQ, FP8)</w:t>
            </w:r>
            <w:r w:rsidDel="00000000" w:rsidR="00000000" w:rsidRPr="00000000">
              <w:rPr>
                <w:rFonts w:ascii="Google Sans" w:cs="Google Sans" w:eastAsia="Google Sans" w:hAnsi="Google Sans"/>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desarrollo activo</w:t>
            </w:r>
            <w:r w:rsidDel="00000000" w:rsidR="00000000" w:rsidRPr="00000000">
              <w:rPr>
                <w:rFonts w:ascii="Google Sans" w:cs="Google Sans" w:eastAsia="Google Sans" w:hAnsi="Google Sans"/>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Excelente (Nativo a todos los tipos GGUF)</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Manual (Requiere desarrollo de kernels PTX propios)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Facilidad de Mantenimiento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Alta (APIs de alto nivel similares a PyTorch)</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Alta (Modularidad moderna y portable)</w:t>
            </w:r>
            <w:r w:rsidDel="00000000" w:rsidR="00000000" w:rsidRPr="00000000">
              <w:rPr>
                <w:rFonts w:ascii="Google Sans" w:cs="Google Sans" w:eastAsia="Google Sans" w:hAnsi="Google Sans"/>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Media (Dependencia de librerías C/C++ externas)</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Baja (Exige conocimientos de programación GPU de bajo nivel)</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Control Granular sobre CUDA Streams y Eventos en Candle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candle facilita la prototipación rápida de modelos de aprendizaje profundo en Rust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Sin embargo, al examinar la arquitectura necesaria para un </w:t>
      </w:r>
      <w:r w:rsidDel="00000000" w:rsidR="00000000" w:rsidRPr="00000000">
        <w:rPr>
          <w:rFonts w:ascii="Google Sans" w:cs="Google Sans" w:eastAsia="Google Sans" w:hAnsi="Google Sans"/>
          <w:i w:val="1"/>
          <w:iCs w:val="1"/>
          <w:rtl w:val="0"/>
        </w:rPr>
        <w:t xml:space="preserve">layer-streaming</w:t>
      </w:r>
      <w:r w:rsidDel="00000000" w:rsidR="00000000" w:rsidRPr="00000000">
        <w:rPr>
          <w:rFonts w:ascii="Google Sans" w:cs="Google Sans" w:eastAsia="Google Sans" w:hAnsi="Google Sans"/>
          <w:rtl w:val="0"/>
        </w:rPr>
        <w:t xml:space="preserve"> de ultra alto rendimiento, la librería presenta limitaciones estructurales. candle consolida las operaciones dentro de una cola de ejecución por defecto del dispositivo CUDA, abstrayendo el acceso directo a punteros de streams secundarios o eventos de sincronización explícitos (cudaEvent_t)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lograr una ejecución asíncrona real donde la transferencia de la Capa </w:t>
      </w:r>
      <w:r w:rsidDel="00000000" w:rsidR="00000000" w:rsidRPr="00000000">
        <w:rPr>
          <w:rFonts w:ascii="Google Sans" w:cs="Google Sans" w:eastAsia="Google Sans" w:hAnsi="Google Sans"/>
        </w:rPr>
        <w:drawing>
          <wp:inline distB="19050" distT="19050" distL="19050" distR="19050">
            <wp:extent cx="515938" cy="248414"/>
            <wp:effectExtent b="0" l="0" r="0" t="0"/>
            <wp:docPr id="49"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15938" cy="248414"/>
                    </a:xfrm>
                    <a:prstGeom prst="rect"/>
                    <a:ln/>
                  </pic:spPr>
                </pic:pic>
              </a:graphicData>
            </a:graphic>
          </wp:inline>
        </w:drawing>
      </w:r>
      <w:r w:rsidDel="00000000" w:rsidR="00000000" w:rsidRPr="00000000">
        <w:rPr>
          <w:rFonts w:ascii="Google Sans" w:cs="Google Sans" w:eastAsia="Google Sans" w:hAnsi="Google Sans"/>
          <w:rtl w:val="0"/>
        </w:rPr>
        <w:t xml:space="preserve"> se ejecute en paralelo con el cómputo de la Capa </w:t>
      </w:r>
      <w:r w:rsidDel="00000000" w:rsidR="00000000" w:rsidRPr="00000000">
        <w:rPr>
          <w:rFonts w:ascii="Google Sans" w:cs="Google Sans" w:eastAsia="Google Sans" w:hAnsi="Google Sans"/>
        </w:rPr>
        <w:drawing>
          <wp:inline distB="19050" distT="19050" distL="19050" distR="19050">
            <wp:extent cx="178594" cy="248756"/>
            <wp:effectExtent b="0" l="0" r="0" t="0"/>
            <wp:docPr id="5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78594" cy="248756"/>
                    </a:xfrm>
                    <a:prstGeom prst="rect"/>
                    <a:ln/>
                  </pic:spPr>
                </pic:pic>
              </a:graphicData>
            </a:graphic>
          </wp:inline>
        </w:drawing>
      </w:r>
      <w:r w:rsidDel="00000000" w:rsidR="00000000" w:rsidRPr="00000000">
        <w:rPr>
          <w:rFonts w:ascii="Google Sans" w:cs="Google Sans" w:eastAsia="Google Sans" w:hAnsi="Google Sans"/>
          <w:rtl w:val="0"/>
        </w:rPr>
        <w:t xml:space="preserve"> sin bloquear el hilo ejecutor de la CPU, es necesario prescindir de las capas superiores de candle o integrar bindings directos con la API del driver de CUDA mediante cudarc</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La utilización de cudarc otorga acceso explícito a:</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Reservas de Memoria Pinned en Host:</w:t>
      </w:r>
      <w:r w:rsidDel="00000000" w:rsidR="00000000" w:rsidRPr="00000000">
        <w:rPr>
          <w:rFonts w:ascii="Google Sans" w:cs="Google Sans" w:eastAsia="Google Sans" w:hAnsi="Google Sans"/>
          <w:rtl w:val="0"/>
        </w:rPr>
        <w:t xml:space="preserve"> Permite llamar a cudaMallocHost para crear áreas de memoria no paginable que habilitan transferencias DMA (</w:t>
      </w:r>
      <w:r w:rsidDel="00000000" w:rsidR="00000000" w:rsidRPr="00000000">
        <w:rPr>
          <w:rFonts w:ascii="Google Sans" w:cs="Google Sans" w:eastAsia="Google Sans" w:hAnsi="Google Sans"/>
          <w:i w:val="1"/>
          <w:iCs w:val="1"/>
          <w:rtl w:val="0"/>
        </w:rPr>
        <w:t xml:space="preserve">Direct Memory Access</w:t>
      </w:r>
      <w:r w:rsidDel="00000000" w:rsidR="00000000" w:rsidRPr="00000000">
        <w:rPr>
          <w:rFonts w:ascii="Google Sans" w:cs="Google Sans" w:eastAsia="Google Sans" w:hAnsi="Google Sans"/>
          <w:rtl w:val="0"/>
        </w:rPr>
        <w:t xml:space="preserve">) sin intermediación del kernel del sistema operativo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Streams No Bloqueantes:</w:t>
      </w:r>
      <w:r w:rsidDel="00000000" w:rsidR="00000000" w:rsidRPr="00000000">
        <w:rPr>
          <w:rFonts w:ascii="Google Sans" w:cs="Google Sans" w:eastAsia="Google Sans" w:hAnsi="Google Sans"/>
          <w:rtl w:val="0"/>
        </w:rPr>
        <w:t xml:space="preserve"> Posibilita instanciar múltiples objetos CudaStream con la bandera CUDA_STREAM_NON_BLOCKING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Un stream se asigna exclusivamente a las transferencias de memoria (cudaMemcpyAsync), mientras que un segundo stream ejecuta la invocación de kernels de multiplicación matricial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Eventos CUDA para Dependencias Granulares:</w:t>
      </w:r>
      <w:r w:rsidDel="00000000" w:rsidR="00000000" w:rsidRPr="00000000">
        <w:rPr>
          <w:rFonts w:ascii="Google Sans" w:cs="Google Sans" w:eastAsia="Google Sans" w:hAnsi="Google Sans"/>
          <w:rtl w:val="0"/>
        </w:rPr>
        <w:t xml:space="preserve"> Facilita el registro de eventos mediante cudaEventRecord y su sincronización cruzada a través de cudaStreamWaitEvent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Esto garantiza que el stream de cómputo no procese la Capa </w:t>
      </w:r>
      <w:r w:rsidDel="00000000" w:rsidR="00000000" w:rsidRPr="00000000">
        <w:rPr>
          <w:rFonts w:ascii="Google Sans" w:cs="Google Sans" w:eastAsia="Google Sans" w:hAnsi="Google Sans"/>
        </w:rPr>
        <w:drawing>
          <wp:inline distB="19050" distT="19050" distL="19050" distR="19050">
            <wp:extent cx="515938" cy="248414"/>
            <wp:effectExtent b="0" l="0" r="0" t="0"/>
            <wp:docPr id="53"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15938" cy="248414"/>
                    </a:xfrm>
                    <a:prstGeom prst="rect"/>
                    <a:ln/>
                  </pic:spPr>
                </pic:pic>
              </a:graphicData>
            </a:graphic>
          </wp:inline>
        </w:drawing>
      </w:r>
      <w:r w:rsidDel="00000000" w:rsidR="00000000" w:rsidRPr="00000000">
        <w:rPr>
          <w:rFonts w:ascii="Google Sans" w:cs="Google Sans" w:eastAsia="Google Sans" w:hAnsi="Google Sans"/>
          <w:rtl w:val="0"/>
        </w:rPr>
        <w:t xml:space="preserve"> hasta que el stream de transferencia emita la señal de que los datos han desembarcado completamente en la VRAM, sin que la CPU tenga que realizar esperas de ocupado (</w:t>
      </w:r>
      <w:r w:rsidDel="00000000" w:rsidR="00000000" w:rsidRPr="00000000">
        <w:rPr>
          <w:rFonts w:ascii="Google Sans" w:cs="Google Sans" w:eastAsia="Google Sans" w:hAnsi="Google Sans"/>
          <w:i w:val="1"/>
          <w:iCs w:val="1"/>
          <w:rtl w:val="0"/>
        </w:rPr>
        <w:t xml:space="preserve">busy-waiting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Pipeline de I/O y Transferencia Host-GPU</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Diseño del Flujo de Datos: NVMe a VRAM con Ping-Pong Buffers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flujo de datos debe diseñarse como una tubería continua de procesamiento en la que el almacenamiento NVMe, la memoria RAM del sistema y la VRAM de la GPU operen de forma asíncrona e interleaved.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sistema de archivos en el disco NVMe contiene los pesos cuantizados del modelo organizados secuencialmente por capas. Un grupo de hilos de lectura I/O de Rust extrae continuamente los bloques de datos desde el disco hacia la memoria RAM del sistema utilizando Direct I/O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Esta memoria RAM no es convencional, sino que ha sido reservada explícitamente mediante la llamada cudaMallocHost de CUDA, convirtiéndola en </w:t>
      </w:r>
      <w:r w:rsidDel="00000000" w:rsidR="00000000" w:rsidRPr="00000000">
        <w:rPr>
          <w:rFonts w:ascii="Google Sans" w:cs="Google Sans" w:eastAsia="Google Sans" w:hAnsi="Google Sans"/>
          <w:i w:val="1"/>
          <w:iCs w:val="1"/>
          <w:rtl w:val="0"/>
        </w:rPr>
        <w:t xml:space="preserve">Pinned Host Memory</w:t>
      </w:r>
      <w:r w:rsidDel="00000000" w:rsidR="00000000" w:rsidRPr="00000000">
        <w:rPr>
          <w:rFonts w:ascii="Google Sans" w:cs="Google Sans" w:eastAsia="Google Sans" w:hAnsi="Google Sans"/>
          <w:rtl w:val="0"/>
        </w:rPr>
        <w:t xml:space="preserve"> (memoria orientada a DMA)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la memoria VRAM de la GPU se estructuran dos búferes idénticos dedicados a alojar la capa activa, identificados como </w:t>
      </w:r>
      <w:r w:rsidDel="00000000" w:rsidR="00000000" w:rsidRPr="00000000">
        <w:rPr>
          <w:rFonts w:ascii="Google Sans" w:cs="Google Sans" w:eastAsia="Google Sans" w:hAnsi="Google Sans"/>
          <w:b w:val="1"/>
          <w:bCs w:val="1"/>
          <w:rtl w:val="0"/>
        </w:rPr>
        <w:t xml:space="preserve">Búfer A</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Búfer B</w:t>
      </w:r>
      <w:r w:rsidDel="00000000" w:rsidR="00000000" w:rsidRPr="00000000">
        <w:rPr>
          <w:rFonts w:ascii="Google Sans" w:cs="Google Sans" w:eastAsia="Google Sans" w:hAnsi="Google Sans"/>
          <w:rtl w:val="0"/>
        </w:rPr>
        <w:t xml:space="preserve"> (mecanismo </w:t>
      </w:r>
      <w:r w:rsidDel="00000000" w:rsidR="00000000" w:rsidRPr="00000000">
        <w:rPr>
          <w:rFonts w:ascii="Google Sans" w:cs="Google Sans" w:eastAsia="Google Sans" w:hAnsi="Google Sans"/>
          <w:i w:val="1"/>
          <w:iCs w:val="1"/>
          <w:rtl w:val="0"/>
        </w:rPr>
        <w:t xml:space="preserve">Ping-Pong</w:t>
      </w:r>
      <w:r w:rsidDel="00000000" w:rsidR="00000000" w:rsidRPr="00000000">
        <w:rPr>
          <w:rFonts w:ascii="Google Sans" w:cs="Google Sans" w:eastAsia="Google Sans" w:hAnsi="Google Sans"/>
          <w:rtl w:val="0"/>
        </w:rPr>
        <w:t xml:space="preserve">). Durante una etapa determinada de la ejecución, el </w:t>
      </w:r>
      <w:r w:rsidDel="00000000" w:rsidR="00000000" w:rsidRPr="00000000">
        <w:rPr>
          <w:rFonts w:ascii="Google Sans" w:cs="Google Sans" w:eastAsia="Google Sans" w:hAnsi="Google Sans"/>
          <w:b w:val="1"/>
          <w:bCs w:val="1"/>
          <w:rtl w:val="0"/>
        </w:rPr>
        <w:t xml:space="preserve">Stream de Cómputo</w:t>
      </w:r>
      <w:r w:rsidDel="00000000" w:rsidR="00000000" w:rsidRPr="00000000">
        <w:rPr>
          <w:rFonts w:ascii="Google Sans" w:cs="Google Sans" w:eastAsia="Google Sans" w:hAnsi="Google Sans"/>
          <w:rtl w:val="0"/>
        </w:rPr>
        <w:t xml:space="preserve"> de la GPU invoca los kernels de atención y MLP sobre los pesos almacenados en el Búfer 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Simultáneamente, el </w:t>
      </w:r>
      <w:r w:rsidDel="00000000" w:rsidR="00000000" w:rsidRPr="00000000">
        <w:rPr>
          <w:rFonts w:ascii="Google Sans" w:cs="Google Sans" w:eastAsia="Google Sans" w:hAnsi="Google Sans"/>
          <w:b w:val="1"/>
          <w:bCs w:val="1"/>
          <w:rtl w:val="0"/>
        </w:rPr>
        <w:t xml:space="preserve">Stream de Transferencia</w:t>
      </w:r>
      <w:r w:rsidDel="00000000" w:rsidR="00000000" w:rsidRPr="00000000">
        <w:rPr>
          <w:rFonts w:ascii="Google Sans" w:cs="Google Sans" w:eastAsia="Google Sans" w:hAnsi="Google Sans"/>
          <w:rtl w:val="0"/>
        </w:rPr>
        <w:t xml:space="preserve"> ejecuta una orden cudaMemcpyAsync para enviar la Capa </w:t>
      </w:r>
      <w:r w:rsidDel="00000000" w:rsidR="00000000" w:rsidRPr="00000000">
        <w:rPr>
          <w:rFonts w:ascii="Google Sans" w:cs="Google Sans" w:eastAsia="Google Sans" w:hAnsi="Google Sans"/>
        </w:rPr>
        <w:drawing>
          <wp:inline distB="19050" distT="19050" distL="19050" distR="19050">
            <wp:extent cx="515938" cy="248414"/>
            <wp:effectExtent b="0" l="0" r="0" t="0"/>
            <wp:docPr id="5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15938" cy="248414"/>
                    </a:xfrm>
                    <a:prstGeom prst="rect"/>
                    <a:ln/>
                  </pic:spPr>
                </pic:pic>
              </a:graphicData>
            </a:graphic>
          </wp:inline>
        </w:drawing>
      </w:r>
      <w:r w:rsidDel="00000000" w:rsidR="00000000" w:rsidRPr="00000000">
        <w:rPr>
          <w:rFonts w:ascii="Google Sans" w:cs="Google Sans" w:eastAsia="Google Sans" w:hAnsi="Google Sans"/>
          <w:rtl w:val="0"/>
        </w:rPr>
        <w:t xml:space="preserve"> desde la memoria Pinned de la RAM hacia el Búfer B a través del bus PCIe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finalizado el cómputo en el Búfer A y completada la copia en el Búfer B, un evento CUDA de bajo nivel invalida las dependencias y conmuta los roles de los búferes instante a instante: el Búfer B pasa a ser ejecutado por el Stream de Cómputo mientras el Búfer A recibe la transferencia de la Capa </w:t>
      </w:r>
      <w:r w:rsidDel="00000000" w:rsidR="00000000" w:rsidRPr="00000000">
        <w:rPr>
          <w:rFonts w:ascii="Google Sans" w:cs="Google Sans" w:eastAsia="Google Sans" w:hAnsi="Google Sans"/>
        </w:rPr>
        <w:drawing>
          <wp:inline distB="19050" distT="19050" distL="19050" distR="19050">
            <wp:extent cx="515938" cy="248414"/>
            <wp:effectExtent b="0" l="0" r="0" t="0"/>
            <wp:docPr id="55"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15938" cy="248414"/>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Primitivas de I/O de Sistema: memmap2 vs io_uring vs Overlapped I/O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eficiencia del pipeline de I/O en la CPU condiciona el rendimiento total del motor. Si la lectura de disco es más lenta que la tasa de copia del bus PCIe, la GPU sufrirá interrupciones de inactividad por falta de datos.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Proyección de Memoria (memmap2):</w:t>
      </w:r>
      <w:r w:rsidDel="00000000" w:rsidR="00000000" w:rsidRPr="00000000">
        <w:rPr>
          <w:rFonts w:ascii="Google Sans" w:cs="Google Sans" w:eastAsia="Google Sans" w:hAnsi="Google Sans"/>
          <w:rtl w:val="0"/>
        </w:rPr>
        <w:t xml:space="preserve"> Asigna el archivo de pesos directamente al espacio de direcciones virtuales del proceso mediante mmap</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Aunque elimina copias en el espacio de usuario, la carga física de páginas es controlada de forma perezosa (</w:t>
      </w:r>
      <w:r w:rsidDel="00000000" w:rsidR="00000000" w:rsidRPr="00000000">
        <w:rPr>
          <w:rFonts w:ascii="Google Sans" w:cs="Google Sans" w:eastAsia="Google Sans" w:hAnsi="Google Sans"/>
          <w:i w:val="1"/>
          <w:iCs w:val="1"/>
          <w:rtl w:val="0"/>
        </w:rPr>
        <w:t xml:space="preserve">lazy loading</w:t>
      </w:r>
      <w:r w:rsidDel="00000000" w:rsidR="00000000" w:rsidRPr="00000000">
        <w:rPr>
          <w:rFonts w:ascii="Google Sans" w:cs="Google Sans" w:eastAsia="Google Sans" w:hAnsi="Google Sans"/>
          <w:rtl w:val="0"/>
        </w:rPr>
        <w:t xml:space="preserve">) por la capa de gestión de memoria virtual del kernel de Linux</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Ante situaciones de alta presión de memoria, el kernel puede emitir bloqueos por fallos de página (</w:t>
      </w:r>
      <w:r w:rsidDel="00000000" w:rsidR="00000000" w:rsidRPr="00000000">
        <w:rPr>
          <w:rFonts w:ascii="Google Sans" w:cs="Google Sans" w:eastAsia="Google Sans" w:hAnsi="Google Sans"/>
          <w:i w:val="1"/>
          <w:iCs w:val="1"/>
          <w:rtl w:val="0"/>
        </w:rPr>
        <w:t xml:space="preserve">page faults</w:t>
      </w:r>
      <w:r w:rsidDel="00000000" w:rsidR="00000000" w:rsidRPr="00000000">
        <w:rPr>
          <w:rFonts w:ascii="Google Sans" w:cs="Google Sans" w:eastAsia="Google Sans" w:hAnsi="Google Sans"/>
          <w:rtl w:val="0"/>
        </w:rPr>
        <w:t xml:space="preserve">) no deterministas, degradando la continuidad del flujo de datos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Entrada/Salida Asíncrona Directa (io_uring en Linux):</w:t>
      </w:r>
      <w:r w:rsidDel="00000000" w:rsidR="00000000" w:rsidRPr="00000000">
        <w:rPr>
          <w:rFonts w:ascii="Google Sans" w:cs="Google Sans" w:eastAsia="Google Sans" w:hAnsi="Google Sans"/>
          <w:rtl w:val="0"/>
        </w:rPr>
        <w:t xml:space="preserve"> Representa la solución óptima en sistemas operativos Linux modernos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Combinando io_uring con la bandera de apertura de archivos O_DIRECT, la aplicación envía peticiones de lectura asíncronas desde el anillo de sumisión (</w:t>
      </w:r>
      <w:r w:rsidDel="00000000" w:rsidR="00000000" w:rsidRPr="00000000">
        <w:rPr>
          <w:rFonts w:ascii="Google Sans" w:cs="Google Sans" w:eastAsia="Google Sans" w:hAnsi="Google Sans"/>
          <w:i w:val="1"/>
          <w:iCs w:val="1"/>
          <w:rtl w:val="0"/>
        </w:rPr>
        <w:t xml:space="preserve">Submission Queue</w:t>
      </w:r>
      <w:r w:rsidDel="00000000" w:rsidR="00000000" w:rsidRPr="00000000">
        <w:rPr>
          <w:rFonts w:ascii="Google Sans" w:cs="Google Sans" w:eastAsia="Google Sans" w:hAnsi="Google Sans"/>
          <w:rtl w:val="0"/>
        </w:rPr>
        <w:t xml:space="preserve">) directamente al controlador NVMe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La controladora del disco realiza una transferencia DMA sobre las direcciones físicas de la memoria Pinned previamente reservada con cudaMallocHost, omitiendo por completo la memoria intermedia de páginas del sistema de archivos (</w:t>
      </w:r>
      <w:r w:rsidDel="00000000" w:rsidR="00000000" w:rsidRPr="00000000">
        <w:rPr>
          <w:rFonts w:ascii="Google Sans" w:cs="Google Sans" w:eastAsia="Google Sans" w:hAnsi="Google Sans"/>
          <w:i w:val="1"/>
          <w:iCs w:val="1"/>
          <w:rtl w:val="0"/>
        </w:rPr>
        <w:t xml:space="preserve">Page Cache</w:t>
      </w:r>
      <w:r w:rsidDel="00000000" w:rsidR="00000000" w:rsidRPr="00000000">
        <w:rPr>
          <w:rFonts w:ascii="Google Sans" w:cs="Google Sans" w:eastAsia="Google Sans" w:hAnsi="Google Sans"/>
          <w:rtl w:val="0"/>
        </w:rPr>
        <w:t xml:space="preserve">) y reduciendo a cero el uso de ciclos de CPU para la copia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 Solapada (</w:t>
      </w:r>
      <w:r w:rsidDel="00000000" w:rsidR="00000000" w:rsidRPr="00000000">
        <w:rPr>
          <w:rFonts w:ascii="Google Sans" w:cs="Google Sans" w:eastAsia="Google Sans" w:hAnsi="Google Sans"/>
          <w:b w:val="1"/>
          <w:bCs w:val="1"/>
          <w:i w:val="1"/>
          <w:iCs w:val="1"/>
          <w:rtl w:val="0"/>
        </w:rPr>
        <w:t xml:space="preserve">Overlapped I/O</w:t>
      </w:r>
      <w:r w:rsidDel="00000000" w:rsidR="00000000" w:rsidRPr="00000000">
        <w:rPr>
          <w:rFonts w:ascii="Google Sans" w:cs="Google Sans" w:eastAsia="Google Sans" w:hAnsi="Google Sans"/>
          <w:b w:val="1"/>
          <w:bCs w:val="1"/>
          <w:rtl w:val="0"/>
        </w:rPr>
        <w:t xml:space="preserve"> / IOCP en Windows):</w:t>
      </w:r>
      <w:r w:rsidDel="00000000" w:rsidR="00000000" w:rsidRPr="00000000">
        <w:rPr>
          <w:rFonts w:ascii="Google Sans" w:cs="Google Sans" w:eastAsia="Google Sans" w:hAnsi="Google Sans"/>
          <w:rtl w:val="0"/>
        </w:rPr>
        <w:t xml:space="preserve"> Proporciona un esquema asíncrono equivalente en entornos Windows mediante las funciones de la API Win32 ReadFileEx o </w:t>
      </w:r>
      <w:r w:rsidDel="00000000" w:rsidR="00000000" w:rsidRPr="00000000">
        <w:rPr>
          <w:rFonts w:ascii="Google Sans" w:cs="Google Sans" w:eastAsia="Google Sans" w:hAnsi="Google Sans"/>
          <w:i w:val="1"/>
          <w:iCs w:val="1"/>
          <w:rtl w:val="0"/>
        </w:rPr>
        <w:t xml:space="preserve">I/O Completion Ports</w:t>
      </w:r>
      <w:r w:rsidDel="00000000" w:rsidR="00000000" w:rsidRPr="00000000">
        <w:rPr>
          <w:rFonts w:ascii="Google Sans" w:cs="Google Sans" w:eastAsia="Google Sans" w:hAnsi="Google Sans"/>
          <w:rtl w:val="0"/>
        </w:rPr>
        <w:t xml:space="preserve"> (IOCP) utilizando la bandera FILE_FLAG_NO_BUFFERING. Al igual que io_uring, permite dirigir la lectura del disco hacia los punteros de memoria Pinned sin buffers intermediarios.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Cálculo Teórico y Real de Throughput (Tokens/segundo)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tiempo total necesario para evaluar un paso de generación de un token en un modelo cargado mediante </w:t>
      </w:r>
      <w:r w:rsidDel="00000000" w:rsidR="00000000" w:rsidRPr="00000000">
        <w:rPr>
          <w:rFonts w:ascii="Google Sans" w:cs="Google Sans" w:eastAsia="Google Sans" w:hAnsi="Google Sans"/>
          <w:i w:val="1"/>
          <w:iCs w:val="1"/>
          <w:rtl w:val="0"/>
        </w:rPr>
        <w:t xml:space="preserve">layer-streaming</w:t>
      </w:r>
      <w:r w:rsidDel="00000000" w:rsidR="00000000" w:rsidRPr="00000000">
        <w:rPr>
          <w:rFonts w:ascii="Google Sans" w:cs="Google Sans" w:eastAsia="Google Sans" w:hAnsi="Google Sans"/>
          <w:rtl w:val="0"/>
        </w:rPr>
        <w:t xml:space="preserve"> estricto (lote de tamaño </w:t>
      </w:r>
      <w:r w:rsidDel="00000000" w:rsidR="00000000" w:rsidRPr="00000000">
        <w:rPr>
          <w:rFonts w:ascii="Google Sans" w:cs="Google Sans" w:eastAsia="Google Sans" w:hAnsi="Google Sans"/>
        </w:rPr>
        <w:drawing>
          <wp:inline distB="19050" distT="19050" distL="19050" distR="19050">
            <wp:extent cx="517843" cy="249332"/>
            <wp:effectExtent b="0" l="0" r="0" t="0"/>
            <wp:docPr id="56"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17843" cy="249332"/>
                    </a:xfrm>
                    <a:prstGeom prst="rect"/>
                    <a:ln/>
                  </pic:spPr>
                </pic:pic>
              </a:graphicData>
            </a:graphic>
          </wp:inline>
        </w:drawing>
      </w:r>
      <w:r w:rsidDel="00000000" w:rsidR="00000000" w:rsidRPr="00000000">
        <w:rPr>
          <w:rFonts w:ascii="Google Sans" w:cs="Google Sans" w:eastAsia="Google Sans" w:hAnsi="Google Sans"/>
          <w:rtl w:val="0"/>
        </w:rPr>
        <w:t xml:space="preserve">) está determinado por la suma de los tiempos máximos por capa entre la transferencia por PCIe y el cómputo en GPU:</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1497" cy="934499"/>
            <wp:effectExtent b="0" l="0" r="0" t="0"/>
            <wp:docPr id="5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651497" cy="93449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Donde </w:t>
      </w:r>
      <w:r w:rsidDel="00000000" w:rsidR="00000000" w:rsidRPr="00000000">
        <w:rPr>
          <w:rFonts w:ascii="Google Sans" w:cs="Google Sans" w:eastAsia="Google Sans" w:hAnsi="Google Sans"/>
        </w:rPr>
        <w:drawing>
          <wp:inline distB="19050" distT="19050" distL="19050" distR="19050">
            <wp:extent cx="238284" cy="251164"/>
            <wp:effectExtent b="0" l="0" r="0" t="0"/>
            <wp:docPr id="5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38284" cy="251164"/>
                    </a:xfrm>
                    <a:prstGeom prst="rect"/>
                    <a:ln/>
                  </pic:spPr>
                </pic:pic>
              </a:graphicData>
            </a:graphic>
          </wp:inline>
        </w:drawing>
      </w:r>
      <w:r w:rsidDel="00000000" w:rsidR="00000000" w:rsidRPr="00000000">
        <w:rPr>
          <w:rFonts w:ascii="Google Sans" w:cs="Google Sans" w:eastAsia="Google Sans" w:hAnsi="Google Sans"/>
          <w:rtl w:val="0"/>
        </w:rPr>
        <w:t xml:space="preserve"> representa el tamaño en bytes de los pesos de la capa </w:t>
      </w:r>
      <w:r w:rsidDel="00000000" w:rsidR="00000000" w:rsidRPr="00000000">
        <w:rPr>
          <w:rFonts w:ascii="Google Sans" w:cs="Google Sans" w:eastAsia="Google Sans" w:hAnsi="Google Sans"/>
        </w:rPr>
        <w:drawing>
          <wp:inline distB="19050" distT="19050" distL="19050" distR="19050">
            <wp:extent cx="62230" cy="242697"/>
            <wp:effectExtent b="0" l="0" r="0" t="0"/>
            <wp:docPr id="2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2230" cy="242697"/>
                    </a:xfrm>
                    <a:prstGeom prst="rect"/>
                    <a:ln/>
                  </pic:spPr>
                </pic:pic>
              </a:graphicData>
            </a:graphic>
          </wp:inline>
        </w:drawing>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rPr>
        <w:drawing>
          <wp:inline distB="19050" distT="19050" distL="19050" distR="19050">
            <wp:extent cx="215582" cy="247285"/>
            <wp:effectExtent b="0" l="0" r="0" t="0"/>
            <wp:docPr id="2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5582" cy="247285"/>
                    </a:xfrm>
                    <a:prstGeom prst="rect"/>
                    <a:ln/>
                  </pic:spPr>
                </pic:pic>
              </a:graphicData>
            </a:graphic>
          </wp:inline>
        </w:drawing>
      </w:r>
      <w:r w:rsidDel="00000000" w:rsidR="00000000" w:rsidRPr="00000000">
        <w:rPr>
          <w:rFonts w:ascii="Google Sans" w:cs="Google Sans" w:eastAsia="Google Sans" w:hAnsi="Google Sans"/>
          <w:rtl w:val="0"/>
        </w:rPr>
        <w:t xml:space="preserve"> son las activaciones resultantes. En la gran mayoría de escenarios de </w:t>
      </w:r>
      <w:r w:rsidDel="00000000" w:rsidR="00000000" w:rsidRPr="00000000">
        <w:rPr>
          <w:rFonts w:ascii="Google Sans" w:cs="Google Sans" w:eastAsia="Google Sans" w:hAnsi="Google Sans"/>
          <w:i w:val="1"/>
          <w:iCs w:val="1"/>
          <w:rtl w:val="0"/>
        </w:rPr>
        <w:t xml:space="preserve">layer-streaming</w:t>
      </w:r>
      <w:r w:rsidDel="00000000" w:rsidR="00000000" w:rsidRPr="00000000">
        <w:rPr>
          <w:rFonts w:ascii="Google Sans" w:cs="Google Sans" w:eastAsia="Google Sans" w:hAnsi="Google Sans"/>
          <w:rtl w:val="0"/>
        </w:rPr>
        <w:t xml:space="preserve"> sobre hardware de consumo, la velocidad del bus PCIe resulta sustancialmente menor que la capacidad teórica de procesamiento TFLOPS de la GPU, convirtiendo a la velocidad de transferencia en el factor limitante dominante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tasa máxima teórica de generación de tokens (</w:t>
      </w:r>
      <w:r w:rsidDel="00000000" w:rsidR="00000000" w:rsidRPr="00000000">
        <w:rPr>
          <w:rFonts w:ascii="Google Sans" w:cs="Google Sans" w:eastAsia="Google Sans" w:hAnsi="Google Sans"/>
        </w:rPr>
        <w:drawing>
          <wp:inline distB="19050" distT="19050" distL="19050" distR="19050">
            <wp:extent cx="561816" cy="248987"/>
            <wp:effectExtent b="0" l="0" r="0" t="0"/>
            <wp:docPr id="2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61816" cy="248987"/>
                    </a:xfrm>
                    <a:prstGeom prst="rect"/>
                    <a:ln/>
                  </pic:spPr>
                </pic:pic>
              </a:graphicData>
            </a:graphic>
          </wp:inline>
        </w:drawing>
      </w:r>
      <w:r w:rsidDel="00000000" w:rsidR="00000000" w:rsidRPr="00000000">
        <w:rPr>
          <w:rFonts w:ascii="Google Sans" w:cs="Google Sans" w:eastAsia="Google Sans" w:hAnsi="Google Sans"/>
          <w:rtl w:val="0"/>
        </w:rPr>
        <w:t xml:space="preserve">) se calcula mediante: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1497" cy="788285"/>
            <wp:effectExtent b="0" l="0" r="0" t="0"/>
            <wp:docPr id="2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51497" cy="7882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continuación se expone la matriz de velocidad teórica y real estimada (asumiendo una eficiencia real de transmisión sobre el bus PCIe del </w:t>
      </w:r>
      <w:r w:rsidDel="00000000" w:rsidR="00000000" w:rsidRPr="00000000">
        <w:rPr>
          <w:rFonts w:ascii="Google Sans" w:cs="Google Sans" w:eastAsia="Google Sans" w:hAnsi="Google Sans"/>
        </w:rPr>
        <w:drawing>
          <wp:inline distB="19050" distT="19050" distL="19050" distR="19050">
            <wp:extent cx="359093" cy="233095"/>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59093" cy="233095"/>
                    </a:xfrm>
                    <a:prstGeom prst="rect"/>
                    <a:ln/>
                  </pic:spPr>
                </pic:pic>
              </a:graphicData>
            </a:graphic>
          </wp:inline>
        </w:drawing>
      </w:r>
      <w:r w:rsidDel="00000000" w:rsidR="00000000" w:rsidRPr="00000000">
        <w:rPr>
          <w:rFonts w:ascii="Google Sans" w:cs="Google Sans" w:eastAsia="Google Sans" w:hAnsi="Google Sans"/>
          <w:rtl w:val="0"/>
        </w:rPr>
        <w:t xml:space="preserve">) para un modelo de </w:t>
      </w:r>
      <w:r w:rsidDel="00000000" w:rsidR="00000000" w:rsidRPr="00000000">
        <w:rPr>
          <w:rFonts w:ascii="Google Sans" w:cs="Google Sans" w:eastAsia="Google Sans" w:hAnsi="Google Sans"/>
          <w:b w:val="1"/>
          <w:bCs w:val="1"/>
          <w:rtl w:val="0"/>
        </w:rPr>
        <w:t xml:space="preserve">70 mil millones de parámetros (70B)</w:t>
      </w:r>
      <w:r w:rsidDel="00000000" w:rsidR="00000000" w:rsidRPr="00000000">
        <w:rPr>
          <w:rFonts w:ascii="Google Sans" w:cs="Google Sans" w:eastAsia="Google Sans" w:hAnsi="Google Sans"/>
          <w:rtl w:val="0"/>
        </w:rPr>
        <w:t xml:space="preserve"> compuesto por 80 capas, bajo diversas precisiones de cuantización y versiones del bus PCI Express: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Precisión de Pesos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Tamaño del Modelo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PCIe 3.0 x16 / PCIe 4.0 x8 (Ancho Banda Efectivo: 13.4 GB/s)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PCIe 4.0 x16 (Ancho Banda Efectivo: 26.8 GB/s)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PCIe 5.0 x16 (Ancho Banda Efectivo: 53.5 GB/s)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FP16 / BF16 (16-bit)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~140.0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~0.10 tok/s (10.4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~0.19 tok/s (5.2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~0.38 tok/s (2.6 s/tok)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INT8 / FP8 (8-bit)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~70.0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~0.19 tok/s (5.2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~0.38 tok/s (2.6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~0.77 tok/s (1.3 s/tok)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GGUF / AWQ (4-bit)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~39.5 GB (Q4_K_M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~0.34 tok/s (2.9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~0.67 tok/s (1.5 s/tok)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~1.33 tok/s (0.75 s/tok)</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El análisis cuantitativo demuestra que para ejecutar un modelo 70B en formato de 4 bits de manera interactiva a velocidades cercanas a la lectura humana (4-7 tokens/s), es imprescindible contar</w:t>
      </w:r>
      <w:r w:rsidDel="00000000" w:rsidR="00000000" w:rsidRPr="00000000">
        <w:rPr>
          <w:rFonts w:ascii="Google Sans" w:cs="Google Sans" w:eastAsia="Google Sans" w:hAnsi="Google Sans"/>
        </w:rPr>
      </w:r>
      <w:r w:rsidDel="00000000" w:rsidR="00000000" w:rsidRPr="00000000">
        <w:rPr>
          <w:rFonts w:ascii="Google Sans" w:cs="Google Sans" w:eastAsia="Google Sans" w:hAnsi="Google Sans"/>
          <w:rtl w:val="0"/>
        </w:rPr>
        <w:t xml:space="preserve"> con una interfaz de bus PCIe 5.0 x16. En entornos equipados con PCIe 4.0 x16, un modelo 70B mantendrá una velocidad cercana a 0.67-0.77 tokens/segundo (~1.3-1.5 s/token), insuficiente para interacción real.</w:t>
      </w:r>
      <w:r w:rsidDel="00000000" w:rsidR="00000000" w:rsidRPr="00000000">
        <w:rPr>
          <w:rFonts w:ascii="Google Sans" w:cs="Google Sans" w:eastAsia="Google Sans" w:hAnsi="Google Sans"/>
        </w:rPr>
      </w:r>
      <w:r w:rsidDel="00000000" w:rsidR="00000000" w:rsidRPr="00000000">
        <w:rPr>
          <w:rFonts w:ascii="Google Sans" w:cs="Google Sans" w:eastAsia="Google Sans" w:hAnsi="Google Sans"/>
          <w:rtl w:val="0"/>
        </w:rPr>
        <w:t xml:space="preserve"> Por ende, para sistemas limitados a PCIe 4.0, la arquitectura de </w:t>
      </w:r>
      <w:r w:rsidDel="00000000" w:rsidR="00000000" w:rsidRPr="00000000">
        <w:rPr>
          <w:rFonts w:ascii="Google Sans" w:cs="Google Sans" w:eastAsia="Google Sans" w:hAnsi="Google Sans"/>
          <w:i w:val="1"/>
          <w:iCs w:val="1"/>
          <w:rtl w:val="0"/>
        </w:rPr>
        <w:t xml:space="preserve">layer-streaming</w:t>
      </w:r>
      <w:r w:rsidDel="00000000" w:rsidR="00000000" w:rsidRPr="00000000">
        <w:rPr>
          <w:rFonts w:ascii="Google Sans" w:cs="Google Sans" w:eastAsia="Google Sans" w:hAnsi="Google Sans"/>
          <w:rtl w:val="0"/>
        </w:rPr>
        <w:t xml:space="preserve"> alcanza su mayor utilidad práctica al aplicarse sobre modelos de la escala </w:t>
      </w:r>
      <w:r w:rsidDel="00000000" w:rsidR="00000000" w:rsidRPr="00000000">
        <w:rPr>
          <w:rFonts w:ascii="Google Sans" w:cs="Google Sans" w:eastAsia="Google Sans" w:hAnsi="Google Sans"/>
          <w:b w:val="1"/>
          <w:bCs w:val="1"/>
          <w:rtl w:val="0"/>
        </w:rPr>
        <w:t xml:space="preserve">30B a 35B</w:t>
      </w:r>
      <w:r w:rsidDel="00000000" w:rsidR="00000000" w:rsidRPr="00000000">
        <w:rPr>
          <w:rFonts w:ascii="Google Sans" w:cs="Google Sans" w:eastAsia="Google Sans" w:hAnsi="Google Sans"/>
          <w:rtl w:val="0"/>
        </w:rPr>
        <w:t xml:space="preserve"> (cuyo tamaño comprimido a 4 bits ronda los ~19 GB reales en Q4_K_M), duplicando las tasas de rendimiento observadas en la tabla (~1.4-1.5 tokens/s sobre PCIe 4.0 x16)</w:t>
      </w:r>
      <w:r w:rsidDel="00000000" w:rsidR="00000000" w:rsidRPr="00000000">
        <w:rPr>
          <w:rFonts w:ascii="Google Sans" w:cs="Google Sans" w:eastAsia="Google Sans" w:hAnsi="Google Sans"/>
        </w:rPr>
      </w:r>
      <w:r w:rsidDel="00000000" w:rsidR="00000000" w:rsidRPr="00000000">
        <w:rPr>
          <w:rFonts w:ascii="Google Sans" w:cs="Google Sans" w:eastAsia="Google Sans" w:hAnsi="Google Sans"/>
          <w:rtl w:val="0"/>
        </w:rPr>
      </w:r>
      <w:r w:rsidDel="00000000" w:rsidR="00000000" w:rsidRPr="00000000">
        <w:rPr>
          <w:rFonts w:ascii="Google Sans" w:cs="Google Sans" w:eastAsia="Google Sans" w:hAnsi="Google Sans"/>
        </w:rPr>
      </w:r>
      <w:r w:rsidDel="00000000" w:rsidR="00000000" w:rsidRPr="00000000">
        <w:rPr>
          <w:rFonts w:ascii="Google Sans" w:cs="Google Sans" w:eastAsia="Google Sans" w:hAnsi="Google Sans"/>
          <w:rtl w:val="0"/>
        </w:rPr>
        <w: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KV-Cache y Cuantización en Streaming</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Arquitectura de KV-Cache Residente en VRAM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de las condiciones críticas para la viabilidad del motor es garantizar que la </w:t>
      </w:r>
      <w:r w:rsidDel="00000000" w:rsidR="00000000" w:rsidRPr="00000000">
        <w:rPr>
          <w:rFonts w:ascii="Google Sans" w:cs="Google Sans" w:eastAsia="Google Sans" w:hAnsi="Google Sans"/>
          <w:b w:val="1"/>
          <w:bCs w:val="1"/>
          <w:rtl w:val="0"/>
        </w:rPr>
        <w:t xml:space="preserve">KV-Cache permanezca </w:t>
      </w:r>
      <w:r w:rsidDel="00000000" w:rsidR="00000000" w:rsidRPr="00000000">
        <w:rPr>
          <w:rFonts w:ascii="Google Sans" w:cs="Google Sans" w:eastAsia="Google Sans" w:hAnsi="Google Sans"/>
          <w:b w:val="1"/>
          <w:bCs w:val="1"/>
        </w:rPr>
        <w:drawing>
          <wp:inline distB="19050" distT="19050" distL="19050" distR="19050">
            <wp:extent cx="457041" cy="234868"/>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7041" cy="23486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residente en la VRAM de la GPU</w:t>
      </w:r>
      <w:r w:rsidDel="00000000" w:rsidR="00000000" w:rsidRPr="00000000">
        <w:rPr>
          <w:rFonts w:ascii="Google Sans" w:cs="Google Sans" w:eastAsia="Google Sans" w:hAnsi="Google Sans"/>
          <w:rtl w:val="0"/>
        </w:rPr>
        <w:t xml:space="preserve"> a lo largo de todo el proceso de inferencia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 el motor intentara desalojar y recargar la KV-Cache hacia la RAM del sistema en cada paso por capa, el bus PCIe sufriría una saturación bidireccional inmediata, destruyendo el rendimiento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dimensionar el consumo de memoria, considérese un modelo representativo como Llama-3-70B (80 capas, arquitectura </w:t>
      </w:r>
      <w:r w:rsidDel="00000000" w:rsidR="00000000" w:rsidRPr="00000000">
        <w:rPr>
          <w:rFonts w:ascii="Google Sans" w:cs="Google Sans" w:eastAsia="Google Sans" w:hAnsi="Google Sans"/>
          <w:i w:val="1"/>
          <w:iCs w:val="1"/>
          <w:rtl w:val="0"/>
        </w:rPr>
        <w:t xml:space="preserve">Grouped-Query Attention</w:t>
      </w:r>
      <w:r w:rsidDel="00000000" w:rsidR="00000000" w:rsidRPr="00000000">
        <w:rPr>
          <w:rFonts w:ascii="Google Sans" w:cs="Google Sans" w:eastAsia="Google Sans" w:hAnsi="Google Sans"/>
          <w:rtl w:val="0"/>
        </w:rPr>
        <w:t xml:space="preserve"> con 8 cabezas KV, y una dimensión por cabeza de 128). La memoria consumida por la KV-Cache para un token individual en precisión FP16 se determina mediante la fórmula: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1497" cy="578500"/>
            <wp:effectExtent b="0" l="0" r="0" t="0"/>
            <wp:docPr id="2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651497" cy="578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1497" cy="559428"/>
            <wp:effectExtent b="0" l="0" r="0" t="0"/>
            <wp:docPr id="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651497" cy="5594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una secuencia de entrada con un contexto extendido de 8,192 tokens sobre un lote de tamaño 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1497" cy="559428"/>
            <wp:effectExtent b="0" l="0" r="0" t="0"/>
            <wp:docPr id="2"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651497" cy="55942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una GPU provista de 16 GB de VRAM, el presupuesto de asignación de memoria se distribuye de manera estable según la siguiente estructura:</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Reserva Estática para KV-Cache (Contexto 8K):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89769" cy="236310"/>
            <wp:effectExtent b="0" l="0" r="0" t="0"/>
            <wp:docPr id="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689769" cy="236310"/>
                    </a:xfrm>
                    <a:prstGeom prst="rect"/>
                    <a:ln/>
                  </pic:spPr>
                </pic:pic>
              </a:graphicData>
            </a:graphic>
          </wp:inline>
        </w:drawing>
      </w:r>
      <w:r w:rsidDel="00000000" w:rsidR="00000000" w:rsidRPr="00000000">
        <w:rPr>
          <w:rtl w:val="0"/>
        </w:rPr>
        <w:t xml:space="preserve"> ~2.50 GiB (320 KiB/token x 8192 tokens, FP16, GQA 8 KV heads)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Búfer Ping-Pong A (Capa activa 4-bit):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89769" cy="236310"/>
            <wp:effectExtent b="0" l="0" r="0" t="0"/>
            <wp:docPr id="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689769" cy="236310"/>
                    </a:xfrm>
                    <a:prstGeom prst="rect"/>
                    <a:ln/>
                  </pic:spPr>
                </pic:pic>
              </a:graphicData>
            </a:graphic>
          </wp:inline>
        </w:drawing>
      </w:r>
      <w:r w:rsidDel="00000000" w:rsidR="00000000" w:rsidRPr="00000000">
        <w:rPr>
          <w:rtl w:val="0"/>
        </w:rPr>
        <w:t xml:space="preserve"> ~0.44 GiB</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Búfer Ping-Pong B (Capa subsiguiente 4-bit):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89769" cy="236310"/>
            <wp:effectExtent b="0" l="0" r="0" t="0"/>
            <wp:docPr id="5"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689769" cy="236310"/>
                    </a:xfrm>
                    <a:prstGeom prst="rect"/>
                    <a:ln/>
                  </pic:spPr>
                </pic:pic>
              </a:graphicData>
            </a:graphic>
          </wp:inline>
        </w:drawing>
      </w:r>
      <w:r w:rsidDel="00000000" w:rsidR="00000000" w:rsidRPr="00000000">
        <w:rPr>
          <w:rtl w:val="0"/>
        </w:rPr>
        <w:t xml:space="preserve"> ~0.44 GiB</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Espacio de Cómputo Temporal (Activaciones y Atenciones):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89769" cy="236310"/>
            <wp:effectExtent b="0" l="0" r="0" t="0"/>
            <wp:docPr id="6"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689769" cy="236310"/>
                    </a:xfrm>
                    <a:prstGeom prst="rect"/>
                    <a:ln/>
                  </pic:spPr>
                </pic:pic>
              </a:graphicData>
            </a:graphic>
          </wp:inline>
        </w:drawing>
      </w:r>
      <w:r w:rsidDel="00000000" w:rsidR="00000000" w:rsidRPr="00000000">
        <w:rPr>
          <w:rtl w:val="0"/>
        </w:rPr>
        <w:t xml:space="preserve"> ~0.80 GiB</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Overhead del Driver de CUDA y Contexto de la GPU:</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89769" cy="236310"/>
            <wp:effectExtent b="0" l="0" r="0" t="0"/>
            <wp:docPr id="7"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689769" cy="236310"/>
                    </a:xfrm>
                    <a:prstGeom prst="rect"/>
                    <a:ln/>
                  </pic:spPr>
                </pic:pic>
              </a:graphicData>
            </a:graphic>
          </wp:inline>
        </w:drawing>
      </w:r>
      <w:r w:rsidDel="00000000" w:rsidR="00000000" w:rsidRPr="00000000">
        <w:rPr>
          <w:rtl w:val="0"/>
        </w:rPr>
        <w:t xml:space="preserve"> ~0.80 GiB</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Margen de Seguridad Libre en VRAM: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87717" cy="235045"/>
            <wp:effectExtent b="0" l="0" r="0" t="0"/>
            <wp:docPr id="8"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787717" cy="235045"/>
                    </a:xfrm>
                    <a:prstGeom prst="rect"/>
                    <a:ln/>
                  </pic:spPr>
                </pic:pic>
              </a:graphicData>
            </a:graphic>
          </wp:inline>
        </w:drawing>
      </w:r>
      <w:r w:rsidDel="00000000" w:rsidR="00000000" w:rsidRPr="00000000">
        <w:rPr>
          <w:rtl w:val="0"/>
        </w:rPr>
        <w:t xml:space="preserve"> ~11.0 GiB (total usado ~4.98 GiB de 16 GiB; cabe también en GPUs de 8 GiB)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desglose confirma que los búferes de la KV-Cache residente y las capas dobles en streaming coexisten holgadamente dentro del límite físico de 16 GB de VRAM (e incluso dentro de aceleradores de 8 GB), reservando espacio libre suficiente para expandir los bloques de </w:t>
      </w:r>
      <w:r w:rsidDel="00000000" w:rsidR="00000000" w:rsidRPr="00000000">
        <w:rPr>
          <w:rFonts w:ascii="Google Sans" w:cs="Google Sans" w:eastAsia="Google Sans" w:hAnsi="Google Sans"/>
          <w:i w:val="1"/>
          <w:iCs w:val="1"/>
          <w:rtl w:val="0"/>
        </w:rPr>
        <w:t xml:space="preserve">PagedAttention</w:t>
      </w:r>
      <w:r w:rsidDel="00000000" w:rsidR="00000000" w:rsidRPr="00000000">
        <w:rPr>
          <w:rFonts w:ascii="Google Sans" w:cs="Google Sans" w:eastAsia="Google Sans" w:hAnsi="Google Sans"/>
          <w:rtl w:val="0"/>
        </w:rPr>
        <w:t xml:space="preserve"> o incrementar el tamaño del lote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Estrategia de Cuantización: Transmisión en 4-bit vs. FP16/BF16/FP8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Existe una decisión de diseño fundamental sobre qué representación de formato debe transitar por el bus PCIe: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se optara por almacenar y transmitir los pesos descuantizados en precisión FP16 o BF16, la cantidad de bytes transmitidos por token en un modelo 70B ascendería a </w:t>
      </w:r>
      <w:r w:rsidDel="00000000" w:rsidR="00000000" w:rsidRPr="00000000">
        <w:rPr>
          <w:rFonts w:ascii="Google Sans" w:cs="Google Sans" w:eastAsia="Google Sans" w:hAnsi="Google Sans"/>
        </w:rPr>
        <w:drawing>
          <wp:inline distB="19050" distT="19050" distL="19050" distR="19050">
            <wp:extent cx="635317" cy="235067"/>
            <wp:effectExtent b="0" l="0" r="0" t="0"/>
            <wp:docPr id="9"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635317" cy="235067"/>
                    </a:xfrm>
                    <a:prstGeom prst="rect"/>
                    <a:ln/>
                  </pic:spPr>
                </pic:pic>
              </a:graphicData>
            </a:graphic>
          </wp:inline>
        </w:drawing>
      </w:r>
      <w:r w:rsidDel="00000000" w:rsidR="00000000" w:rsidRPr="00000000">
        <w:rPr>
          <w:rFonts w:ascii="Google Sans" w:cs="Google Sans" w:eastAsia="Google Sans" w:hAnsi="Google Sans"/>
          <w:rtl w:val="0"/>
        </w:rPr>
        <w:t xml:space="preserve">. Esto consumiría innecesariamente el ancho de banda del bus PCIe, reduciendo el rendimiento a la cuarta parte de su potencial.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el contrario, la estrategia óptima consiste en </w:t>
      </w:r>
      <w:r w:rsidDel="00000000" w:rsidR="00000000" w:rsidRPr="00000000">
        <w:rPr>
          <w:rFonts w:ascii="Google Sans" w:cs="Google Sans" w:eastAsia="Google Sans" w:hAnsi="Google Sans"/>
          <w:b w:val="1"/>
          <w:bCs w:val="1"/>
          <w:rtl w:val="0"/>
        </w:rPr>
        <w:t xml:space="preserve">almacenar y transmitir los pesos cuantizados a 4 bits (formatos GGUF Q4_K_M, AWQ o GPTQ)</w:t>
      </w:r>
      <w:r w:rsidDel="00000000" w:rsidR="00000000" w:rsidRPr="00000000">
        <w:rPr>
          <w:rFonts w:ascii="Google Sans" w:cs="Google Sans" w:eastAsia="Google Sans" w:hAnsi="Google Sans"/>
          <w:rtl w:val="0"/>
        </w:rPr>
        <w:t xml:space="preserve"> a través del bus PCIe, y ejecutar la </w:t>
      </w:r>
      <w:r w:rsidDel="00000000" w:rsidR="00000000" w:rsidRPr="00000000">
        <w:rPr>
          <w:rFonts w:ascii="Google Sans" w:cs="Google Sans" w:eastAsia="Google Sans" w:hAnsi="Google Sans"/>
          <w:b w:val="1"/>
          <w:bCs w:val="1"/>
          <w:rtl w:val="0"/>
        </w:rPr>
        <w:t xml:space="preserve">descuantización al vuelo (</w:t>
      </w:r>
      <w:r w:rsidDel="00000000" w:rsidR="00000000" w:rsidRPr="00000000">
        <w:rPr>
          <w:rFonts w:ascii="Google Sans" w:cs="Google Sans" w:eastAsia="Google Sans" w:hAnsi="Google Sans"/>
          <w:b w:val="1"/>
          <w:bCs w:val="1"/>
          <w:i w:val="1"/>
          <w:iCs w:val="1"/>
          <w:rtl w:val="0"/>
        </w:rPr>
        <w:t xml:space="preserve">on-the-fly</w:t>
      </w:r>
      <w:r w:rsidDel="00000000" w:rsidR="00000000" w:rsidRPr="00000000">
        <w:rPr>
          <w:rFonts w:ascii="Google Sans" w:cs="Google Sans" w:eastAsia="Google Sans" w:hAnsi="Google Sans"/>
          <w:b w:val="1"/>
          <w:bCs w:val="1"/>
          <w:rtl w:val="0"/>
        </w:rPr>
        <w:t xml:space="preserve">) directamente dentro de los kernels de la GPU</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justificación matemática reside en la disparidad de anchos de banda del hardware. Mientras que el bus PCIe 4.0 x16 transmite a una velocidad efectiva cercana a </w:t>
      </w:r>
      <w:r w:rsidDel="00000000" w:rsidR="00000000" w:rsidRPr="00000000">
        <w:rPr>
          <w:rFonts w:ascii="Google Sans" w:cs="Google Sans" w:eastAsia="Google Sans" w:hAnsi="Google Sans"/>
        </w:rPr>
        <w:drawing>
          <wp:inline distB="19050" distT="19050" distL="19050" distR="19050">
            <wp:extent cx="864870" cy="235296"/>
            <wp:effectExtent b="0" l="0" r="0" t="0"/>
            <wp:docPr id="10"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864870" cy="235296"/>
                    </a:xfrm>
                    <a:prstGeom prst="rect"/>
                    <a:ln/>
                  </pic:spPr>
                </pic:pic>
              </a:graphicData>
            </a:graphic>
          </wp:inline>
        </w:drawing>
      </w:r>
      <w:r w:rsidDel="00000000" w:rsidR="00000000" w:rsidRPr="00000000">
        <w:rPr>
          <w:rFonts w:ascii="Google Sans" w:cs="Google Sans" w:eastAsia="Google Sans" w:hAnsi="Google Sans"/>
          <w:rtl w:val="0"/>
        </w:rPr>
        <w:t xml:space="preserve">, la memoria interna VRAM de una tarjeta gráfica de consumo (como una NVIDIA RTX 4090) ofrece un ancho de banda interno superior a los </w:t>
      </w:r>
      <w:r w:rsidDel="00000000" w:rsidR="00000000" w:rsidRPr="00000000">
        <w:rPr>
          <w:rFonts w:ascii="Google Sans" w:cs="Google Sans" w:eastAsia="Google Sans" w:hAnsi="Google Sans"/>
        </w:rPr>
        <w:drawing>
          <wp:inline distB="19050" distT="19050" distL="19050" distR="19050">
            <wp:extent cx="995524" cy="234614"/>
            <wp:effectExtent b="0" l="0" r="0" t="0"/>
            <wp:docPr id="36"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995524" cy="234614"/>
                    </a:xfrm>
                    <a:prstGeom prst="rect"/>
                    <a:ln/>
                  </pic:spPr>
                </pic:pic>
              </a:graphicData>
            </a:graphic>
          </wp:inline>
        </w:drawing>
      </w:r>
      <w:r w:rsidDel="00000000" w:rsidR="00000000" w:rsidRPr="00000000">
        <w:rPr>
          <w:rFonts w:ascii="Google Sans" w:cs="Google Sans" w:eastAsia="Google Sans" w:hAnsi="Google Sans"/>
          <w:rtl w:val="0"/>
        </w:rPr>
        <w:t xml:space="preserve">. La conversión de enteros de 4 bits a escalares flotantes de 16 bits en los registros de los multiprocesadores de la GPU consume una cantidad insignificante de ciclos de reloj en comparación con el tiempo ahorrado al reducir el volumen de datos transmitidos por el bus de </w:t>
      </w:r>
      <w:r w:rsidDel="00000000" w:rsidR="00000000" w:rsidRPr="00000000">
        <w:rPr>
          <w:rFonts w:ascii="Google Sans" w:cs="Google Sans" w:eastAsia="Google Sans" w:hAnsi="Google Sans"/>
        </w:rPr>
        <w:drawing>
          <wp:inline distB="19050" distT="19050" distL="19050" distR="19050">
            <wp:extent cx="635317" cy="235067"/>
            <wp:effectExtent b="0" l="0" r="0" t="0"/>
            <wp:docPr id="39"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635317" cy="235067"/>
                    </a:xfrm>
                    <a:prstGeom prst="rect"/>
                    <a:ln/>
                  </pic:spPr>
                </pic:pic>
              </a:graphicData>
            </a:graphic>
          </wp:inline>
        </w:drawing>
      </w:r>
      <w:r w:rsidDel="00000000" w:rsidR="00000000" w:rsidRPr="00000000">
        <w:rPr>
          <w:rFonts w:ascii="Google Sans" w:cs="Google Sans" w:eastAsia="Google Sans" w:hAnsi="Google Sans"/>
          <w:rtl w:val="0"/>
        </w:rPr>
        <w:t xml:space="preserve"> a tan solo </w:t>
      </w:r>
      <w:r w:rsidDel="00000000" w:rsidR="00000000" w:rsidRPr="00000000">
        <w:rPr>
          <w:rFonts w:ascii="Google Sans" w:cs="Google Sans" w:eastAsia="Google Sans" w:hAnsi="Google Sans"/>
        </w:rPr>
        <w:drawing>
          <wp:inline distB="19050" distT="19050" distL="19050" distR="19050">
            <wp:extent cx="537369" cy="236698"/>
            <wp:effectExtent b="0" l="0" r="0" t="0"/>
            <wp:docPr id="40"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37369" cy="23669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Serving Concurrente y Streaming HTTP</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Servidor Web Asíncrono con Axum, Tokio y SSE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motor de servicio expone una interfaz de red estructurada mediante la librería axum, operando sobre el runtime asíncrono de tokio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Para garantizar la compatibilidad con el ecosistema de OpenAI, el servidor implementa el endpoint /v1/chat/completions enviando respuestas mediante Server-Sent Events (SSE)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arquitectura separa estrictamente el plano del servidor web asíncrono del plano de ejecución del motor de cómputo en CUDA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Las peticiones HTTP entrantes son procesadas por los trabajadores de axum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El contenido de la solicitud se empaqueta en una estructura de datos de consulta y se transmite mediante un canal multi-productor solo-consumidor (tokio::sync::mpsc::channel) hacia un hilo dedicado de la CPU de alta prioridad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Este hilo desacoplado retiene la propiedad exclusiva del contexto de CUDA (CUcontext) y coordina las llamadas al driver mediante llamadas síncronas/asíncronas no bloqueantes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medida que el motor genera cada token resultante del procesamiento de las capas del modelo, lo transmite de vuelta al hilo de la API web utilizando un canal de respuesta unidireccional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El controlador de axum transforma estos tokens recibidos en fragmentos JSON estructurados bajo el estándar de OpenAI (data: {"choices": [{"delta": {"content": "..."}}]}) y los transmite de forma fluida a través de la conexión SSE manteniendo activa la sesión del cliente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Trade-offs de Continuous Batching con Carga Dinámica de Capas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algoritmo de agrupamiento continuo (</w:t>
      </w:r>
      <w:r w:rsidDel="00000000" w:rsidR="00000000" w:rsidRPr="00000000">
        <w:rPr>
          <w:rFonts w:ascii="Google Sans" w:cs="Google Sans" w:eastAsia="Google Sans" w:hAnsi="Google Sans"/>
          <w:i w:val="1"/>
          <w:iCs w:val="1"/>
          <w:rtl w:val="0"/>
        </w:rPr>
        <w:t xml:space="preserve">Continuous Batching</w:t>
      </w:r>
      <w:r w:rsidDel="00000000" w:rsidR="00000000" w:rsidRPr="00000000">
        <w:rPr>
          <w:rFonts w:ascii="Google Sans" w:cs="Google Sans" w:eastAsia="Google Sans" w:hAnsi="Google Sans"/>
          <w:rtl w:val="0"/>
        </w:rPr>
        <w:t xml:space="preserve">) permite concatenar peticiones que se encuentran en diferentes fases de su ciclo de vida (evaluación del prompt inicial o </w:t>
      </w:r>
      <w:r w:rsidDel="00000000" w:rsidR="00000000" w:rsidRPr="00000000">
        <w:rPr>
          <w:rFonts w:ascii="Google Sans" w:cs="Google Sans" w:eastAsia="Google Sans" w:hAnsi="Google Sans"/>
          <w:i w:val="1"/>
          <w:iCs w:val="1"/>
          <w:rtl w:val="0"/>
        </w:rPr>
        <w:t xml:space="preserve">prefill</w:t>
      </w:r>
      <w:r w:rsidDel="00000000" w:rsidR="00000000" w:rsidRPr="00000000">
        <w:rPr>
          <w:rFonts w:ascii="Google Sans" w:cs="Google Sans" w:eastAsia="Google Sans" w:hAnsi="Google Sans"/>
          <w:rtl w:val="0"/>
        </w:rPr>
        <w:t xml:space="preserve">, frente a la generación token a token o </w:t>
      </w:r>
      <w:r w:rsidDel="00000000" w:rsidR="00000000" w:rsidRPr="00000000">
        <w:rPr>
          <w:rFonts w:ascii="Google Sans" w:cs="Google Sans" w:eastAsia="Google Sans" w:hAnsi="Google Sans"/>
          <w:i w:val="1"/>
          <w:iCs w:val="1"/>
          <w:rtl w:val="0"/>
        </w:rPr>
        <w:t xml:space="preserve">decode</w:t>
      </w:r>
      <w:r w:rsidDel="00000000" w:rsidR="00000000" w:rsidRPr="00000000">
        <w:rPr>
          <w:rFonts w:ascii="Google Sans" w:cs="Google Sans" w:eastAsia="Google Sans" w:hAnsi="Google Sans"/>
          <w:rtl w:val="0"/>
        </w:rPr>
        <w:t xml:space="preserve">) dentro de un mismo paso computacional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No obstante, cuando los pesos del modelo se transfieren dinámicamente capa por capa, se introducen dinamismos operacionales particulares: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Equilibrio entre Saturación de Cómputo y Ancho de Banda I/O:</w:t>
      </w:r>
      <w:r w:rsidDel="00000000" w:rsidR="00000000" w:rsidRPr="00000000">
        <w:rPr>
          <w:rFonts w:ascii="Google Sans" w:cs="Google Sans" w:eastAsia="Google Sans" w:hAnsi="Google Sans"/>
          <w:rtl w:val="0"/>
        </w:rPr>
        <w:t xml:space="preserve"> En ejecuciones de un solo usuario (lote </w:t>
      </w:r>
      <w:r w:rsidDel="00000000" w:rsidR="00000000" w:rsidRPr="00000000">
        <w:rPr>
          <w:rFonts w:ascii="Google Sans" w:cs="Google Sans" w:eastAsia="Google Sans" w:hAnsi="Google Sans"/>
        </w:rPr>
        <w:drawing>
          <wp:inline distB="19050" distT="19050" distL="19050" distR="19050">
            <wp:extent cx="517843" cy="249332"/>
            <wp:effectExtent b="0" l="0" r="0" t="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17843" cy="249332"/>
                    </a:xfrm>
                    <a:prstGeom prst="rect"/>
                    <a:ln/>
                  </pic:spPr>
                </pic:pic>
              </a:graphicData>
            </a:graphic>
          </wp:inline>
        </w:drawing>
      </w:r>
      <w:r w:rsidDel="00000000" w:rsidR="00000000" w:rsidRPr="00000000">
        <w:rPr>
          <w:rFonts w:ascii="Google Sans" w:cs="Google Sans" w:eastAsia="Google Sans" w:hAnsi="Google Sans"/>
          <w:rtl w:val="0"/>
        </w:rPr>
        <w:t xml:space="preserve">), el sistema está severamente acotado por la velocidad del bus PCIe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 consolidar múltiples peticiones en un lote (</w:t>
      </w:r>
      <w:r w:rsidDel="00000000" w:rsidR="00000000" w:rsidRPr="00000000">
        <w:rPr>
          <w:rFonts w:ascii="Google Sans" w:cs="Google Sans" w:eastAsia="Google Sans" w:hAnsi="Google Sans"/>
        </w:rPr>
        <w:drawing>
          <wp:inline distB="19050" distT="19050" distL="19050" distR="19050">
            <wp:extent cx="517843" cy="249332"/>
            <wp:effectExtent b="0" l="0" r="0" t="0"/>
            <wp:docPr id="45"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17843" cy="249332"/>
                    </a:xfrm>
                    <a:prstGeom prst="rect"/>
                    <a:ln/>
                  </pic:spPr>
                </pic:pic>
              </a:graphicData>
            </a:graphic>
          </wp:inline>
        </w:drawing>
      </w:r>
      <w:r w:rsidDel="00000000" w:rsidR="00000000" w:rsidRPr="00000000">
        <w:rPr>
          <w:rFonts w:ascii="Google Sans" w:cs="Google Sans" w:eastAsia="Google Sans" w:hAnsi="Google Sans"/>
          <w:rtl w:val="0"/>
        </w:rPr>
        <w:t xml:space="preserve">), el tamaño de las matrices de activación </w:t>
      </w:r>
      <w:r w:rsidDel="00000000" w:rsidR="00000000" w:rsidRPr="00000000">
        <w:rPr>
          <w:rFonts w:ascii="Google Sans" w:cs="Google Sans" w:eastAsia="Google Sans" w:hAnsi="Google Sans"/>
        </w:rPr>
        <w:drawing>
          <wp:inline distB="19050" distT="19050" distL="19050" distR="19050">
            <wp:extent cx="215582" cy="247285"/>
            <wp:effectExtent b="0" l="0" r="0" t="0"/>
            <wp:docPr id="4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5582" cy="247285"/>
                    </a:xfrm>
                    <a:prstGeom prst="rect"/>
                    <a:ln/>
                  </pic:spPr>
                </pic:pic>
              </a:graphicData>
            </a:graphic>
          </wp:inline>
        </w:drawing>
      </w:r>
      <w:r w:rsidDel="00000000" w:rsidR="00000000" w:rsidRPr="00000000">
        <w:rPr>
          <w:rFonts w:ascii="Google Sans" w:cs="Google Sans" w:eastAsia="Google Sans" w:hAnsi="Google Sans"/>
          <w:rtl w:val="0"/>
        </w:rPr>
        <w:t xml:space="preserve"> se incrementa, lo que aumenta la duración de la multiplicación matricial (GEMM) en la GPU</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Esto permite que el tiempo de cómputo de la GPU alcance e iguale el tiempo de transferencia del bus PCIe, logrando un solapamiento perfecto donde el costo de transmisión de los pesos se amortiza completamente entre todas las secuencias del lote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Conflicto de Latencia entre Prefill y Decode:</w:t>
      </w:r>
      <w:r w:rsidDel="00000000" w:rsidR="00000000" w:rsidRPr="00000000">
        <w:rPr>
          <w:rFonts w:ascii="Google Sans" w:cs="Google Sans" w:eastAsia="Google Sans" w:hAnsi="Google Sans"/>
          <w:rtl w:val="0"/>
        </w:rPr>
        <w:t xml:space="preserve"> La etapa de </w:t>
      </w:r>
      <w:r w:rsidDel="00000000" w:rsidR="00000000" w:rsidRPr="00000000">
        <w:rPr>
          <w:rFonts w:ascii="Google Sans" w:cs="Google Sans" w:eastAsia="Google Sans" w:hAnsi="Google Sans"/>
          <w:i w:val="1"/>
          <w:iCs w:val="1"/>
          <w:rtl w:val="0"/>
        </w:rPr>
        <w:t xml:space="preserve">prefill</w:t>
      </w:r>
      <w:r w:rsidDel="00000000" w:rsidR="00000000" w:rsidRPr="00000000">
        <w:rPr>
          <w:rFonts w:ascii="Google Sans" w:cs="Google Sans" w:eastAsia="Google Sans" w:hAnsi="Google Sans"/>
          <w:rtl w:val="0"/>
        </w:rPr>
        <w:t xml:space="preserve"> procesa cientos de tokens de contexto en una sola pasada, requiriendo un tiempo de cómputo por capa sustancialmente mayor que la etapa de </w:t>
      </w:r>
      <w:r w:rsidDel="00000000" w:rsidR="00000000" w:rsidRPr="00000000">
        <w:rPr>
          <w:rFonts w:ascii="Google Sans" w:cs="Google Sans" w:eastAsia="Google Sans" w:hAnsi="Google Sans"/>
          <w:i w:val="1"/>
          <w:iCs w:val="1"/>
          <w:rtl w:val="0"/>
        </w:rPr>
        <w:t xml:space="preserve">decode</w:t>
      </w:r>
      <w:r w:rsidDel="00000000" w:rsidR="00000000" w:rsidRPr="00000000">
        <w:rPr>
          <w:rFonts w:ascii="Google Sans" w:cs="Google Sans" w:eastAsia="Google Sans" w:hAnsi="Google Sans"/>
          <w:rtl w:val="0"/>
        </w:rPr>
        <w:t xml:space="preserve"> (que opera sobre un solo token por secuencia)</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Si una solicitud nueva en fase de </w:t>
      </w:r>
      <w:r w:rsidDel="00000000" w:rsidR="00000000" w:rsidRPr="00000000">
        <w:rPr>
          <w:rFonts w:ascii="Google Sans" w:cs="Google Sans" w:eastAsia="Google Sans" w:hAnsi="Google Sans"/>
          <w:i w:val="1"/>
          <w:iCs w:val="1"/>
          <w:rtl w:val="0"/>
        </w:rPr>
        <w:t xml:space="preserve">prefill</w:t>
      </w:r>
      <w:r w:rsidDel="00000000" w:rsidR="00000000" w:rsidRPr="00000000">
        <w:rPr>
          <w:rFonts w:ascii="Google Sans" w:cs="Google Sans" w:eastAsia="Google Sans" w:hAnsi="Google Sans"/>
          <w:rtl w:val="0"/>
        </w:rPr>
        <w:t xml:space="preserve"> se inserta abruptamente en el lote junto a solicitudes existentes en fase de </w:t>
      </w:r>
      <w:r w:rsidDel="00000000" w:rsidR="00000000" w:rsidRPr="00000000">
        <w:rPr>
          <w:rFonts w:ascii="Google Sans" w:cs="Google Sans" w:eastAsia="Google Sans" w:hAnsi="Google Sans"/>
          <w:i w:val="1"/>
          <w:iCs w:val="1"/>
          <w:rtl w:val="0"/>
        </w:rPr>
        <w:t xml:space="preserve">decode</w:t>
      </w:r>
      <w:r w:rsidDel="00000000" w:rsidR="00000000" w:rsidRPr="00000000">
        <w:rPr>
          <w:rFonts w:ascii="Google Sans" w:cs="Google Sans" w:eastAsia="Google Sans" w:hAnsi="Google Sans"/>
          <w:rtl w:val="0"/>
        </w:rPr>
        <w:t xml:space="preserve">, la generación de tokens para las peticiones en progreso experimentará una pausa imperceptible en la transmisión SSE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Estrategia de Mitigación mediante Chunked Prefill:</w:t>
      </w:r>
      <w:r w:rsidDel="00000000" w:rsidR="00000000" w:rsidRPr="00000000">
        <w:rPr>
          <w:rFonts w:ascii="Google Sans" w:cs="Google Sans" w:eastAsia="Google Sans" w:hAnsi="Google Sans"/>
          <w:rtl w:val="0"/>
        </w:rPr>
        <w:t xml:space="preserve"> Para evitar variaciones drásticas en la latencia inter-token (</w:t>
      </w:r>
      <w:r w:rsidDel="00000000" w:rsidR="00000000" w:rsidRPr="00000000">
        <w:rPr>
          <w:rFonts w:ascii="Google Sans" w:cs="Google Sans" w:eastAsia="Google Sans" w:hAnsi="Google Sans"/>
          <w:i w:val="1"/>
          <w:iCs w:val="1"/>
          <w:rtl w:val="0"/>
        </w:rPr>
        <w:t xml:space="preserve">Inter-Token Latency</w:t>
      </w:r>
      <w:r w:rsidDel="00000000" w:rsidR="00000000" w:rsidRPr="00000000">
        <w:rPr>
          <w:rFonts w:ascii="Google Sans" w:cs="Google Sans" w:eastAsia="Google Sans" w:hAnsi="Google Sans"/>
          <w:rtl w:val="0"/>
        </w:rPr>
        <w:t xml:space="preserve"> o ITL), el motor debe fragmentar los prompts de entrada extensos en bloques más pequeños (</w:t>
      </w:r>
      <w:r w:rsidDel="00000000" w:rsidR="00000000" w:rsidRPr="00000000">
        <w:rPr>
          <w:rFonts w:ascii="Google Sans" w:cs="Google Sans" w:eastAsia="Google Sans" w:hAnsi="Google Sans"/>
          <w:i w:val="1"/>
          <w:iCs w:val="1"/>
          <w:rtl w:val="0"/>
        </w:rPr>
        <w:t xml:space="preserve">Chunked Prefill</w:t>
      </w:r>
      <w:r w:rsidDel="00000000" w:rsidR="00000000" w:rsidRPr="00000000">
        <w:rPr>
          <w:rFonts w:ascii="Google Sans" w:cs="Google Sans" w:eastAsia="Google Sans" w:hAnsi="Google Sans"/>
          <w:rtl w:val="0"/>
        </w:rPr>
        <w:t xml:space="preserve">) de tamaño fijo (por ejemplo, 512 tokens). De este modo, los fragmentos de </w:t>
      </w:r>
      <w:r w:rsidDel="00000000" w:rsidR="00000000" w:rsidRPr="00000000">
        <w:rPr>
          <w:rFonts w:ascii="Google Sans" w:cs="Google Sans" w:eastAsia="Google Sans" w:hAnsi="Google Sans"/>
          <w:i w:val="1"/>
          <w:iCs w:val="1"/>
          <w:rtl w:val="0"/>
        </w:rPr>
        <w:t xml:space="preserve">prefill</w:t>
      </w:r>
      <w:r w:rsidDel="00000000" w:rsidR="00000000" w:rsidRPr="00000000">
        <w:rPr>
          <w:rFonts w:ascii="Google Sans" w:cs="Google Sans" w:eastAsia="Google Sans" w:hAnsi="Google Sans"/>
          <w:rtl w:val="0"/>
        </w:rPr>
        <w:t xml:space="preserve"> se intercalan homogéneamente con los pasos de </w:t>
      </w:r>
      <w:r w:rsidDel="00000000" w:rsidR="00000000" w:rsidRPr="00000000">
        <w:rPr>
          <w:rFonts w:ascii="Google Sans" w:cs="Google Sans" w:eastAsia="Google Sans" w:hAnsi="Google Sans"/>
          <w:i w:val="1"/>
          <w:iCs w:val="1"/>
          <w:rtl w:val="0"/>
        </w:rPr>
        <w:t xml:space="preserve">decode</w:t>
      </w:r>
      <w:r w:rsidDel="00000000" w:rsidR="00000000" w:rsidRPr="00000000">
        <w:rPr>
          <w:rFonts w:ascii="Google Sans" w:cs="Google Sans" w:eastAsia="Google Sans" w:hAnsi="Google Sans"/>
          <w:rtl w:val="0"/>
        </w:rPr>
        <w:t xml:space="preserve"> dentro del ciclo de paso de capas, manteniendo constante el tiempo de ejecución por capa.</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Blueprint de Implementación y Stack Recomendado</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Arquitectura de Componentes Modulares en Rust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recomienda estructurar la solución utilizando un espacio de trabajo de Cargo (</w:t>
      </w:r>
      <w:r w:rsidDel="00000000" w:rsidR="00000000" w:rsidRPr="00000000">
        <w:rPr>
          <w:rFonts w:ascii="Google Sans" w:cs="Google Sans" w:eastAsia="Google Sans" w:hAnsi="Google Sans"/>
          <w:i w:val="1"/>
          <w:iCs w:val="1"/>
          <w:rtl w:val="0"/>
        </w:rPr>
        <w:t xml:space="preserve">Cargo Workspace</w:t>
      </w:r>
      <w:r w:rsidDel="00000000" w:rsidR="00000000" w:rsidRPr="00000000">
        <w:rPr>
          <w:rFonts w:ascii="Google Sans" w:cs="Google Sans" w:eastAsia="Google Sans" w:hAnsi="Google Sans"/>
          <w:rtl w:val="0"/>
        </w:rPr>
        <w:t xml:space="preserve">) dividido en crates altamente especializados: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engine-api:</w:t>
      </w:r>
      <w:r w:rsidDel="00000000" w:rsidR="00000000" w:rsidRPr="00000000">
        <w:rPr>
          <w:rFonts w:ascii="Google Sans" w:cs="Google Sans" w:eastAsia="Google Sans" w:hAnsi="Google Sans"/>
          <w:rtl w:val="0"/>
        </w:rPr>
        <w:t xml:space="preserve"> Servidor HTTP construido con axum y tokio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Encargado de la deserialización de peticiones JSON, gestión de rutas, autenticación y serialización del flujo SSE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engine-core:</w:t>
      </w:r>
      <w:r w:rsidDel="00000000" w:rsidR="00000000" w:rsidRPr="00000000">
        <w:rPr>
          <w:rFonts w:ascii="Google Sans" w:cs="Google Sans" w:eastAsia="Google Sans" w:hAnsi="Google Sans"/>
          <w:rtl w:val="0"/>
        </w:rPr>
        <w:t xml:space="preserve"> Coordinador central del sistema. Mantiene las estructuras de datos del planificador (</w:t>
      </w:r>
      <w:r w:rsidDel="00000000" w:rsidR="00000000" w:rsidRPr="00000000">
        <w:rPr>
          <w:rFonts w:ascii="Google Sans" w:cs="Google Sans" w:eastAsia="Google Sans" w:hAnsi="Google Sans"/>
          <w:i w:val="1"/>
          <w:iCs w:val="1"/>
          <w:rtl w:val="0"/>
        </w:rPr>
        <w:t xml:space="preserve">Scheduler</w:t>
      </w:r>
      <w:r w:rsidDel="00000000" w:rsidR="00000000" w:rsidRPr="00000000">
        <w:rPr>
          <w:rFonts w:ascii="Google Sans" w:cs="Google Sans" w:eastAsia="Google Sans" w:hAnsi="Google Sans"/>
          <w:rtl w:val="0"/>
        </w:rPr>
        <w:t xml:space="preserve">), las colas de prioridades de las peticiones y las abstracciones de los traits de inferencia.</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engine-io:</w:t>
      </w:r>
      <w:r w:rsidDel="00000000" w:rsidR="00000000" w:rsidRPr="00000000">
        <w:rPr>
          <w:rFonts w:ascii="Google Sans" w:cs="Google Sans" w:eastAsia="Google Sans" w:hAnsi="Google Sans"/>
          <w:rtl w:val="0"/>
        </w:rPr>
        <w:t xml:space="preserve"> Módulo de entrada/salida a bajo nivel. Implementa interfaces asíncronas sobre io_uring para Linux (vía la crate rio o io-uring) y reserva de memoria no paginable cudaMallocHost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engine-cuda:</w:t>
      </w:r>
      <w:r w:rsidDel="00000000" w:rsidR="00000000" w:rsidRPr="00000000">
        <w:rPr>
          <w:rFonts w:ascii="Google Sans" w:cs="Google Sans" w:eastAsia="Google Sans" w:hAnsi="Google Sans"/>
          <w:rtl w:val="0"/>
        </w:rPr>
        <w:t xml:space="preserve"> Capa de interacción directa con el hardware acelerador mediante cudarc. Administra los punteros de los búferes de VRAM, los objetos CudaStream, los eventos de bajo nivel y la carga de módulos PTX/CUBIN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engine-kvcache:</w:t>
      </w:r>
      <w:r w:rsidDel="00000000" w:rsidR="00000000" w:rsidRPr="00000000">
        <w:rPr>
          <w:rFonts w:ascii="Google Sans" w:cs="Google Sans" w:eastAsia="Google Sans" w:hAnsi="Google Sans"/>
          <w:rtl w:val="0"/>
        </w:rPr>
        <w:t xml:space="preserve"> Gestor de asignación de bloques para </w:t>
      </w:r>
      <w:r w:rsidDel="00000000" w:rsidR="00000000" w:rsidRPr="00000000">
        <w:rPr>
          <w:rFonts w:ascii="Google Sans" w:cs="Google Sans" w:eastAsia="Google Sans" w:hAnsi="Google Sans"/>
          <w:i w:val="1"/>
          <w:iCs w:val="1"/>
          <w:rtl w:val="0"/>
        </w:rPr>
        <w:t xml:space="preserve">PagedAttention</w:t>
      </w:r>
      <w:r w:rsidDel="00000000" w:rsidR="00000000" w:rsidRPr="00000000">
        <w:rPr>
          <w:rFonts w:ascii="Google Sans" w:cs="Google Sans" w:eastAsia="Google Sans" w:hAnsi="Google Sans"/>
          <w:rtl w:val="0"/>
        </w:rPr>
        <w:t xml:space="preserve">. Mantiene el mapeo de tablas lógicas a físicas e interfaces para el reuso de prefijos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Definición de Traits Principales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Rust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 std::ffi::c_void;</w:t>
        <w:br w:type="textWrapping"/>
        <w:t xml:space="preserve">use anyhow::Result;</w:t>
        <w:br w:type="textWrapping"/>
        <w:br w:type="textWrapping"/>
        <w:t xml:space="preserve">/// Interface para el proveedor de lectura de tensores desde disco hacia RAM Pinned</w:t>
        <w:br w:type="textWrapping"/>
        <w:t xml:space="preserve">pub trait TensorStorageProvider: Send + Sync {</w:t>
        <w:br w:type="textWrapping"/>
        <w:t xml:space="preserve">    /// Lee los bytes correspondientes a una capa en un puntero de memoria Host Pinned previamente reservado</w:t>
        <w:br w:type="textWrapping"/>
        <w:t xml:space="preserve">    unsafe fn read_layer_bytes(</w:t>
        <w:br w:type="textWrapping"/>
        <w:t xml:space="preserve">        &amp;self,</w:t>
        <w:br w:type="textWrapping"/>
        <w:t xml:space="preserve">        layer_idx: usize,</w:t>
        <w:br w:type="textWrapping"/>
        <w:t xml:space="preserve">        host_pinned_ptr: *mut u8,</w:t>
        <w:br w:type="textWrapping"/>
        <w:t xml:space="preserve">        size_bytes: usize,</w:t>
        <w:br w:type="textWrapping"/>
        <w:t xml:space="preserve">    ) -&gt; Result&lt;()&gt;;</w:t>
        <w:br w:type="textWrapping"/>
        <w:t xml:space="preserve">}</w:t>
        <w:br w:type="textWrapping"/>
        <w:br w:type="textWrapping"/>
        <w:t xml:space="preserve">/// Interface para la gestión de la tubería de doble búfer en CUDA</w:t>
        <w:br w:type="textWrapping"/>
        <w:t xml:space="preserve">pub trait CudaPipelineManager {</w:t>
        <w:br w:type="textWrapping"/>
        <w:t xml:space="preserve">    /// Inicia la transferencia asíncrona de la siguiente capa hacia el buffer de VRAM secundario</w:t>
        <w:br w:type="textWrapping"/>
        <w:t xml:space="preserve">    unsafe fn transfer_layer_async(</w:t>
        <w:br w:type="textWrapping"/>
        <w:t xml:space="preserve">        &amp;mut self,</w:t>
        <w:br w:type="textWrapping"/>
        <w:t xml:space="preserve">        layer_idx: usize,</w:t>
        <w:br w:type="textWrapping"/>
        <w:t xml:space="preserve">        host_pinned_ptr: *const u8,</w:t>
        <w:br w:type="textWrapping"/>
        <w:t xml:space="preserve">        dev_buffer_ptr: *mut c_void,</w:t>
        <w:br w:type="textWrapping"/>
        <w:t xml:space="preserve">        size_bytes: usize,</w:t>
        <w:br w:type="textWrapping"/>
        <w:t xml:space="preserve">    ) -&gt; Result&lt;()&gt;;</w:t>
        <w:br w:type="textWrapping"/>
        <w:br w:type="textWrapping"/>
        <w:t xml:space="preserve">    /// Conmuta los búferes de la VRAM y sincroniza el stream de cómputo con el de transferencia</w:t>
        <w:br w:type="textWrapping"/>
        <w:t xml:space="preserve">    fn swap_and_synchronize(&amp;mut self) -&gt; Result&lt;()&gt;;</w:t>
        <w:br w:type="textWrapping"/>
        <w:br w:type="textWrapping"/>
        <w:t xml:space="preserve">    /// Invocación del kernel de inferencia para la capa activa</w:t>
        <w:br w:type="textWrapping"/>
        <w:t xml:space="preserve">    fn launch_layer_execution(</w:t>
        <w:br w:type="textWrapping"/>
        <w:t xml:space="preserve">        &amp;self,</w:t>
        <w:br w:type="textWrapping"/>
        <w:t xml:space="preserve">        layer_idx: usize,</w:t>
        <w:br w:type="textWrapping"/>
        <w:t xml:space="preserve">        dev_buffer_ptr: *const c_void,</w:t>
        <w:br w:type="textWrapping"/>
        <w:t xml:space="preserve">    ) -&gt; Result&lt;()&gt;;</w:t>
        <w:br w:type="textWrapping"/>
        <w:t xml:space="preserve">}</w:t>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Roadmap de Desarrollo Paso a Paso (MVP)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desarrollo del proyecto debe avanzar de forma incremental siguiendo una secuencia orientada a aislar la complejidad técnica de cada componente: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1: Infraestructura I/O y Reserva Pinned</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Implementación de reservas de memoria Pinned en Host utilizando cudaMallocHost a través de cudarc</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Desarrollo del cargador de archivos de modelos (GGUF) utilizando Direct I/O con io_uring en Linux, validando anchos de banda de lectura reales superiores a </w:t>
      </w:r>
      <w:r w:rsidDel="00000000" w:rsidR="00000000" w:rsidRPr="00000000">
        <w:rPr>
          <w:rFonts w:ascii="Google Sans" w:cs="Google Sans" w:eastAsia="Google Sans" w:hAnsi="Google Sans"/>
        </w:rPr>
        <w:drawing>
          <wp:inline distB="19050" distT="19050" distL="19050" distR="19050">
            <wp:extent cx="614522" cy="234405"/>
            <wp:effectExtent b="0" l="0" r="0" t="0"/>
            <wp:docPr id="50"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614522" cy="234405"/>
                    </a:xfrm>
                    <a:prstGeom prst="rect"/>
                    <a:ln/>
                  </pic:spPr>
                </pic:pic>
              </a:graphicData>
            </a:graphic>
          </wp:inline>
        </w:drawing>
      </w:r>
      <w:r w:rsidDel="00000000" w:rsidR="00000000" w:rsidRPr="00000000">
        <w:rPr>
          <w:rFonts w:ascii="Google Sans" w:cs="Google Sans" w:eastAsia="Google Sans" w:hAnsi="Google Sans"/>
          <w:rtl w:val="0"/>
        </w:rPr>
        <w:t xml:space="preserve"> desde SSDs NVMe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2: Pipeline CUDA Asíncrono de Doble Búfer</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Instanciación de flujos de trabajo independientes CudaStream (Stream de Transferencia y Stream de Cómputo)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Implementación del mecanismo Ping-Pong en VRAM y coordinación mediante eventos cudaEventRecord y cudaStreamWaitEvent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Verificación mediante Nsight Systems para confirmar el solapamiento total entre la transferencia H2D y la ejecución de un kernel simulado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3: Integration de Kernels PTX y Descuantización al Vuelo</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Compilación e integración de kernels CUDA/PTX orientados a la descuantización al vuelo de bloques Q4_K_M/AWQ directamente en la memoria compartida (</w:t>
      </w:r>
      <w:r w:rsidDel="00000000" w:rsidR="00000000" w:rsidRPr="00000000">
        <w:rPr>
          <w:rFonts w:ascii="Google Sans" w:cs="Google Sans" w:eastAsia="Google Sans" w:hAnsi="Google Sans"/>
          <w:i w:val="1"/>
          <w:iCs w:val="1"/>
          <w:rtl w:val="0"/>
        </w:rPr>
        <w:t xml:space="preserve">Shared Memory</w:t>
      </w:r>
      <w:r w:rsidDel="00000000" w:rsidR="00000000" w:rsidRPr="00000000">
        <w:rPr>
          <w:rFonts w:ascii="Google Sans" w:cs="Google Sans" w:eastAsia="Google Sans" w:hAnsi="Google Sans"/>
          <w:rtl w:val="0"/>
        </w:rPr>
        <w:t xml:space="preserve">) del multiprocesador.</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Ejecución exitosa del </w:t>
      </w:r>
      <w:r w:rsidDel="00000000" w:rsidR="00000000" w:rsidRPr="00000000">
        <w:rPr>
          <w:rFonts w:ascii="Google Sans" w:cs="Google Sans" w:eastAsia="Google Sans" w:hAnsi="Google Sans"/>
          <w:i w:val="1"/>
          <w:iCs w:val="1"/>
          <w:rtl w:val="0"/>
        </w:rPr>
        <w:t xml:space="preserve">forward pass</w:t>
      </w:r>
      <w:r w:rsidDel="00000000" w:rsidR="00000000" w:rsidRPr="00000000">
        <w:rPr>
          <w:rFonts w:ascii="Google Sans" w:cs="Google Sans" w:eastAsia="Google Sans" w:hAnsi="Google Sans"/>
          <w:rtl w:val="0"/>
        </w:rPr>
        <w:t xml:space="preserve"> de una capa Transformer individual (Atención + MLP) en GPU.</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4: Gestor de KV-Cache Residente y PagedAttention</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Creación del asignador de memoria virtual de bloques para la KV-Cache en VRAM</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Implementación de la variante de kernel de </w:t>
      </w:r>
      <w:r w:rsidDel="00000000" w:rsidR="00000000" w:rsidRPr="00000000">
        <w:rPr>
          <w:rFonts w:ascii="Google Sans" w:cs="Google Sans" w:eastAsia="Google Sans" w:hAnsi="Google Sans"/>
          <w:i w:val="1"/>
          <w:iCs w:val="1"/>
          <w:rtl w:val="0"/>
        </w:rPr>
        <w:t xml:space="preserve">PagedAttention</w:t>
      </w:r>
      <w:r w:rsidDel="00000000" w:rsidR="00000000" w:rsidRPr="00000000">
        <w:rPr>
          <w:rFonts w:ascii="Google Sans" w:cs="Google Sans" w:eastAsia="Google Sans" w:hAnsi="Google Sans"/>
          <w:rtl w:val="0"/>
        </w:rPr>
        <w:t xml:space="preserve"> adaptada a la presencia de la KV-Cache fija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Encadenamiento secuencial completo del bucle de capas (</w:t>
      </w:r>
      <w:r w:rsidDel="00000000" w:rsidR="00000000" w:rsidRPr="00000000">
        <w:rPr>
          <w:rFonts w:ascii="Google Sans" w:cs="Google Sans" w:eastAsia="Google Sans" w:hAnsi="Google Sans"/>
        </w:rPr>
        <w:drawing>
          <wp:inline distB="19050" distT="19050" distL="19050" distR="19050">
            <wp:extent cx="536098" cy="248903"/>
            <wp:effectExtent b="0" l="0" r="0" t="0"/>
            <wp:docPr id="52"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36098" cy="248903"/>
                    </a:xfrm>
                    <a:prstGeom prst="rect"/>
                    <a:ln/>
                  </pic:spPr>
                </pic:pic>
              </a:graphicData>
            </a:graphic>
          </wp:inline>
        </w:drawing>
      </w:r>
      <w:r w:rsidDel="00000000" w:rsidR="00000000" w:rsidRPr="00000000">
        <w:rPr>
          <w:rFonts w:ascii="Google Sans" w:cs="Google Sans" w:eastAsia="Google Sans" w:hAnsi="Google Sans"/>
          <w:rtl w:val="0"/>
        </w:rPr>
        <w:t xml:space="preserve">) para generar de forma determinista el primer token válido de extremo a extremo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5: Servidor Web SSE e Integración de Batching</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Montaje del servidor HTTP axum exponiendo la API /v1/chat/completions conectada vía canales mpsc al bucle de inferencia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Implementación del emisor de eventos Server-Sent Events para streaming interactivo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Integración del planificador de </w:t>
      </w:r>
      <w:r w:rsidDel="00000000" w:rsidR="00000000" w:rsidRPr="00000000">
        <w:rPr>
          <w:rFonts w:ascii="Google Sans" w:cs="Google Sans" w:eastAsia="Google Sans" w:hAnsi="Google Sans"/>
          <w:i w:val="1"/>
          <w:iCs w:val="1"/>
          <w:rtl w:val="0"/>
        </w:rPr>
        <w:t xml:space="preserve">Continuous Batching</w:t>
      </w:r>
      <w:r w:rsidDel="00000000" w:rsidR="00000000" w:rsidRPr="00000000">
        <w:rPr>
          <w:rFonts w:ascii="Google Sans" w:cs="Google Sans" w:eastAsia="Google Sans" w:hAnsi="Google Sans"/>
          <w:rtl w:val="0"/>
        </w:rPr>
        <w:t xml:space="preserve"> con micro-bloques (</w:t>
      </w:r>
      <w:r w:rsidDel="00000000" w:rsidR="00000000" w:rsidRPr="00000000">
        <w:rPr>
          <w:rFonts w:ascii="Google Sans" w:cs="Google Sans" w:eastAsia="Google Sans" w:hAnsi="Google Sans"/>
          <w:i w:val="1"/>
          <w:iCs w:val="1"/>
          <w:rtl w:val="0"/>
        </w:rPr>
        <w:t xml:space="preserve">Chunked Prefill</w:t>
      </w:r>
      <w:r w:rsidDel="00000000" w:rsidR="00000000" w:rsidRPr="00000000">
        <w:rPr>
          <w:rFonts w:ascii="Google Sans" w:cs="Google Sans" w:eastAsia="Google Sans" w:hAnsi="Google Sans"/>
          <w:rtl w:val="0"/>
        </w:rPr>
        <w:t xml:space="preserve">) para soportar peticiones concurrentes dinámicas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Conclusiones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construcción de un motor de inferencia local en Rust diseñado para ejecutar modelos de 30B a 70B bajo restricciones severas de VRAM representa una solución viable a los límites de memoria física de las tarjetas gráficas de consumo</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reemplazar los entornos tradicionales basados en Python por un núcleo nativo en Rust con control explícito de la API de CUDA (cudarc), el sistema elimina la sobrecarga del runtime e implementa una gestión de memoria determinista para la KV-Cache y los búferes de capas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La combinación estratégica de </w:t>
      </w:r>
      <w:r w:rsidDel="00000000" w:rsidR="00000000" w:rsidRPr="00000000">
        <w:rPr>
          <w:rFonts w:ascii="Google Sans" w:cs="Google Sans" w:eastAsia="Google Sans" w:hAnsi="Google Sans"/>
          <w:b w:val="1"/>
          <w:bCs w:val="1"/>
          <w:rtl w:val="0"/>
        </w:rPr>
        <w:t xml:space="preserve">transmisión de pesos cuantizados a 4 bits por PCIe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descuantización al vuelo en la GPU</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I/O asíncrona mediante io_uring sobre memoria Pinned</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un pipeline de doble búfer sincronizado por eventos CUDA</w:t>
      </w:r>
      <w:r w:rsidDel="00000000" w:rsidR="00000000" w:rsidRPr="00000000">
        <w:rPr>
          <w:rFonts w:ascii="Google Sans" w:cs="Google Sans" w:eastAsia="Google Sans" w:hAnsi="Google Sans"/>
          <w:rtl w:val="0"/>
        </w:rPr>
        <w:t xml:space="preserve"> permite saturar el ancho de banda del bus de comunicación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Este diseño transforma las limitaciones de memoria de vídeo en un problema acotado por la tasa de transferencia del bus PCIe, habilitando el despliegue de modelos de lenguaje de gran escala de manera local, privada e interactiva.</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SpecOffload: Unlocking Latent GPU Capacity for LLM Inference on Resource-Constrained Devices, </w:t>
      </w:r>
      <w:hyperlink r:id="rId49">
        <w:r w:rsidDel="00000000" w:rsidR="00000000" w:rsidRPr="00000000">
          <w:rPr>
            <w:rFonts w:ascii="Google Sans" w:cs="Google Sans" w:eastAsia="Google Sans" w:hAnsi="Google Sans"/>
            <w:color w:val="0000ee"/>
            <w:sz w:val="24"/>
            <w:szCs w:val="24"/>
            <w:u w:val="single"/>
            <w:rtl w:val="0"/>
          </w:rPr>
          <w:t xml:space="preserve">https://tns.thss.tsinghua.edu.cn/~danyang/assets/pdf/SpecOffload-IWQoS26.pdf</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LLM Inference with Activation Checkpointing and Hybrid Caching - ResearchGate,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https://www.researchgate.net/publication/387745640_Efficient_LLM_Inference_with_Activation_Checkpointing_and_Hybrid_Caching</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and Serving System of Foundation Models: A Comprehensive Survey, </w:t>
      </w:r>
      <w:hyperlink r:id="rId51">
        <w:r w:rsidDel="00000000" w:rsidR="00000000" w:rsidRPr="00000000">
          <w:rPr>
            <w:rFonts w:ascii="Google Sans" w:cs="Google Sans" w:eastAsia="Google Sans" w:hAnsi="Google Sans"/>
            <w:color w:val="0000ee"/>
            <w:sz w:val="24"/>
            <w:szCs w:val="24"/>
            <w:u w:val="single"/>
            <w:rtl w:val="0"/>
          </w:rPr>
          <w:t xml:space="preserve">https://www.computer.org/csdl/journal/oj/2024/01/10478189/1VwBogntl6M</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FlexGen: High-Throughput Generative Inference of Large Language Models with a Single GPU - arXiv, </w:t>
      </w:r>
      <w:hyperlink r:id="rId52">
        <w:r w:rsidDel="00000000" w:rsidR="00000000" w:rsidRPr="00000000">
          <w:rPr>
            <w:rFonts w:ascii="Google Sans" w:cs="Google Sans" w:eastAsia="Google Sans" w:hAnsi="Google Sans"/>
            <w:color w:val="0000ee"/>
            <w:sz w:val="24"/>
            <w:szCs w:val="24"/>
            <w:u w:val="single"/>
            <w:rtl w:val="0"/>
          </w:rPr>
          <w:t xml:space="preserve">https://arxiv.org/pdf/2303.06865</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 DYNAMIC SCHEDULING FOR CPU OFFLOAD IN ML WORKLOADS - OpenReview, </w:t>
      </w:r>
      <w:hyperlink r:id="rId53">
        <w:r w:rsidDel="00000000" w:rsidR="00000000" w:rsidRPr="00000000">
          <w:rPr>
            <w:rFonts w:ascii="Google Sans" w:cs="Google Sans" w:eastAsia="Google Sans" w:hAnsi="Google Sans"/>
            <w:color w:val="0000ee"/>
            <w:sz w:val="24"/>
            <w:szCs w:val="24"/>
            <w:u w:val="single"/>
            <w:rtl w:val="0"/>
          </w:rPr>
          <w:t xml:space="preserve">https://openreview.net/pdf/cee4b8dcd932afd8eede5396ef26deac56c26bb2.pdf</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onde_mistralrs_core - Rust - Docs.rs, </w:t>
      </w:r>
      <w:hyperlink r:id="rId54">
        <w:r w:rsidDel="00000000" w:rsidR="00000000" w:rsidRPr="00000000">
          <w:rPr>
            <w:rFonts w:ascii="Google Sans" w:cs="Google Sans" w:eastAsia="Google Sans" w:hAnsi="Google Sans"/>
            <w:color w:val="0000ee"/>
            <w:sz w:val="24"/>
            <w:szCs w:val="24"/>
            <w:u w:val="single"/>
            <w:rtl w:val="0"/>
          </w:rPr>
          <w:t xml:space="preserve">https://docs.rs/onde-mistralrs-core</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EricLBuehler/mistral.rs: Fast, flexible LLM inference, </w:t>
      </w:r>
      <w:hyperlink r:id="rId55">
        <w:r w:rsidDel="00000000" w:rsidR="00000000" w:rsidRPr="00000000">
          <w:rPr>
            <w:rFonts w:ascii="Google Sans" w:cs="Google Sans" w:eastAsia="Google Sans" w:hAnsi="Google Sans"/>
            <w:color w:val="0000ee"/>
            <w:sz w:val="24"/>
            <w:szCs w:val="24"/>
            <w:u w:val="single"/>
            <w:rtl w:val="0"/>
          </w:rPr>
          <w:t xml:space="preserve">https://github.com/ericlbuehler/mistral.rs</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Production-Ready VLM Inference Server in Rust - Mixpeek, </w:t>
      </w:r>
      <w:hyperlink r:id="rId56">
        <w:r w:rsidDel="00000000" w:rsidR="00000000" w:rsidRPr="00000000">
          <w:rPr>
            <w:rFonts w:ascii="Google Sans" w:cs="Google Sans" w:eastAsia="Google Sans" w:hAnsi="Google Sans"/>
            <w:color w:val="0000ee"/>
            <w:sz w:val="24"/>
            <w:szCs w:val="24"/>
            <w:u w:val="single"/>
            <w:rtl w:val="0"/>
          </w:rPr>
          <w:t xml:space="preserve">https://mixpeek.com/blog/building-a-production-ready-vlm-inference-server-in-rust</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randyap8-wq/Micro-Expert-Router-SSD-Streamed-MoE-MER, </w:t>
      </w:r>
      <w:hyperlink r:id="rId57">
        <w:r w:rsidDel="00000000" w:rsidR="00000000" w:rsidRPr="00000000">
          <w:rPr>
            <w:rFonts w:ascii="Google Sans" w:cs="Google Sans" w:eastAsia="Google Sans" w:hAnsi="Google Sans"/>
            <w:color w:val="0000ee"/>
            <w:sz w:val="24"/>
            <w:szCs w:val="24"/>
            <w:u w:val="single"/>
            <w:rtl w:val="0"/>
          </w:rPr>
          <w:t xml:space="preserve">https://github.com/randyap8-wq/Micro-Expert-Router-SSD-Streamed-MoE-MER</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cool-japan/trustformers - GitHub, </w:t>
      </w:r>
      <w:hyperlink r:id="rId58">
        <w:r w:rsidDel="00000000" w:rsidR="00000000" w:rsidRPr="00000000">
          <w:rPr>
            <w:rFonts w:ascii="Google Sans" w:cs="Google Sans" w:eastAsia="Google Sans" w:hAnsi="Google Sans"/>
            <w:color w:val="0000ee"/>
            <w:sz w:val="24"/>
            <w:szCs w:val="24"/>
            <w:u w:val="single"/>
            <w:rtl w:val="0"/>
          </w:rPr>
          <w:t xml:space="preserve">https://github.com/cool-japan/trustformers/releases</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LLM Inference: Fast, Fit, and Free (PART 2) - Pixta Vietnam, </w:t>
      </w:r>
      <w:hyperlink r:id="rId59">
        <w:r w:rsidDel="00000000" w:rsidR="00000000" w:rsidRPr="00000000">
          <w:rPr>
            <w:rFonts w:ascii="Google Sans" w:cs="Google Sans" w:eastAsia="Google Sans" w:hAnsi="Google Sans"/>
            <w:color w:val="0000ee"/>
            <w:sz w:val="24"/>
            <w:szCs w:val="24"/>
            <w:u w:val="single"/>
            <w:rtl w:val="0"/>
          </w:rPr>
          <w:t xml:space="preserve">https://api.pixta.vn/the-art-of-llm-inference-fast-fit-and-free-part-2/</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FlexGen: High-Throughput Generative Inference of Large Language Models with a Single GPU - arXiv, </w:t>
      </w:r>
      <w:hyperlink r:id="rId60">
        <w:r w:rsidDel="00000000" w:rsidR="00000000" w:rsidRPr="00000000">
          <w:rPr>
            <w:rFonts w:ascii="Google Sans" w:cs="Google Sans" w:eastAsia="Google Sans" w:hAnsi="Google Sans"/>
            <w:color w:val="0000ee"/>
            <w:sz w:val="24"/>
            <w:szCs w:val="24"/>
            <w:u w:val="single"/>
            <w:rtl w:val="0"/>
          </w:rPr>
          <w:t xml:space="preserve">https://arxiv.org/html/2303.06865</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 Cache Optimization Strategies for Scalable and Efficient LLM Inference - arXiv, </w:t>
      </w:r>
      <w:hyperlink r:id="rId61">
        <w:r w:rsidDel="00000000" w:rsidR="00000000" w:rsidRPr="00000000">
          <w:rPr>
            <w:rFonts w:ascii="Google Sans" w:cs="Google Sans" w:eastAsia="Google Sans" w:hAnsi="Google Sans"/>
            <w:color w:val="0000ee"/>
            <w:sz w:val="24"/>
            <w:szCs w:val="24"/>
            <w:u w:val="single"/>
            <w:rtl w:val="0"/>
          </w:rPr>
          <w:t xml:space="preserve">https://arxiv.org/html/2603.20397v1</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--n-gpu-layers guide: -1, 0, and partial offload - The 5090 Reports, </w:t>
      </w:r>
      <w:hyperlink r:id="rId62">
        <w:r w:rsidDel="00000000" w:rsidR="00000000" w:rsidRPr="00000000">
          <w:rPr>
            <w:rFonts w:ascii="Google Sans" w:cs="Google Sans" w:eastAsia="Google Sans" w:hAnsi="Google Sans"/>
            <w:color w:val="0000ee"/>
            <w:sz w:val="24"/>
            <w:szCs w:val="24"/>
            <w:u w:val="single"/>
            <w:rtl w:val="0"/>
          </w:rPr>
          <w:t xml:space="preserve">https://bmdpat.com/blog/llama-cpp-n-gpu-layers-explained-2026</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2×T4 test: Gemma-3-27B-IT-QAT-Q4 - Kaggle, </w:t>
      </w:r>
      <w:hyperlink r:id="rId63">
        <w:r w:rsidDel="00000000" w:rsidR="00000000" w:rsidRPr="00000000">
          <w:rPr>
            <w:rFonts w:ascii="Google Sans" w:cs="Google Sans" w:eastAsia="Google Sans" w:hAnsi="Google Sans"/>
            <w:color w:val="0000ee"/>
            <w:sz w:val="24"/>
            <w:szCs w:val="24"/>
            <w:u w:val="single"/>
            <w:rtl w:val="0"/>
          </w:rPr>
          <w:t xml:space="preserve">https://www.kaggle.com/code/fiveflowerstarfish/llama-cpp-2-t4-test-gemma-3-27b-it-qat-q4</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request: DeepSeek V4 Series · Issue #22319 · ggml-org/llama.cpp - GitHub, </w:t>
      </w:r>
      <w:hyperlink r:id="rId64">
        <w:r w:rsidDel="00000000" w:rsidR="00000000" w:rsidRPr="00000000">
          <w:rPr>
            <w:rFonts w:ascii="Google Sans" w:cs="Google Sans" w:eastAsia="Google Sans" w:hAnsi="Google Sans"/>
            <w:color w:val="0000ee"/>
            <w:sz w:val="24"/>
            <w:szCs w:val="24"/>
            <w:u w:val="single"/>
            <w:rtl w:val="0"/>
          </w:rPr>
          <w:t xml:space="preserve">https://github.com/ggml-org/llama.cpp/issues/22319?timeline_page=1</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 35B LLM on an Entry Mac Mini M4 (16GB): The mmap Trick - ModelFit, </w:t>
      </w:r>
      <w:hyperlink r:id="rId65">
        <w:r w:rsidDel="00000000" w:rsidR="00000000" w:rsidRPr="00000000">
          <w:rPr>
            <w:rFonts w:ascii="Google Sans" w:cs="Google Sans" w:eastAsia="Google Sans" w:hAnsi="Google Sans"/>
            <w:color w:val="0000ee"/>
            <w:sz w:val="24"/>
            <w:szCs w:val="24"/>
            <w:u w:val="single"/>
            <w:rtl w:val="0"/>
          </w:rPr>
          <w:t xml:space="preserve">https://modelfit.io/blog/run-35b-llm-mac-mini-m4-16gb-mmap/</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LLM Inference with Activation Checkpointing and Hybrid Caching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https://arxiv.org/html/2501.01792v1</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Paged Attention to Andrej Karpathy's NanoGPT (2026, </w:t>
      </w:r>
      <w:hyperlink r:id="rId67">
        <w:r w:rsidDel="00000000" w:rsidR="00000000" w:rsidRPr="00000000">
          <w:rPr>
            <w:rFonts w:ascii="Google Sans" w:cs="Google Sans" w:eastAsia="Google Sans" w:hAnsi="Google Sans"/>
            <w:color w:val="0000ee"/>
            <w:sz w:val="24"/>
            <w:szCs w:val="24"/>
            <w:u w:val="single"/>
            <w:rtl w:val="0"/>
          </w:rPr>
          <w:t xml:space="preserve">https://levelup.gitconnected.com/adding-paged-attention-to-andrej-karpathys-nanogpt-2026-edition-671f369a667e</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Concurrency — list of Rust libraries/crates // Lib.rs, </w:t>
      </w:r>
      <w:hyperlink r:id="rId68">
        <w:r w:rsidDel="00000000" w:rsidR="00000000" w:rsidRPr="00000000">
          <w:rPr>
            <w:rFonts w:ascii="Google Sans" w:cs="Google Sans" w:eastAsia="Google Sans" w:hAnsi="Google Sans"/>
            <w:color w:val="0000ee"/>
            <w:sz w:val="24"/>
            <w:szCs w:val="24"/>
            <w:u w:val="single"/>
            <w:rtl w:val="0"/>
          </w:rPr>
          <w:t xml:space="preserve">https://lib.rs/concurrency</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Sentence Transformers in Rust: A Practical Guide with Burn, ONNX Runtime, and Candle - DEV Community, </w:t>
      </w:r>
      <w:hyperlink r:id="rId69">
        <w:r w:rsidDel="00000000" w:rsidR="00000000" w:rsidRPr="00000000">
          <w:rPr>
            <w:rFonts w:ascii="Google Sans" w:cs="Google Sans" w:eastAsia="Google Sans" w:hAnsi="Google Sans"/>
            <w:color w:val="0000ee"/>
            <w:sz w:val="24"/>
            <w:szCs w:val="24"/>
            <w:u w:val="single"/>
            <w:rtl w:val="0"/>
          </w:rPr>
          <w:t xml:space="preserve">https://dev.to/mayu2008/building-sentence-transformers-in-rust-a-practical-guide-with-burn-onnx-runtime-and-candle-281k</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ironaccelerator 2.2.0 on Cargo - Libraries.io - security, </w:t>
      </w:r>
      <w:hyperlink r:id="rId70">
        <w:r w:rsidDel="00000000" w:rsidR="00000000" w:rsidRPr="00000000">
          <w:rPr>
            <w:rFonts w:ascii="Google Sans" w:cs="Google Sans" w:eastAsia="Google Sans" w:hAnsi="Google Sans"/>
            <w:color w:val="0000ee"/>
            <w:sz w:val="24"/>
            <w:szCs w:val="24"/>
            <w:u w:val="single"/>
            <w:rtl w:val="0"/>
          </w:rPr>
          <w:t xml:space="preserve">https://libraries.io/cargo/ironaccelerator</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~30B MoE models on an old GTX 1080 - mdda, </w:t>
      </w:r>
      <w:hyperlink r:id="rId71">
        <w:r w:rsidDel="00000000" w:rsidR="00000000" w:rsidRPr="00000000">
          <w:rPr>
            <w:rFonts w:ascii="Google Sans" w:cs="Google Sans" w:eastAsia="Google Sans" w:hAnsi="Google Sans"/>
            <w:color w:val="0000ee"/>
            <w:sz w:val="24"/>
            <w:szCs w:val="24"/>
            <w:u w:val="single"/>
            <w:rtl w:val="0"/>
          </w:rPr>
          <w:t xml:space="preserve">https://mdda.net/blog/tech/dl/llama-cpp-moe-on-an-old-gtx-1080</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llama.cpp OOM on Jetson Orin Nano Super (LFM2-VL) - Industrial Monitor Direct, </w:t>
      </w:r>
      <w:hyperlink r:id="rId72">
        <w:r w:rsidDel="00000000" w:rsidR="00000000" w:rsidRPr="00000000">
          <w:rPr>
            <w:rFonts w:ascii="Google Sans" w:cs="Google Sans" w:eastAsia="Google Sans" w:hAnsi="Google Sans"/>
            <w:color w:val="0000ee"/>
            <w:sz w:val="24"/>
            <w:szCs w:val="24"/>
            <w:u w:val="single"/>
            <w:rtl w:val="0"/>
          </w:rPr>
          <w:t xml:space="preserve">https://industrialmonitordirect.com/blogs/knowledgebase/resolving-llamacpp-oom-on-jetson-orin-nano-super-with-lfm2-vl</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 list of Rust libraries/crates // Lib.rs, </w:t>
      </w:r>
      <w:hyperlink r:id="rId73">
        <w:r w:rsidDel="00000000" w:rsidR="00000000" w:rsidRPr="00000000">
          <w:rPr>
            <w:rFonts w:ascii="Google Sans" w:cs="Google Sans" w:eastAsia="Google Sans" w:hAnsi="Google Sans"/>
            <w:color w:val="0000ee"/>
            <w:sz w:val="24"/>
            <w:szCs w:val="24"/>
            <w:u w:val="single"/>
            <w:rtl w:val="0"/>
          </w:rPr>
          <w:t xml:space="preserve">https://lib.rs/science/ml</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GgufModelConfig in onde::inference::types - Rust - Docs.rs, </w:t>
      </w:r>
      <w:hyperlink r:id="rId74">
        <w:r w:rsidDel="00000000" w:rsidR="00000000" w:rsidRPr="00000000">
          <w:rPr>
            <w:rFonts w:ascii="Google Sans" w:cs="Google Sans" w:eastAsia="Google Sans" w:hAnsi="Google Sans"/>
            <w:color w:val="0000ee"/>
            <w:sz w:val="24"/>
            <w:szCs w:val="24"/>
            <w:u w:val="single"/>
            <w:rtl w:val="0"/>
          </w:rPr>
          <w:t xml:space="preserve">https://docs.rs/onde/latest/onde/inference/types/struct.GgufModelConfig.html</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Filesystem - Lib.rs, </w:t>
      </w:r>
      <w:hyperlink r:id="rId75">
        <w:r w:rsidDel="00000000" w:rsidR="00000000" w:rsidRPr="00000000">
          <w:rPr>
            <w:rFonts w:ascii="Google Sans" w:cs="Google Sans" w:eastAsia="Google Sans" w:hAnsi="Google Sans"/>
            <w:color w:val="0000ee"/>
            <w:sz w:val="24"/>
            <w:szCs w:val="24"/>
            <w:u w:val="single"/>
            <w:rtl w:val="0"/>
          </w:rPr>
          <w:t xml:space="preserve">https://lib.rs/filesystem</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Tune llama.cpp on Apple Silicon: 7 Flags - Medium, </w:t>
      </w:r>
      <w:hyperlink r:id="rId76">
        <w:r w:rsidDel="00000000" w:rsidR="00000000" w:rsidRPr="00000000">
          <w:rPr>
            <w:rFonts w:ascii="Google Sans" w:cs="Google Sans" w:eastAsia="Google Sans" w:hAnsi="Google Sans"/>
            <w:color w:val="0000ee"/>
            <w:sz w:val="24"/>
            <w:szCs w:val="24"/>
            <w:u w:val="single"/>
            <w:rtl w:val="0"/>
          </w:rPr>
          <w:t xml:space="preserve">https://medium.com/@michael.hannecke/tuning-llama-cpp-on-apple-silicon-843f37a6c3dc</w:t>
        </w:r>
      </w:hyperlink>
      <w:r w:rsidDel="00000000" w:rsidR="00000000" w:rsidRPr="00000000">
        <w:rPr>
          <w:rtl w:val="0"/>
        </w:rPr>
      </w:r>
    </w:p>
    <w:p>
      <w:pPr>
        <w:pStyle w:val="Heading1"/>
      </w:pPr>
      <w:r>
        <w:t>8. Correcciones Técnicas y Omisiones Críticas (Revisión ago-2026)</w:t>
      </w:r>
    </w:p>
    <w:p>
      <w:r>
        <w:t>Esta sección incorpora los hallazgos de la revisión técnica externa (validación independiente con LLM, ago-2026). Prevalen sobre el texto original donde exista contradicción.</w:t>
      </w:r>
    </w:p>
    <w:p>
      <w:pPr>
        <w:pStyle w:val="Heading2"/>
      </w:pPr>
      <w:r>
        <w:t>8.1. Corrección: la fuente del streaming debe ser la RAM del host, no el NVMe</w:t>
      </w:r>
    </w:p>
    <w:p>
      <w:r>
        <w:t>La sección 3.1 original sugería leer los pesos desde el NVMe en cada paso de generación. Esto es un error de arquitectura: transferir ~39.5 GB por token desde un SSD NVMe (3.5-7 GB/s) implicaría 5-10 segundos por token y destruiría la vida útil del SSD (35 TB de lectura por cada 1,000 tokens generados). El diseño correcto es: los pesos residen PERMANENTEMENTE en la RAM del host (Pinned con cudaMallocHost) y solo transitan RAM -&gt; VRAM por PCIe en cada token. El NVMe se usa una única vez, durante la carga inicial del modelo.</w:t>
      </w:r>
    </w:p>
    <w:p>
      <w:pPr>
        <w:pStyle w:val="Heading2"/>
      </w:pPr>
      <w:r>
        <w:t>8.2. Corrección: caracterización de AirLLM</w:t>
      </w:r>
    </w:p>
    <w:p>
      <w:r>
        <w:t>El objetivo de AirLLM no es la latencia estricta sino la minimización del consumo de VRAM absoluto, a costa de latencias extremas (&gt;1-3 s/token). No es un diseño de baja latencia.</w:t>
      </w:r>
    </w:p>
    <w:p>
      <w:pPr>
        <w:pStyle w:val="Heading2"/>
      </w:pPr>
      <w:r>
        <w:t>8.3. Corrección: viabilidad interactiva</w:t>
      </w:r>
    </w:p>
    <w:p>
      <w:r>
        <w:t>A 0.67-0.77 tok/s en PCIe 4.0 x16 (1.3-1.5 s/token) la generación de un 70B NO es interactiva. La lectura humana promedio equivale a 4-7 tokens/s. La conclusión original sobre PCIe 5.0 (1.33 tok/s) tampoco alcanza ese umbral. El layer-streaming denso solo resulta interactivo para modelos pequeños o con bus excepcionalmente rápido.</w:t>
      </w:r>
    </w:p>
    <w:p>
      <w:pPr>
        <w:pStyle w:val="Heading2"/>
      </w:pPr>
      <w:r>
        <w:t>8.4. Omisión crítica: modelos MoE (Mixture of Experts)</w:t>
      </w:r>
    </w:p>
    <w:p>
      <w:r>
        <w:t>La omisión más grave del documento. En un modelo MoE (ej. Mixtral 8x7B, Qwen3-30B-A3B, gpt-oss-20b) solo se evalúan los expertos activos (top-k) por token: en Qwen3-30B-A3B solo ~3B de 30B parámetros por token. Con expert-streaming/expert-caching, el volumen transitado por el bus cae ~10x, llevando el throughput de ~0.6 a varios tokens/s incluso en PCIe 4.0 x8. Para hardware de consumo, el layer-streaming solo tiene sentido práctico aplicado a MoE.</w:t>
      </w:r>
    </w:p>
    <w:p>
      <w:pPr>
        <w:pStyle w:val="Heading2"/>
      </w:pPr>
      <w:r>
        <w:t>8.5. Omisión: decodificación especulativa</w:t>
      </w:r>
    </w:p>
    <w:p>
      <w:r>
        <w:t>Con pesos transmitidos por PCIe (bus-bound), verificar K tokens candidatos cuesta casi lo mismo que verificar 1 (la transferencia domina sobre el GEMM de batch pequeño). Un draft model de 1-3B residente 100% en VRAM que propone K=4 tokens, verificados por el modelo grande en un solo pase de streaming, multiplica el throughput efectivo por 2.5-3.5x sin mayor ancho de banda.</w:t>
      </w:r>
    </w:p>
    <w:p>
      <w:pPr>
        <w:pStyle w:val="Heading2"/>
      </w:pPr>
      <w:r>
        <w:t>8.6. Omisión: GPUDirect Storage y zero-copy</w:t>
      </w:r>
    </w:p>
    <w:p>
      <w:r>
        <w:t>GPUDirect Storage (cuFile) permite transferir del NVMe a la VRAM por DMA directo, sin pasar por la CPU ni memoria intermedia del sistema: relevante para la carga inicial. Zero-copy (cudaHostAllocMapped) permite que los kernels lean pesos directamente sobre el bus PCIe sin buffers dobles en VRAM, útil en GPUs con VRAM muy escasa.</w:t>
      </w:r>
    </w:p>
    <w:p>
      <w:pPr>
        <w:pStyle w:val="Heading2"/>
      </w:pPr>
      <w:r>
        <w:t>8.7. Evaluación para RTX 3060 Laptop (6 GB VRAM, PCIe 4.0 x8, ~12 GB/s)</w:t>
      </w:r>
    </w:p>
    <w:p>
      <w:r>
        <w:t>Presupuesto VRAM: buffers ping-pong (0.88 GB) + activaciones/driver (~1.3 GB) + KV-cache 8K FP16 (2.5 GB) = ~4.68 GB. Entra en 6 GB pero con margen &lt;500 MB: requiere contexto 4K o KV-cache cuantizada a FP8/INT8 (1.25 GB). Throughput esperado: 70B Q4 = 0.30 tok/s (inviable); 32B = 0.63 tok/s (marginal); 14B = 1.4 tok/s (límite); 7-8B Q4 (~4.5 GB) cabe completo en VRAM y rinde 20-30 tok/s sin streaming. Recomendación operativa: modelos 7-8B residentes, o MoE con expert-streaming (Qwen3-30B-A3B / gpt-oss-20b) como caso de alto valor.</w:t>
      </w:r>
    </w:p>
    <w:sectPr>
      <w:headerReference w:type="default" r:id="rId77"/>
      <w:footerReference w:type="default" r:id="rId78"/>
      <w:headerReference w:type="first" r:id="rId79"/>
      <w:footerReference w:type="first" r:id="rId80"/>
      <w:headerReference w:type="even" r:id="rId81"/>
      <w:footerReference w:type="even" r:id="rId82"/>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8.png"/><Relationship Id="rId41" Type="http://schemas.openxmlformats.org/officeDocument/2006/relationships/image" Target="media/image1.png"/><Relationship Id="rId44" Type="http://schemas.openxmlformats.org/officeDocument/2006/relationships/image" Target="media/image13.png"/><Relationship Id="rId43" Type="http://schemas.openxmlformats.org/officeDocument/2006/relationships/image" Target="media/image39.png"/><Relationship Id="rId46" Type="http://schemas.openxmlformats.org/officeDocument/2006/relationships/image" Target="media/image21.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33.png"/><Relationship Id="rId47" Type="http://schemas.openxmlformats.org/officeDocument/2006/relationships/image" Target="media/image34.png"/><Relationship Id="rId49" Type="http://schemas.openxmlformats.org/officeDocument/2006/relationships/hyperlink" Target="https://tns.thss.tsinghua.edu.cn/~danyang/assets/pdf/SpecOffload-IWQoS26.pdf"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41.png"/><Relationship Id="rId8" Type="http://schemas.openxmlformats.org/officeDocument/2006/relationships/image" Target="media/image17.png"/><Relationship Id="rId73" Type="http://schemas.openxmlformats.org/officeDocument/2006/relationships/hyperlink" Target="https://lib.rs/science/ml" TargetMode="External"/><Relationship Id="rId72" Type="http://schemas.openxmlformats.org/officeDocument/2006/relationships/hyperlink" Target="https://industrialmonitordirect.com/blogs/knowledgebase/resolving-llamacpp-oom-on-jetson-orin-nano-super-with-lfm2-vl" TargetMode="External"/><Relationship Id="rId31" Type="http://schemas.openxmlformats.org/officeDocument/2006/relationships/image" Target="media/image19.png"/><Relationship Id="rId75" Type="http://schemas.openxmlformats.org/officeDocument/2006/relationships/hyperlink" Target="https://lib.rs/filesystem" TargetMode="External"/><Relationship Id="rId30" Type="http://schemas.openxmlformats.org/officeDocument/2006/relationships/image" Target="media/image10.png"/><Relationship Id="rId74" Type="http://schemas.openxmlformats.org/officeDocument/2006/relationships/hyperlink" Target="https://docs.rs/onde/latest/onde/inference/types/struct.GgufModelConfig.html" TargetMode="External"/><Relationship Id="rId33" Type="http://schemas.openxmlformats.org/officeDocument/2006/relationships/image" Target="media/image18.png"/><Relationship Id="rId32" Type="http://schemas.openxmlformats.org/officeDocument/2006/relationships/image" Target="media/image6.png"/><Relationship Id="rId76" Type="http://schemas.openxmlformats.org/officeDocument/2006/relationships/hyperlink" Target="https://medium.com/@michael.hannecke/tuning-llama-cpp-on-apple-silicon-843f37a6c3dc" TargetMode="External"/><Relationship Id="rId35" Type="http://schemas.openxmlformats.org/officeDocument/2006/relationships/image" Target="media/image20.png"/><Relationship Id="rId34" Type="http://schemas.openxmlformats.org/officeDocument/2006/relationships/image" Target="media/image5.png"/><Relationship Id="rId71" Type="http://schemas.openxmlformats.org/officeDocument/2006/relationships/hyperlink" Target="https://mdda.net/blog/tech/dl/llama-cpp-moe-on-an-old-gtx-1080" TargetMode="External"/><Relationship Id="rId70" Type="http://schemas.openxmlformats.org/officeDocument/2006/relationships/hyperlink" Target="https://libraries.io/cargo/ironaccelerator" TargetMode="External"/><Relationship Id="rId37" Type="http://schemas.openxmlformats.org/officeDocument/2006/relationships/image" Target="media/image14.png"/><Relationship Id="rId36" Type="http://schemas.openxmlformats.org/officeDocument/2006/relationships/image" Target="media/image16.png"/><Relationship Id="rId39" Type="http://schemas.openxmlformats.org/officeDocument/2006/relationships/image" Target="media/image3.png"/><Relationship Id="rId38" Type="http://schemas.openxmlformats.org/officeDocument/2006/relationships/image" Target="media/image31.png"/><Relationship Id="rId62" Type="http://schemas.openxmlformats.org/officeDocument/2006/relationships/hyperlink" Target="https://bmdpat.com/blog/llama-cpp-n-gpu-layers-explained-2026" TargetMode="External"/><Relationship Id="rId61" Type="http://schemas.openxmlformats.org/officeDocument/2006/relationships/hyperlink" Target="https://arxiv.org/html/2603.20397v1" TargetMode="External"/><Relationship Id="rId20" Type="http://schemas.openxmlformats.org/officeDocument/2006/relationships/image" Target="media/image38.png"/><Relationship Id="rId64" Type="http://schemas.openxmlformats.org/officeDocument/2006/relationships/hyperlink" Target="https://github.com/ggml-org/llama.cpp/issues/22319?timeline_page=1" TargetMode="External"/><Relationship Id="rId63" Type="http://schemas.openxmlformats.org/officeDocument/2006/relationships/hyperlink" Target="https://www.kaggle.com/code/fiveflowerstarfish/llama-cpp-2-t4-test-gemma-3-27b-it-qat-q4" TargetMode="External"/><Relationship Id="rId22" Type="http://schemas.openxmlformats.org/officeDocument/2006/relationships/image" Target="media/image24.png"/><Relationship Id="rId66" Type="http://schemas.openxmlformats.org/officeDocument/2006/relationships/hyperlink" Target="https://arxiv.org/html/2501.01792v1" TargetMode="External"/><Relationship Id="rId21" Type="http://schemas.openxmlformats.org/officeDocument/2006/relationships/image" Target="media/image9.png"/><Relationship Id="rId65" Type="http://schemas.openxmlformats.org/officeDocument/2006/relationships/hyperlink" Target="https://modelfit.io/blog/run-35b-llm-mac-mini-m4-16gb-mmap/" TargetMode="External"/><Relationship Id="rId24" Type="http://schemas.openxmlformats.org/officeDocument/2006/relationships/image" Target="media/image25.png"/><Relationship Id="rId68" Type="http://schemas.openxmlformats.org/officeDocument/2006/relationships/hyperlink" Target="https://lib.rs/concurrency" TargetMode="External"/><Relationship Id="rId23" Type="http://schemas.openxmlformats.org/officeDocument/2006/relationships/image" Target="media/image7.png"/><Relationship Id="rId67" Type="http://schemas.openxmlformats.org/officeDocument/2006/relationships/hyperlink" Target="https://levelup.gitconnected.com/adding-paged-attention-to-andrej-karpathys-nanogpt-2026-edition-671f369a667e" TargetMode="External"/><Relationship Id="rId60" Type="http://schemas.openxmlformats.org/officeDocument/2006/relationships/hyperlink" Target="https://arxiv.org/html/2303.06865" TargetMode="External"/><Relationship Id="rId26" Type="http://schemas.openxmlformats.org/officeDocument/2006/relationships/image" Target="media/image43.png"/><Relationship Id="rId25" Type="http://schemas.openxmlformats.org/officeDocument/2006/relationships/image" Target="media/image12.png"/><Relationship Id="rId69" Type="http://schemas.openxmlformats.org/officeDocument/2006/relationships/hyperlink" Target="https://dev.to/mayu2008/building-sentence-transformers-in-rust-a-practical-guide-with-burn-onnx-runtime-and-candle-281k" TargetMode="External"/><Relationship Id="rId28" Type="http://schemas.openxmlformats.org/officeDocument/2006/relationships/image" Target="media/image4.png"/><Relationship Id="rId27" Type="http://schemas.openxmlformats.org/officeDocument/2006/relationships/image" Target="media/image2.png"/><Relationship Id="rId29" Type="http://schemas.openxmlformats.org/officeDocument/2006/relationships/image" Target="media/image29.png"/><Relationship Id="rId51" Type="http://schemas.openxmlformats.org/officeDocument/2006/relationships/hyperlink" Target="https://www.computer.org/csdl/journal/oj/2024/01/10478189/1VwBogntl6M" TargetMode="External"/><Relationship Id="rId50" Type="http://schemas.openxmlformats.org/officeDocument/2006/relationships/hyperlink" Target="https://www.researchgate.net/publication/387745640_Efficient_LLM_Inference_with_Activation_Checkpointing_and_Hybrid_Caching" TargetMode="External"/><Relationship Id="rId53" Type="http://schemas.openxmlformats.org/officeDocument/2006/relationships/hyperlink" Target="https://openreview.net/pdf/cee4b8dcd932afd8eede5396ef26deac56c26bb2.pdf" TargetMode="External"/><Relationship Id="rId52" Type="http://schemas.openxmlformats.org/officeDocument/2006/relationships/hyperlink" Target="https://arxiv.org/pdf/2303.06865" TargetMode="External"/><Relationship Id="rId11" Type="http://schemas.openxmlformats.org/officeDocument/2006/relationships/image" Target="media/image28.png"/><Relationship Id="rId55" Type="http://schemas.openxmlformats.org/officeDocument/2006/relationships/hyperlink" Target="https://github.com/ericlbuehler/mistral.rs" TargetMode="External"/><Relationship Id="rId10" Type="http://schemas.openxmlformats.org/officeDocument/2006/relationships/image" Target="media/image23.png"/><Relationship Id="rId54" Type="http://schemas.openxmlformats.org/officeDocument/2006/relationships/hyperlink" Target="https://docs.rs/onde-mistralrs-core" TargetMode="External"/><Relationship Id="rId13" Type="http://schemas.openxmlformats.org/officeDocument/2006/relationships/image" Target="media/image36.png"/><Relationship Id="rId57" Type="http://schemas.openxmlformats.org/officeDocument/2006/relationships/hyperlink" Target="https://github.com/randyap8-wq/Micro-Expert-Router-SSD-Streamed-MoE-MER" TargetMode="External"/><Relationship Id="rId12" Type="http://schemas.openxmlformats.org/officeDocument/2006/relationships/image" Target="media/image26.png"/><Relationship Id="rId56" Type="http://schemas.openxmlformats.org/officeDocument/2006/relationships/hyperlink" Target="https://mixpeek.com/blog/building-a-production-ready-vlm-inference-server-in-rust" TargetMode="External"/><Relationship Id="rId15" Type="http://schemas.openxmlformats.org/officeDocument/2006/relationships/image" Target="media/image32.png"/><Relationship Id="rId59" Type="http://schemas.openxmlformats.org/officeDocument/2006/relationships/hyperlink" Target="https://api.pixta.vn/the-art-of-llm-inference-fast-fit-and-free-part-2/" TargetMode="External"/><Relationship Id="rId14" Type="http://schemas.openxmlformats.org/officeDocument/2006/relationships/image" Target="media/image11.png"/><Relationship Id="rId58" Type="http://schemas.openxmlformats.org/officeDocument/2006/relationships/hyperlink" Target="https://github.com/cool-japan/trustformers/releases" TargetMode="External"/><Relationship Id="rId17" Type="http://schemas.openxmlformats.org/officeDocument/2006/relationships/image" Target="media/image40.png"/><Relationship Id="rId16" Type="http://schemas.openxmlformats.org/officeDocument/2006/relationships/image" Target="media/image35.png"/><Relationship Id="rId19" Type="http://schemas.openxmlformats.org/officeDocument/2006/relationships/image" Target="media/image37.png"/><Relationship Id="rId18" Type="http://schemas.openxmlformats.org/officeDocument/2006/relationships/image" Target="media/image42.png"/><Relationship Id="rId77" Type="http://schemas.openxmlformats.org/officeDocument/2006/relationships/header" Target="header1.xml"/><Relationship Id="rId78" Type="http://schemas.openxmlformats.org/officeDocument/2006/relationships/footer" Target="footer1.xml"/><Relationship Id="rId79" Type="http://schemas.openxmlformats.org/officeDocument/2006/relationships/header" Target="header2.xml"/><Relationship Id="rId80" Type="http://schemas.openxmlformats.org/officeDocument/2006/relationships/footer" Target="footer2.xml"/><Relationship Id="rId81" Type="http://schemas.openxmlformats.org/officeDocument/2006/relationships/header" Target="header3.xml"/><Relationship Id="rId8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