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0F2027"/>
          <w:sz w:val="40"/>
          <w:szCs w:val="40"/>
        </w:rPr>
        <w:t xml:space="preserve">CityCycle London</w:t>
      </w:r>
    </w:p>
    <w:p>
      <w:pPr>
        <w:spacing w:before="0" w:after="80"/>
      </w:pPr>
      <w:r>
        <w:rPr>
          <w:rFonts w:ascii="Arial" w:cs="Arial" w:eastAsia="Arial" w:hAnsi="Arial"/>
          <w:color w:val="028090"/>
          <w:sz w:val="28"/>
          <w:szCs w:val="28"/>
        </w:rPr>
        <w:t xml:space="preserve">10-Minute Presentation Script</w:t>
      </w:r>
    </w:p>
    <w:p>
      <w:pPr>
        <w:spacing w:before="0" w:after="360"/>
      </w:pPr>
      <w:r>
        <w:rPr>
          <w:rFonts w:ascii="Arial" w:cs="Arial" w:eastAsia="Arial" w:hAnsi="Arial"/>
          <w:i/>
          <w:iCs/>
          <w:color w:val="718096"/>
          <w:sz w:val="20"/>
          <w:szCs w:val="20"/>
        </w:rPr>
        <w:t xml:space="preserve">DSAI4 Module 2  ·  Team 2  ·  March 2026  ·  7 min script + 3 min demo</w:t>
      </w:r>
    </w:p>
    <w:p>
      <w:pPr>
        <w:pBdr>
          <w:bottom w:val="single" w:color="028090" w:sz="4" w:space="4"/>
        </w:pBdr>
        <w:spacing w:before="240" w:after="100"/>
      </w:pPr>
      <w:r>
        <w:rPr>
          <w:rFonts w:ascii="Arial" w:cs="Arial" w:eastAsia="Arial" w:hAnsi="Arial"/>
          <w:b/>
          <w:bCs/>
          <w:color w:val="028090"/>
          <w:sz w:val="20"/>
          <w:szCs w:val="20"/>
        </w:rPr>
        <w:t xml:space="preserve">SPEAKER ALLOCATION</w:t>
      </w:r>
    </w:p>
    <w:p>
      <w:pPr>
        <w:spacing w:before="12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1800"/>
        <w:gridCol w:w="1080"/>
      </w:tblGrid>
      <w:tr>
        <w:trPr>
          <w:tblHeader/>
        </w:trPr>
        <w:tc>
          <w:tcPr>
            <w:tcW w:type="dxa" w:w="2160"/>
            <w:tcBorders>
              <w:top w:val="single" w:color="E2E8F0" w:sz="1"/>
              <w:left w:val="single" w:color="E2E8F0" w:sz="1"/>
              <w:bottom w:val="single" w:color="E2E8F0" w:sz="1"/>
              <w:right w:val="single" w:color="E2E8F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4320"/>
            <w:tcBorders>
              <w:top w:val="single" w:color="E2E8F0" w:sz="1"/>
              <w:left w:val="single" w:color="E2E8F0" w:sz="1"/>
              <w:bottom w:val="single" w:color="E2E8F0" w:sz="1"/>
              <w:right w:val="single" w:color="E2E8F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800"/>
            <w:tcBorders>
              <w:top w:val="single" w:color="E2E8F0" w:sz="1"/>
              <w:left w:val="single" w:color="E2E8F0" w:sz="1"/>
              <w:bottom w:val="single" w:color="E2E8F0" w:sz="1"/>
              <w:right w:val="single" w:color="E2E8F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Covers</w:t>
            </w:r>
          </w:p>
        </w:tc>
        <w:tc>
          <w:tcPr>
            <w:tcW w:type="dxa" w:w="1080"/>
            <w:tcBorders>
              <w:top w:val="single" w:color="E2E8F0" w:sz="1"/>
              <w:left w:val="single" w:color="E2E8F0" w:sz="1"/>
              <w:bottom w:val="single" w:color="E2E8F0" w:sz="1"/>
              <w:right w:val="single" w:color="E2E8F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2160"/>
            <w:tcBorders>
              <w:top w:val="single" w:color="E2E8F0" w:sz="1"/>
              <w:left w:val="single" w:color="E2E8F0" w:sz="1"/>
              <w:bottom w:val="single" w:color="E2E8F0" w:sz="1"/>
              <w:right w:val="single" w:color="E2E8F0" w:sz="1"/>
            </w:tcBorders>
            <w:shd w:fill="E6F4F5" w:val="clear"/>
            <w:tcMar>
              <w:top w:type="dxa" w:w="80"/>
              <w:left w:type="dxa" w:w="120"/>
              <w:bottom w:type="dxa" w:w="80"/>
              <w:right w:type="dxa" w:w="120"/>
            </w:tcMar>
          </w:tcPr>
          <w:p>
            <w:r>
              <w:rPr>
                <w:rFonts w:ascii="Arial" w:cs="Arial" w:eastAsia="Arial" w:hAnsi="Arial"/>
                <w:color w:val="2D3748"/>
                <w:sz w:val="20"/>
                <w:szCs w:val="20"/>
              </w:rPr>
              <w:t xml:space="preserve">Member A</w:t>
            </w:r>
          </w:p>
        </w:tc>
        <w:tc>
          <w:tcPr>
            <w:tcW w:type="dxa" w:w="4320"/>
            <w:tcBorders>
              <w:top w:val="single" w:color="E2E8F0" w:sz="1"/>
              <w:left w:val="single" w:color="E2E8F0" w:sz="1"/>
              <w:bottom w:val="single" w:color="E2E8F0" w:sz="1"/>
              <w:right w:val="single" w:color="E2E8F0" w:sz="1"/>
            </w:tcBorders>
            <w:shd w:fill="E6F4F5" w:val="clear"/>
            <w:tcMar>
              <w:top w:type="dxa" w:w="80"/>
              <w:left w:type="dxa" w:w="120"/>
              <w:bottom w:type="dxa" w:w="80"/>
              <w:right w:type="dxa" w:w="120"/>
            </w:tcMar>
          </w:tcPr>
          <w:p>
            <w:r>
              <w:rPr>
                <w:rFonts w:ascii="Arial" w:cs="Arial" w:eastAsia="Arial" w:hAnsi="Arial"/>
                <w:color w:val="2D3748"/>
                <w:sz w:val="20"/>
                <w:szCs w:val="20"/>
              </w:rPr>
              <w:t xml:space="preserve">Introduction · Business Case · Pipeline Architecture</w:t>
            </w:r>
          </w:p>
        </w:tc>
        <w:tc>
          <w:tcPr>
            <w:tcW w:type="dxa" w:w="1800"/>
            <w:tcBorders>
              <w:top w:val="single" w:color="E2E8F0" w:sz="1"/>
              <w:left w:val="single" w:color="E2E8F0" w:sz="1"/>
              <w:bottom w:val="single" w:color="E2E8F0" w:sz="1"/>
              <w:right w:val="single" w:color="E2E8F0" w:sz="1"/>
            </w:tcBorders>
            <w:shd w:fill="E6F4F5" w:val="clear"/>
            <w:tcMar>
              <w:top w:type="dxa" w:w="80"/>
              <w:left w:type="dxa" w:w="120"/>
              <w:bottom w:type="dxa" w:w="80"/>
              <w:right w:type="dxa" w:w="120"/>
            </w:tcMar>
          </w:tcPr>
          <w:p>
            <w:r>
              <w:rPr>
                <w:rFonts w:ascii="Arial" w:cs="Arial" w:eastAsia="Arial" w:hAnsi="Arial"/>
                <w:color w:val="2D3748"/>
                <w:sz w:val="20"/>
                <w:szCs w:val="20"/>
              </w:rPr>
              <w:t xml:space="preserve">Slides 1–5, 8–10</w:t>
            </w:r>
          </w:p>
        </w:tc>
        <w:tc>
          <w:tcPr>
            <w:tcW w:type="dxa" w:w="1080"/>
            <w:tcBorders>
              <w:top w:val="single" w:color="E2E8F0" w:sz="1"/>
              <w:left w:val="single" w:color="E2E8F0" w:sz="1"/>
              <w:bottom w:val="single" w:color="E2E8F0" w:sz="1"/>
              <w:right w:val="single" w:color="E2E8F0" w:sz="1"/>
            </w:tcBorders>
            <w:shd w:fill="E6F4F5" w:val="clear"/>
            <w:tcMar>
              <w:top w:type="dxa" w:w="80"/>
              <w:left w:type="dxa" w:w="120"/>
              <w:bottom w:type="dxa" w:w="80"/>
              <w:right w:type="dxa" w:w="120"/>
            </w:tcMar>
          </w:tcPr>
          <w:p>
            <w:r>
              <w:rPr>
                <w:rFonts w:ascii="Arial" w:cs="Arial" w:eastAsia="Arial" w:hAnsi="Arial"/>
                <w:color w:val="2D3748"/>
                <w:sz w:val="20"/>
                <w:szCs w:val="20"/>
              </w:rPr>
              <w:t xml:space="preserve">~3 min</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Member B</w:t>
            </w:r>
          </w:p>
        </w:tc>
        <w:tc>
          <w:tcPr>
            <w:tcW w:type="dxa" w:w="43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Key Insights · Imbalance Analysis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Slides 13–16</w:t>
            </w:r>
          </w:p>
        </w:tc>
        <w:tc>
          <w:tcPr>
            <w:tcW w:type="dxa" w:w="1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~2 min</w:t>
            </w:r>
          </w:p>
        </w:tc>
      </w:tr>
      <w:tr>
        <w:tc>
          <w:tcPr>
            <w:tcW w:type="dxa" w:w="2160"/>
            <w:tcBorders>
              <w:top w:val="single" w:color="E2E8F0" w:sz="1"/>
              <w:left w:val="single" w:color="E2E8F0" w:sz="1"/>
              <w:bottom w:val="single" w:color="E2E8F0" w:sz="1"/>
              <w:right w:val="single" w:color="E2E8F0" w:sz="1"/>
            </w:tcBorders>
            <w:shd w:fill="E6F4F5" w:val="clear"/>
            <w:tcMar>
              <w:top w:type="dxa" w:w="80"/>
              <w:left w:type="dxa" w:w="120"/>
              <w:bottom w:type="dxa" w:w="80"/>
              <w:right w:type="dxa" w:w="120"/>
            </w:tcMar>
          </w:tcPr>
          <w:p>
            <w:r>
              <w:rPr>
                <w:rFonts w:ascii="Arial" w:cs="Arial" w:eastAsia="Arial" w:hAnsi="Arial"/>
                <w:color w:val="2D3748"/>
                <w:sz w:val="20"/>
                <w:szCs w:val="20"/>
              </w:rPr>
              <w:t xml:space="preserve">Member C</w:t>
            </w:r>
          </w:p>
        </w:tc>
        <w:tc>
          <w:tcPr>
            <w:tcW w:type="dxa" w:w="4320"/>
            <w:tcBorders>
              <w:top w:val="single" w:color="E2E8F0" w:sz="1"/>
              <w:left w:val="single" w:color="E2E8F0" w:sz="1"/>
              <w:bottom w:val="single" w:color="E2E8F0" w:sz="1"/>
              <w:right w:val="single" w:color="E2E8F0" w:sz="1"/>
            </w:tcBorders>
            <w:shd w:fill="E6F4F5" w:val="clear"/>
            <w:tcMar>
              <w:top w:type="dxa" w:w="80"/>
              <w:left w:type="dxa" w:w="120"/>
              <w:bottom w:type="dxa" w:w="80"/>
              <w:right w:type="dxa" w:w="120"/>
            </w:tcMar>
          </w:tcPr>
          <w:p>
            <w:r>
              <w:rPr>
                <w:rFonts w:ascii="Arial" w:cs="Arial" w:eastAsia="Arial" w:hAnsi="Arial"/>
                <w:color w:val="2D3748"/>
                <w:sz w:val="20"/>
                <w:szCs w:val="20"/>
              </w:rPr>
              <w:t xml:space="preserve">Risks &amp; Mitigation · Demo Walkthrough</w:t>
            </w:r>
          </w:p>
        </w:tc>
        <w:tc>
          <w:tcPr>
            <w:tcW w:type="dxa" w:w="1800"/>
            <w:tcBorders>
              <w:top w:val="single" w:color="E2E8F0" w:sz="1"/>
              <w:left w:val="single" w:color="E2E8F0" w:sz="1"/>
              <w:bottom w:val="single" w:color="E2E8F0" w:sz="1"/>
              <w:right w:val="single" w:color="E2E8F0" w:sz="1"/>
            </w:tcBorders>
            <w:shd w:fill="E6F4F5" w:val="clear"/>
            <w:tcMar>
              <w:top w:type="dxa" w:w="80"/>
              <w:left w:type="dxa" w:w="120"/>
              <w:bottom w:type="dxa" w:w="80"/>
              <w:right w:type="dxa" w:w="120"/>
            </w:tcMar>
          </w:tcPr>
          <w:p>
            <w:r>
              <w:rPr>
                <w:rFonts w:ascii="Arial" w:cs="Arial" w:eastAsia="Arial" w:hAnsi="Arial"/>
                <w:color w:val="2D3748"/>
                <w:sz w:val="20"/>
                <w:szCs w:val="20"/>
              </w:rPr>
              <w:t xml:space="preserve">Slides 17–18, 20–21</w:t>
            </w:r>
          </w:p>
        </w:tc>
        <w:tc>
          <w:tcPr>
            <w:tcW w:type="dxa" w:w="1080"/>
            <w:tcBorders>
              <w:top w:val="single" w:color="E2E8F0" w:sz="1"/>
              <w:left w:val="single" w:color="E2E8F0" w:sz="1"/>
              <w:bottom w:val="single" w:color="E2E8F0" w:sz="1"/>
              <w:right w:val="single" w:color="E2E8F0" w:sz="1"/>
            </w:tcBorders>
            <w:shd w:fill="E6F4F5" w:val="clear"/>
            <w:tcMar>
              <w:top w:type="dxa" w:w="80"/>
              <w:left w:type="dxa" w:w="120"/>
              <w:bottom w:type="dxa" w:w="80"/>
              <w:right w:type="dxa" w:w="120"/>
            </w:tcMar>
          </w:tcPr>
          <w:p>
            <w:r>
              <w:rPr>
                <w:rFonts w:ascii="Arial" w:cs="Arial" w:eastAsia="Arial" w:hAnsi="Arial"/>
                <w:color w:val="2D3748"/>
                <w:sz w:val="20"/>
                <w:szCs w:val="20"/>
              </w:rPr>
              <w:t xml:space="preserve">~5 min</w:t>
            </w:r>
          </w:p>
        </w:tc>
      </w:tr>
      <w:tr>
        <w:tc>
          <w:tcPr>
            <w:tcW w:type="dxa" w:w="2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Total</w:t>
            </w:r>
          </w:p>
        </w:tc>
        <w:tc>
          <w:tcPr>
            <w:tcW w:type="dxa" w:w="43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
            </w:r>
          </w:p>
        </w:tc>
        <w:tc>
          <w:tcPr>
            <w:tcW w:type="dxa" w:w="1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
            </w:r>
          </w:p>
        </w:tc>
        <w:tc>
          <w:tcPr>
            <w:tcW w:type="dxa" w:w="10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10 min</w:t>
            </w:r>
          </w:p>
        </w:tc>
      </w:tr>
    </w:tbl>
    <w:p>
      <w:pPr>
        <w:spacing w:before="160" w:after="0"/>
      </w:pPr>
    </w:p>
    <w:p>
      <w:pPr>
        <w:spacing w:before="160" w:after="320"/>
      </w:pPr>
      <w:r>
        <w:rPr>
          <w:rFonts w:ascii="Arial" w:cs="Arial" w:eastAsia="Arial" w:hAnsi="Arial"/>
          <w:b/>
          <w:bCs/>
          <w:color w:val="0F2027"/>
          <w:sz w:val="20"/>
          <w:szCs w:val="20"/>
        </w:rPr>
        <w:t xml:space="preserve">Handoff principle: </w:t>
      </w:r>
      <w:r>
        <w:rPr>
          <w:rFonts w:ascii="Arial" w:cs="Arial" w:eastAsia="Arial" w:hAnsi="Arial"/>
          <w:i/>
          <w:iCs/>
          <w:color w:val="2D3748"/>
          <w:sz w:val="20"/>
          <w:szCs w:val="20"/>
        </w:rPr>
        <w:t xml:space="preserve">Each member covers a complete section, not individual slides. Context transfers at natural analytical breaks — problem to solution, findings to action, risks to demo.</w:t>
      </w:r>
    </w:p>
    <w:p>
      <w:pPr>
        <w:spacing w:before="20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8090" w:val="clear"/>
            <w:tcMar>
              <w:top w:type="dxa" w:w="160"/>
              <w:left w:type="dxa" w:w="240"/>
              <w:bottom w:type="dxa" w:w="160"/>
              <w:right w:type="dxa" w:w="240"/>
            </w:tcMar>
          </w:tcPr>
          <w:p>
            <w:r>
              <w:rPr>
                <w:rFonts w:ascii="Arial" w:cs="Arial" w:eastAsia="Arial" w:hAnsi="Arial"/>
                <w:b/>
                <w:bCs/>
                <w:color w:val="FFFFFF"/>
                <w:sz w:val="28"/>
                <w:szCs w:val="28"/>
              </w:rPr>
              <w:t xml:space="preserve">MEMBER A</w:t>
            </w:r>
            <w:r>
              <w:rPr>
                <w:rFonts w:ascii="Arial" w:cs="Arial" w:eastAsia="Arial" w:hAnsi="Arial"/>
                <w:color w:val="FFFFFF"/>
                <w:sz w:val="22"/>
                <w:szCs w:val="22"/>
              </w:rPr>
              <w:t xml:space="preserve">  ·  Introduction · Business Case · Pipeline Architecture  ·  ~3 minutes</w:t>
            </w:r>
          </w:p>
        </w:tc>
      </w:tr>
    </w:tbl>
    <w:p>
      <w:pPr>
        <w:spacing w:before="160" w:after="80"/>
      </w:pPr>
    </w:p>
    <w:p>
      <w:pPr>
        <w:pBdr>
          <w:bottom w:val="single" w:color="718096" w:sz="4" w:space="4"/>
        </w:pBdr>
        <w:spacing w:before="240" w:after="100"/>
      </w:pPr>
      <w:r>
        <w:rPr>
          <w:rFonts w:ascii="Arial" w:cs="Arial" w:eastAsia="Arial" w:hAnsi="Arial"/>
          <w:b/>
          <w:bCs/>
          <w:color w:val="718096"/>
          <w:sz w:val="20"/>
          <w:szCs w:val="20"/>
        </w:rPr>
        <w:t xml:space="preserve">TITLE SLIDE</w:t>
      </w:r>
    </w:p>
    <w:p>
      <w:pPr>
        <w:spacing w:before="60" w:after="100"/>
      </w:pPr>
      <w:r>
        <w:rPr>
          <w:rFonts w:ascii="Arial" w:cs="Arial" w:eastAsia="Arial" w:hAnsi="Arial"/>
          <w:color w:val="2D3748"/>
          <w:sz w:val="22"/>
          <w:szCs w:val="22"/>
        </w:rPr>
        <w:t xml:space="preserve">"Good morning. We're Team 2, and today we're presenting CityCycle London — a bike rebalancing intelligence pipeline built on 32 million real rides from London's public bike-share network."</w:t>
      </w:r>
    </w:p>
    <w:p>
      <w:pPr>
        <w:spacing w:before="0" w:after="120"/>
      </w:pPr>
    </w:p>
    <w:p>
      <w:pPr>
        <w:pBdr>
          <w:bottom w:val="single" w:color="718096" w:sz="4" w:space="4"/>
        </w:pBdr>
        <w:spacing w:before="240" w:after="100"/>
      </w:pPr>
      <w:r>
        <w:rPr>
          <w:rFonts w:ascii="Arial" w:cs="Arial" w:eastAsia="Arial" w:hAnsi="Arial"/>
          <w:b/>
          <w:bCs/>
          <w:color w:val="718096"/>
          <w:sz w:val="20"/>
          <w:szCs w:val="20"/>
        </w:rPr>
        <w:t xml:space="preserve">OVERVIEW</w:t>
      </w:r>
    </w:p>
    <w:p>
      <w:pPr>
        <w:spacing w:before="60" w:after="100"/>
      </w:pPr>
      <w:r>
        <w:rPr>
          <w:rFonts w:ascii="Arial" w:cs="Arial" w:eastAsia="Arial" w:hAnsi="Arial"/>
          <w:color w:val="2D3748"/>
          <w:sz w:val="22"/>
          <w:szCs w:val="22"/>
        </w:rPr>
        <w:t xml:space="preserve">"We'll move quickly — introduction, data strategy, key insights, risks, and then a live demo of the scenario planner. Let's go."</w:t>
      </w:r>
    </w:p>
    <w:p>
      <w:pPr>
        <w:spacing w:before="0" w:after="120"/>
      </w:pPr>
    </w:p>
    <w:p>
      <w:pPr>
        <w:pBdr>
          <w:bottom w:val="single" w:color="718096" w:sz="4" w:space="4"/>
        </w:pBdr>
        <w:spacing w:before="240" w:after="100"/>
      </w:pPr>
      <w:r>
        <w:rPr>
          <w:rFonts w:ascii="Arial" w:cs="Arial" w:eastAsia="Arial" w:hAnsi="Arial"/>
          <w:b/>
          <w:bCs/>
          <w:color w:val="718096"/>
          <w:sz w:val="20"/>
          <w:szCs w:val="20"/>
        </w:rPr>
        <w:t xml:space="preserve">THE PROBLEM</w:t>
      </w:r>
    </w:p>
    <w:p>
      <w:pPr>
        <w:spacing w:before="60" w:after="100"/>
      </w:pPr>
      <w:r>
        <w:rPr>
          <w:rFonts w:ascii="Arial" w:cs="Arial" w:eastAsia="Arial" w:hAnsi="Arial"/>
          <w:color w:val="2D3748"/>
          <w:sz w:val="22"/>
          <w:szCs w:val="22"/>
        </w:rPr>
        <w:t xml:space="preserve">"The problem is straightforward. London's CityCycle network operates 795 docking stations across the city, and every day some stations run completely empty during the morning commute while others overflow with bikes that can't be docked. Riders arrive to find nothing. Returning riders can't dock. Crews are deployed reactively — based on complaints, not data — which wastes time, fuel, and crew hours."</w:t>
      </w:r>
    </w:p>
    <w:p>
      <w:pPr>
        <w:spacing w:before="60" w:after="100"/>
      </w:pPr>
      <w:r>
        <w:rPr>
          <w:rFonts w:ascii="Arial" w:cs="Arial" w:eastAsia="Arial" w:hAnsi="Arial"/>
          <w:color w:val="2D3748"/>
          <w:sz w:val="22"/>
          <w:szCs w:val="22"/>
        </w:rPr>
        <w:t xml:space="preserve">"The root cause is a lack of predictive intelligence. Operations can't pre-position bikes before peak periods because they don't know which stations will drain until it's already happened."</w:t>
      </w:r>
    </w:p>
    <w:p>
      <w:pPr>
        <w:spacing w:before="0" w:after="120"/>
      </w:pPr>
    </w:p>
    <w:p>
      <w:pPr>
        <w:pBdr>
          <w:bottom w:val="single" w:color="718096" w:sz="4" w:space="4"/>
        </w:pBdr>
        <w:spacing w:before="240" w:after="100"/>
      </w:pPr>
      <w:r>
        <w:rPr>
          <w:rFonts w:ascii="Arial" w:cs="Arial" w:eastAsia="Arial" w:hAnsi="Arial"/>
          <w:b/>
          <w:bCs/>
          <w:color w:val="718096"/>
          <w:sz w:val="20"/>
          <w:szCs w:val="20"/>
        </w:rPr>
        <w:t xml:space="preserve">THE PROPOSED SOLUTION</w:t>
      </w:r>
    </w:p>
    <w:p>
      <w:pPr>
        <w:spacing w:before="60" w:after="100"/>
      </w:pPr>
      <w:r>
        <w:rPr>
          <w:rFonts w:ascii="Arial" w:cs="Arial" w:eastAsia="Arial" w:hAnsi="Arial"/>
          <w:color w:val="2D3748"/>
          <w:sz w:val="22"/>
          <w:szCs w:val="22"/>
        </w:rPr>
        <w:t xml:space="preserve">"Our solution is an end-to-end ELT pipeline that ingests the full 3-year ride history, transforms it into a star schema, runs automated quality checks, trains a demand forecasting model, and serves everything through an operational dashboard and executive reporting layer."</w:t>
      </w:r>
    </w:p>
    <w:p>
      <w:pPr>
        <w:spacing w:before="60" w:after="100"/>
      </w:pPr>
      <w:r>
        <w:rPr>
          <w:rFonts w:ascii="Arial" w:cs="Arial" w:eastAsia="Arial" w:hAnsi="Arial"/>
          <w:color w:val="2D3748"/>
          <w:sz w:val="22"/>
          <w:szCs w:val="22"/>
        </w:rPr>
        <w:t xml:space="preserve">"Five stages: Meltano ingests from BigQuery public data, dbt transforms into a star schema with derived imbalance metrics, Great Expectations validates quality at two checkpoints, GitHub Actions runs CI on every push, and the output serves Streamlit, Looker Studio, and the ML model."</w:t>
      </w:r>
    </w:p>
    <w:p>
      <w:pPr>
        <w:spacing w:before="0" w:after="120"/>
      </w:pPr>
    </w:p>
    <w:p>
      <w:pPr>
        <w:pBdr>
          <w:bottom w:val="single" w:color="718096" w:sz="4" w:space="4"/>
        </w:pBdr>
        <w:spacing w:before="240" w:after="100"/>
      </w:pPr>
      <w:r>
        <w:rPr>
          <w:rFonts w:ascii="Arial" w:cs="Arial" w:eastAsia="Arial" w:hAnsi="Arial"/>
          <w:b/>
          <w:bCs/>
          <w:color w:val="718096"/>
          <w:sz w:val="20"/>
          <w:szCs w:val="20"/>
        </w:rPr>
        <w:t xml:space="preserve">BUSINESS IMPACT</w:t>
      </w:r>
    </w:p>
    <w:p>
      <w:pPr>
        <w:spacing w:before="60" w:after="100"/>
      </w:pPr>
      <w:r>
        <w:rPr>
          <w:rFonts w:ascii="Arial" w:cs="Arial" w:eastAsia="Arial" w:hAnsi="Arial"/>
          <w:color w:val="2D3748"/>
          <w:sz w:val="22"/>
          <w:szCs w:val="22"/>
        </w:rPr>
        <w:t xml:space="preserve">"The business case is simple. Data-driven rebalancing transforms CityCycle from reactive to predictive operations. By knowing which stations will drain before it happens, crews can be pre-positioned at 06:00 ahead of the AM peak — rather than responding at 08:30 when bikes are already gone. That protects revenue, reduces crew costs, and improves rider experience. The pipeline is also built to be reusable — the same architecture can be pointed at any city's bike-share dataset."</w:t>
      </w:r>
    </w:p>
    <w:p>
      <w:pPr>
        <w:spacing w:before="0" w:after="120"/>
      </w:pPr>
    </w:p>
    <w:p>
      <w:pPr>
        <w:pBdr>
          <w:bottom w:val="single" w:color="718096" w:sz="4" w:space="4"/>
        </w:pBdr>
        <w:spacing w:before="240" w:after="100"/>
      </w:pPr>
      <w:r>
        <w:rPr>
          <w:rFonts w:ascii="Arial" w:cs="Arial" w:eastAsia="Arial" w:hAnsi="Arial"/>
          <w:b/>
          <w:bCs/>
          <w:color w:val="718096"/>
          <w:sz w:val="20"/>
          <w:szCs w:val="20"/>
        </w:rPr>
        <w:t xml:space="preserve">DATA FLOW DIAGRAM</w:t>
      </w:r>
    </w:p>
    <w:p>
      <w:pPr>
        <w:spacing w:before="60" w:after="100"/>
      </w:pPr>
      <w:r>
        <w:rPr>
          <w:rFonts w:ascii="Arial" w:cs="Arial" w:eastAsia="Arial" w:hAnsi="Arial"/>
          <w:color w:val="2D3748"/>
          <w:sz w:val="22"/>
          <w:szCs w:val="22"/>
        </w:rPr>
        <w:t xml:space="preserve">"Here's how the data flows. BigQuery public dataset as source, Meltano as the extract and load layer using the Singer protocol — tap-bigquery reads from london_bicycles, target-bigquery writes to our project's raw dataset. From there, dbt runs 7 transformation models across staging, intermediate, and marts layers, producing the star schema that everything downstream consumes. Great Expectations gates quality at two points. And the output feeds Streamlit, Looker Studio, and the Jupyter EDA notebook — all reading from the same fact_rides and dim_stations tables."</w:t>
      </w:r>
    </w:p>
    <w:p>
      <w:pPr>
        <w:spacing w:before="0" w:after="120"/>
      </w:pPr>
    </w:p>
    <w:p>
      <w:pPr>
        <w:pBdr>
          <w:bottom w:val="single" w:color="718096" w:sz="4" w:space="4"/>
        </w:pBdr>
        <w:spacing w:before="240" w:after="100"/>
      </w:pPr>
      <w:r>
        <w:rPr>
          <w:rFonts w:ascii="Arial" w:cs="Arial" w:eastAsia="Arial" w:hAnsi="Arial"/>
          <w:b/>
          <w:bCs/>
          <w:color w:val="718096"/>
          <w:sz w:val="20"/>
          <w:szCs w:val="20"/>
        </w:rPr>
        <w:t xml:space="preserve">dbt TRANSFORMATION PIPELINE</w:t>
      </w:r>
    </w:p>
    <w:p>
      <w:pPr>
        <w:spacing w:before="60" w:after="100"/>
      </w:pPr>
      <w:r>
        <w:rPr>
          <w:rFonts w:ascii="Arial" w:cs="Arial" w:eastAsia="Arial" w:hAnsi="Arial"/>
          <w:color w:val="2D3748"/>
          <w:sz w:val="22"/>
          <w:szCs w:val="22"/>
        </w:rPr>
        <w:t xml:space="preserve">"The transformation is where the analytical heavy lifting happens. Staging cleans and types the raw data — renaming columns, casting types, filtering bad rows. Intermediate applies business logic — computing peak hour flags, duration bands, and most importantly the imbalance score. Marts materialise the final tables partitioned by date and clustered by station for fast queries. 56 tests pass, zero errors, 3 intentional warnings on known source data issues."</w:t>
      </w:r>
    </w:p>
    <w:p>
      <w:pPr>
        <w:spacing w:before="80" w:after="0"/>
      </w:pPr>
    </w:p>
    <w:p>
      <w:pPr>
        <w:spacing w:before="60" w:after="100"/>
      </w:pPr>
      <w:r>
        <w:rPr>
          <w:rFonts w:ascii="Arial" w:cs="Arial" w:eastAsia="Arial" w:hAnsi="Arial"/>
          <w:i/>
          <w:iCs/>
          <w:color w:val="718096"/>
          <w:sz w:val="18"/>
          <w:szCs w:val="18"/>
        </w:rPr>
        <w:t xml:space="preserve">→ Hand off to Member B</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5621" w:val="clear"/>
            <w:tcMar>
              <w:top w:type="dxa" w:w="160"/>
              <w:left w:type="dxa" w:w="240"/>
              <w:bottom w:type="dxa" w:w="160"/>
              <w:right w:type="dxa" w:w="240"/>
            </w:tcMar>
          </w:tcPr>
          <w:p>
            <w:r>
              <w:rPr>
                <w:rFonts w:ascii="Arial" w:cs="Arial" w:eastAsia="Arial" w:hAnsi="Arial"/>
                <w:b/>
                <w:bCs/>
                <w:color w:val="FFFFFF"/>
                <w:sz w:val="28"/>
                <w:szCs w:val="28"/>
              </w:rPr>
              <w:t xml:space="preserve">MEMBER B</w:t>
            </w:r>
            <w:r>
              <w:rPr>
                <w:rFonts w:ascii="Arial" w:cs="Arial" w:eastAsia="Arial" w:hAnsi="Arial"/>
                <w:color w:val="FFFFFF"/>
                <w:sz w:val="22"/>
                <w:szCs w:val="22"/>
              </w:rPr>
              <w:t xml:space="preserve">  ·  Key Insights · Imbalance Analysis  ·  ~2 minutes</w:t>
            </w:r>
          </w:p>
        </w:tc>
      </w:tr>
    </w:tbl>
    <w:p>
      <w:pPr>
        <w:spacing w:before="160" w:after="80"/>
      </w:pPr>
    </w:p>
    <w:p>
      <w:pPr>
        <w:pBdr>
          <w:bottom w:val="single" w:color="718096" w:sz="4" w:space="4"/>
        </w:pBdr>
        <w:spacing w:before="240" w:after="100"/>
      </w:pPr>
      <w:r>
        <w:rPr>
          <w:rFonts w:ascii="Arial" w:cs="Arial" w:eastAsia="Arial" w:hAnsi="Arial"/>
          <w:b/>
          <w:bCs/>
          <w:color w:val="718096"/>
          <w:sz w:val="20"/>
          <w:szCs w:val="20"/>
        </w:rPr>
        <w:t xml:space="preserve">KEY FINDINGS</w:t>
      </w:r>
    </w:p>
    <w:p>
      <w:pPr>
        <w:spacing w:before="60" w:after="100"/>
      </w:pPr>
      <w:r>
        <w:rPr>
          <w:rFonts w:ascii="Arial" w:cs="Arial" w:eastAsia="Arial" w:hAnsi="Arial"/>
          <w:color w:val="2D3748"/>
          <w:sz w:val="22"/>
          <w:szCs w:val="22"/>
        </w:rPr>
        <w:t xml:space="preserve">"Thank you. Once the pipeline was running we ran EDA across all 32 million rides using Jupyter and SQLAlchemy connected directly to the mart tables. Here's what the data tells us."</w:t>
      </w:r>
    </w:p>
    <w:p>
      <w:pPr>
        <w:spacing w:before="60" w:after="100"/>
      </w:pPr>
      <w:r>
        <w:rPr>
          <w:rFonts w:ascii="Arial" w:cs="Arial" w:eastAsia="Arial" w:hAnsi="Arial"/>
          <w:color w:val="2D3748"/>
          <w:sz w:val="22"/>
          <w:szCs w:val="22"/>
        </w:rPr>
        <w:t xml:space="preserve">"The network carries 32 million rides across three years, averaging 21.8 minutes per ride. K-Means clustering on ride behaviour identified three distinct rider segments — Leisure at 53%, Casual at 32%, and Commuters at 15%. Each segment drains stations in different directions at different times of day, which is exactly why a one-size-fits-all rebalancing schedule doesn't work."</w:t>
      </w:r>
    </w:p>
    <w:p>
      <w:pPr>
        <w:spacing w:before="60" w:after="100"/>
      </w:pPr>
      <w:r>
        <w:rPr>
          <w:rFonts w:ascii="Arial" w:cs="Arial" w:eastAsia="Arial" w:hAnsi="Arial"/>
          <w:color w:val="2D3748"/>
          <w:sz w:val="22"/>
          <w:szCs w:val="22"/>
        </w:rPr>
        <w:t xml:space="preserve">"The average network imbalance score is 0.084 — that's the baseline. Stations scoring above 0.18 need scheduled daily intervention. We found 3 stations in the CRITICAL tier and 27 in HIGH priority — 30 stations out of 795 that need active crew attention every day."</w:t>
      </w:r>
    </w:p>
    <w:p>
      <w:pPr>
        <w:spacing w:before="60" w:after="100"/>
      </w:pPr>
      <w:r>
        <w:rPr>
          <w:rFonts w:ascii="Arial" w:cs="Arial" w:eastAsia="Arial" w:hAnsi="Arial"/>
          <w:color w:val="2D3748"/>
          <w:sz w:val="22"/>
          <w:szCs w:val="22"/>
        </w:rPr>
        <w:t xml:space="preserve">"The top draining station is New North Road Hoxton — score 0.324, losing 7 bikes per day on average, draining 90% of days. Without intervention, that station runs empty before the morning peak on most days."</w:t>
      </w:r>
    </w:p>
    <w:p>
      <w:pPr>
        <w:spacing w:before="0" w:after="120"/>
      </w:pPr>
    </w:p>
    <w:p>
      <w:pPr>
        <w:pBdr>
          <w:bottom w:val="single" w:color="718096" w:sz="4" w:space="4"/>
        </w:pBdr>
        <w:spacing w:before="240" w:after="100"/>
      </w:pPr>
      <w:r>
        <w:rPr>
          <w:rFonts w:ascii="Arial" w:cs="Arial" w:eastAsia="Arial" w:hAnsi="Arial"/>
          <w:b/>
          <w:bCs/>
          <w:color w:val="718096"/>
          <w:sz w:val="20"/>
          <w:szCs w:val="20"/>
        </w:rPr>
        <w:t xml:space="preserve">RIDE TRENDS 2020–2023</w:t>
      </w:r>
    </w:p>
    <w:p>
      <w:pPr>
        <w:spacing w:before="60" w:after="100"/>
      </w:pPr>
      <w:r>
        <w:rPr>
          <w:rFonts w:ascii="Arial" w:cs="Arial" w:eastAsia="Arial" w:hAnsi="Arial"/>
          <w:color w:val="2D3748"/>
          <w:sz w:val="22"/>
          <w:szCs w:val="22"/>
        </w:rPr>
        <w:t xml:space="preserve">"The ride trend chart tells a broader story. Ridership fell roughly 30% during the first UK lockdown in March-April 2020, then recovered sharply through summer. Each subsequent summer peak was higher than the last — 1.1 million in summer 2020, 1.2 million in 2021, reaching a record 1.3 million rides in July 2022. Full recovery and growth, confirmed in the data."</w:t>
      </w:r>
    </w:p>
    <w:p>
      <w:pPr>
        <w:spacing w:before="60" w:after="100"/>
      </w:pPr>
      <w:r>
        <w:rPr>
          <w:rFonts w:ascii="Arial" w:cs="Arial" w:eastAsia="Arial" w:hAnsi="Arial"/>
          <w:color w:val="2D3748"/>
          <w:sz w:val="22"/>
          <w:szCs w:val="22"/>
        </w:rPr>
        <w:t xml:space="preserve">"The January 2021 trough is the deepest in the dataset — the UK's third lockdown coinciding with peak winter seasonality, two exogenous factors compounding simultaneously. This is why the model explains 49% of variance — the rest is exogenous: policy, weather, seasonality. These are signals the pipeline captures but the ML model can't predict."</w:t>
      </w:r>
    </w:p>
    <w:p>
      <w:pPr>
        <w:spacing w:before="0" w:after="120"/>
      </w:pPr>
    </w:p>
    <w:p>
      <w:pPr>
        <w:pBdr>
          <w:bottom w:val="single" w:color="718096" w:sz="4" w:space="4"/>
        </w:pBdr>
        <w:spacing w:before="240" w:after="100"/>
      </w:pPr>
      <w:r>
        <w:rPr>
          <w:rFonts w:ascii="Arial" w:cs="Arial" w:eastAsia="Arial" w:hAnsi="Arial"/>
          <w:b/>
          <w:bCs/>
          <w:color w:val="718096"/>
          <w:sz w:val="20"/>
          <w:szCs w:val="20"/>
        </w:rPr>
        <w:t xml:space="preserve">UNDERSTANDING IMBALANCE</w:t>
      </w:r>
    </w:p>
    <w:p>
      <w:pPr>
        <w:spacing w:before="60" w:after="100"/>
      </w:pPr>
      <w:r>
        <w:rPr>
          <w:rFonts w:ascii="Arial" w:cs="Arial" w:eastAsia="Arial" w:hAnsi="Arial"/>
          <w:color w:val="2D3748"/>
          <w:sz w:val="22"/>
          <w:szCs w:val="22"/>
        </w:rPr>
        <w:t xml:space="preserve">"This slide is the analytical core of the project. The imbalance score is a single formula: absolute difference between departures and arrivals, divided by total activity. Zero means perfectly balanced. One means entirely one-directional."</w:t>
      </w:r>
    </w:p>
    <w:p>
      <w:pPr>
        <w:spacing w:before="60" w:after="100"/>
      </w:pPr>
      <w:r>
        <w:rPr>
          <w:rFonts w:ascii="Arial" w:cs="Arial" w:eastAsia="Arial" w:hAnsi="Arial"/>
          <w:color w:val="2D3748"/>
          <w:sz w:val="22"/>
          <w:szCs w:val="22"/>
        </w:rPr>
        <w:t xml:space="preserve">"A station is either draining — more bikes leaving than arriving, crew action is deliver bikes — filling — more arriving than leaving, crew action is collect bikes — or balanced, no intervention needed."</w:t>
      </w:r>
    </w:p>
    <w:p>
      <w:pPr>
        <w:spacing w:before="60" w:after="100"/>
      </w:pPr>
      <w:r>
        <w:rPr>
          <w:rFonts w:ascii="Arial" w:cs="Arial" w:eastAsia="Arial" w:hAnsi="Arial"/>
          <w:color w:val="2D3748"/>
          <w:sz w:val="22"/>
          <w:szCs w:val="22"/>
        </w:rPr>
        <w:t xml:space="preserve">"We calibrated the CRITICAL threshold at 0.25 because at that level a busy station can exhaust its dock capacity within a single day. The thresholds were derived from the all-time score distribution across 853,000 station-days in the dataset — not arbitrary."</w:t>
      </w:r>
    </w:p>
    <w:p>
      <w:pPr>
        <w:spacing w:before="80" w:after="0"/>
      </w:pPr>
    </w:p>
    <w:p>
      <w:pPr>
        <w:spacing w:before="60" w:after="100"/>
      </w:pPr>
      <w:r>
        <w:rPr>
          <w:rFonts w:ascii="Arial" w:cs="Arial" w:eastAsia="Arial" w:hAnsi="Arial"/>
          <w:i/>
          <w:iCs/>
          <w:color w:val="718096"/>
          <w:sz w:val="18"/>
          <w:szCs w:val="18"/>
        </w:rPr>
        <w:t xml:space="preserve">→ Hand off to Member C</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2C39A" w:val="clear"/>
            <w:tcMar>
              <w:top w:type="dxa" w:w="160"/>
              <w:left w:type="dxa" w:w="240"/>
              <w:bottom w:type="dxa" w:w="160"/>
              <w:right w:type="dxa" w:w="240"/>
            </w:tcMar>
          </w:tcPr>
          <w:p>
            <w:r>
              <w:rPr>
                <w:rFonts w:ascii="Arial" w:cs="Arial" w:eastAsia="Arial" w:hAnsi="Arial"/>
                <w:b/>
                <w:bCs/>
                <w:color w:val="FFFFFF"/>
                <w:sz w:val="28"/>
                <w:szCs w:val="28"/>
              </w:rPr>
              <w:t xml:space="preserve">MEMBER C</w:t>
            </w:r>
            <w:r>
              <w:rPr>
                <w:rFonts w:ascii="Arial" w:cs="Arial" w:eastAsia="Arial" w:hAnsi="Arial"/>
                <w:color w:val="FFFFFF"/>
                <w:sz w:val="22"/>
                <w:szCs w:val="22"/>
              </w:rPr>
              <w:t xml:space="preserve">  ·  Risks &amp; Mitigation · Demo Walkthrough  ·  ~5 minutes (incl. 3 min demo)</w:t>
            </w:r>
          </w:p>
        </w:tc>
      </w:tr>
    </w:tbl>
    <w:p>
      <w:pPr>
        <w:spacing w:before="160" w:after="80"/>
      </w:pPr>
    </w:p>
    <w:p>
      <w:pPr>
        <w:pBdr>
          <w:bottom w:val="single" w:color="718096" w:sz="4" w:space="4"/>
        </w:pBdr>
        <w:spacing w:before="240" w:after="100"/>
      </w:pPr>
      <w:r>
        <w:rPr>
          <w:rFonts w:ascii="Arial" w:cs="Arial" w:eastAsia="Arial" w:hAnsi="Arial"/>
          <w:b/>
          <w:bCs/>
          <w:color w:val="718096"/>
          <w:sz w:val="20"/>
          <w:szCs w:val="20"/>
        </w:rPr>
        <w:t xml:space="preserve">ENGINEERING DECISIONS &amp; RISK MANAGEMENT</w:t>
      </w:r>
    </w:p>
    <w:p>
      <w:pPr>
        <w:spacing w:before="60" w:after="100"/>
      </w:pPr>
      <w:r>
        <w:rPr>
          <w:rFonts w:ascii="Arial" w:cs="Arial" w:eastAsia="Arial" w:hAnsi="Arial"/>
          <w:color w:val="2D3748"/>
          <w:sz w:val="22"/>
          <w:szCs w:val="22"/>
        </w:rPr>
        <w:t xml:space="preserve">"Every engineering project encounters problems — the question is whether you anticipated them and whether you solved them. We did both."</w:t>
      </w:r>
    </w:p>
    <w:p>
      <w:pPr>
        <w:spacing w:before="60" w:after="100"/>
      </w:pPr>
      <w:r>
        <w:rPr>
          <w:rFonts w:ascii="Arial" w:cs="Arial" w:eastAsia="Arial" w:hAnsi="Arial"/>
          <w:color w:val="2D3748"/>
          <w:sz w:val="22"/>
          <w:szCs w:val="22"/>
        </w:rPr>
        <w:t xml:space="preserve">"On risks: the biggest upfront concern was BigQuery cost. The source dataset has 83 million rows — one unguarded query would wipe the entire monthly free tier. We addressed this with dry-run cost checks before every live query, date partitioning on fact_rides, LIMIT guards in development, and a budget alert at 80%."</w:t>
      </w:r>
    </w:p>
    <w:p>
      <w:pPr>
        <w:spacing w:before="60" w:after="100"/>
      </w:pPr>
      <w:r>
        <w:rPr>
          <w:rFonts w:ascii="Arial" w:cs="Arial" w:eastAsia="Arial" w:hAnsi="Arial"/>
          <w:color w:val="2D3748"/>
          <w:sz w:val="22"/>
          <w:szCs w:val="22"/>
        </w:rPr>
        <w:t xml:space="preserve">"On failures we actually hit — three stand out. First, a BOOL and INT64 type mismatch in BigQuery where COUNTIF was silently returning zero on boolean columns. Fixed by replacing COUNTIF with SUM of CAST throughout. Second, dim_stations was showing every station as LOW priority — caused by a 7-day WHERE filter in the dbt CTE that returned zero rows. Fixed by switching to all-time averages and recalibrating the thresholds. Third, the XGBoost model was producing silently wrong forecasts because the season feature was in a different column position between training and the dashboard. No error message — just wrong predictions. Fixed with explicit column reordering enforced in CI on every push."</w:t>
      </w:r>
    </w:p>
    <w:p>
      <w:pPr>
        <w:spacing w:before="60" w:after="100"/>
      </w:pPr>
      <w:r>
        <w:rPr>
          <w:rFonts w:ascii="Arial" w:cs="Arial" w:eastAsia="Arial" w:hAnsi="Arial"/>
          <w:color w:val="2D3748"/>
          <w:sz w:val="22"/>
          <w:szCs w:val="22"/>
        </w:rPr>
        <w:t xml:space="preserve">"The development strategy that made all of this safe was mock-first. We built and tested the entire pipeline against 10,000 synthetic rides before a single live BigQuery query ran. All five CI jobs use mock data only — zero BQ cost, zero credential exposure. When we finally switched to live data, the pipeline ran cleanly first time against 32 million rows."</w:t>
      </w:r>
    </w:p>
    <w:p>
      <w:pPr>
        <w:spacing w:before="0" w:after="120"/>
      </w:pPr>
    </w:p>
    <w:p>
      <w:pPr>
        <w:pBdr>
          <w:bottom w:val="single" w:color="718096" w:sz="4" w:space="4"/>
        </w:pBdr>
        <w:spacing w:before="240" w:after="100"/>
      </w:pPr>
      <w:r>
        <w:rPr>
          <w:rFonts w:ascii="Arial" w:cs="Arial" w:eastAsia="Arial" w:hAnsi="Arial"/>
          <w:b/>
          <w:bCs/>
          <w:color w:val="718096"/>
          <w:sz w:val="20"/>
          <w:szCs w:val="20"/>
        </w:rPr>
        <w:t xml:space="preserve">TRANSITION TO DEMO</w:t>
      </w:r>
    </w:p>
    <w:p>
      <w:pPr>
        <w:spacing w:before="60" w:after="100"/>
      </w:pPr>
      <w:r>
        <w:rPr>
          <w:rFonts w:ascii="Arial" w:cs="Arial" w:eastAsia="Arial" w:hAnsi="Arial"/>
          <w:color w:val="2D3748"/>
          <w:sz w:val="22"/>
          <w:szCs w:val="22"/>
        </w:rPr>
        <w:t xml:space="preserve">"Let me now show you the scenario planner — this is where everything comes together for an operations team."</w:t>
      </w:r>
    </w:p>
    <w:p>
      <w:pPr>
        <w:spacing w:before="60" w:after="100"/>
      </w:pPr>
      <w:r>
        <w:rPr>
          <w:rFonts w:ascii="Arial" w:cs="Arial" w:eastAsia="Arial" w:hAnsi="Arial"/>
          <w:i/>
          <w:iCs/>
          <w:color w:val="718096"/>
          <w:sz w:val="18"/>
          <w:szCs w:val="18"/>
        </w:rPr>
        <w:t xml:space="preserve">→ Open 05_scenario_static.html  OR  run: streamlit run dashboard/app.py</w:t>
      </w:r>
    </w:p>
    <w:p>
      <w:pPr>
        <w:spacing w:before="0" w:after="120"/>
      </w:pPr>
    </w:p>
    <w:p>
      <w:pPr>
        <w:pBdr>
          <w:bottom w:val="single" w:color="02C39A" w:sz="4" w:space="4"/>
        </w:pBdr>
        <w:spacing w:before="240" w:after="100"/>
      </w:pPr>
      <w:r>
        <w:rPr>
          <w:rFonts w:ascii="Arial" w:cs="Arial" w:eastAsia="Arial" w:hAnsi="Arial"/>
          <w:b/>
          <w:bCs/>
          <w:color w:val="02C39A"/>
          <w:sz w:val="20"/>
          <w:szCs w:val="20"/>
        </w:rPr>
        <w:t xml:space="preserve">DEMO WALKTHROUGH — SCENARIO PLANNER (~3 minutes)</w:t>
      </w:r>
    </w:p>
    <w:p>
      <w:pPr>
        <w:spacing w:before="80" w:after="80"/>
      </w:pPr>
    </w:p>
    <w:p>
      <w:pPr>
        <w:spacing w:before="200" w:after="60"/>
      </w:pPr>
      <w:r>
        <w:rPr>
          <w:rFonts w:ascii="Arial" w:cs="Arial" w:eastAsia="Arial" w:hAnsi="Arial"/>
          <w:b/>
          <w:bCs/>
          <w:i/>
          <w:iCs/>
          <w:color w:val="718096"/>
          <w:sz w:val="18"/>
          <w:szCs w:val="18"/>
        </w:rPr>
        <w:t xml:space="preserve">[Slide: Step 1 — Select Date Range]</w:t>
      </w:r>
    </w:p>
    <w:p>
      <w:pPr>
        <w:spacing w:before="60" w:after="100"/>
      </w:pPr>
      <w:r>
        <w:rPr>
          <w:rFonts w:ascii="Arial" w:cs="Arial" w:eastAsia="Arial" w:hAnsi="Arial"/>
          <w:color w:val="2D3748"/>
          <w:sz w:val="22"/>
          <w:szCs w:val="22"/>
        </w:rPr>
        <w:t xml:space="preserve">"The scenario planner is a 6-step guided workflow for a rebalancing operations manager planning crew dispatch for the day. We start by selecting the analysis period. The map and table dynamically filter to show imbalance patterns for that specific window — not all-time averages. This matters because summer and winter have very different station behaviour."</w:t>
      </w:r>
    </w:p>
    <w:p>
      <w:pPr>
        <w:spacing w:before="0" w:after="120"/>
      </w:pPr>
    </w:p>
    <w:p>
      <w:pPr>
        <w:spacing w:before="200" w:after="60"/>
      </w:pPr>
      <w:r>
        <w:rPr>
          <w:rFonts w:ascii="Arial" w:cs="Arial" w:eastAsia="Arial" w:hAnsi="Arial"/>
          <w:b/>
          <w:bCs/>
          <w:i/>
          <w:iCs/>
          <w:color w:val="718096"/>
          <w:sz w:val="18"/>
          <w:szCs w:val="18"/>
        </w:rPr>
        <w:t xml:space="preserve">[Slide: Step 2 — Identify Stations in the Danger Zone]</w:t>
      </w:r>
    </w:p>
    <w:p>
      <w:pPr>
        <w:spacing w:before="60" w:after="100"/>
      </w:pPr>
      <w:r>
        <w:rPr>
          <w:rFonts w:ascii="Arial" w:cs="Arial" w:eastAsia="Arial" w:hAnsi="Arial"/>
          <w:color w:val="2D3748"/>
          <w:sz w:val="22"/>
          <w:szCs w:val="22"/>
        </w:rPr>
        <w:t xml:space="preserve">"The map shows all 795 stations colour-coded by rebalancing priority. Dark red is CRITICAL, orange is HIGH, yellow MEDIUM, green LOW. You can immediately see where the crew needs to focus — the concentration of red and orange in inner London."</w:t>
      </w:r>
    </w:p>
    <w:p>
      <w:pPr>
        <w:spacing w:before="0" w:after="120"/>
      </w:pPr>
    </w:p>
    <w:p>
      <w:pPr>
        <w:spacing w:before="200" w:after="60"/>
      </w:pPr>
      <w:r>
        <w:rPr>
          <w:rFonts w:ascii="Arial" w:cs="Arial" w:eastAsia="Arial" w:hAnsi="Arial"/>
          <w:b/>
          <w:bCs/>
          <w:i/>
          <w:iCs/>
          <w:color w:val="718096"/>
          <w:sz w:val="18"/>
          <w:szCs w:val="18"/>
        </w:rPr>
        <w:t xml:space="preserve">[Slide: Step 3 — Filter by Priority]</w:t>
      </w:r>
    </w:p>
    <w:p>
      <w:pPr>
        <w:spacing w:before="60" w:after="100"/>
      </w:pPr>
      <w:r>
        <w:rPr>
          <w:rFonts w:ascii="Arial" w:cs="Arial" w:eastAsia="Arial" w:hAnsi="Arial"/>
          <w:color w:val="2D3748"/>
          <w:sz w:val="22"/>
          <w:szCs w:val="22"/>
        </w:rPr>
        <w:t xml:space="preserve">"We narrow to CRITICAL and HIGH only — the 30 stations that need daily attention. The table updates to show station name, imbalance score, net flow direction, and how many bikes need to be delivered or collected."</w:t>
      </w:r>
    </w:p>
    <w:p>
      <w:pPr>
        <w:spacing w:before="0" w:after="120"/>
      </w:pPr>
    </w:p>
    <w:p>
      <w:pPr>
        <w:spacing w:before="200" w:after="60"/>
      </w:pPr>
      <w:r>
        <w:rPr>
          <w:rFonts w:ascii="Arial" w:cs="Arial" w:eastAsia="Arial" w:hAnsi="Arial"/>
          <w:b/>
          <w:bCs/>
          <w:i/>
          <w:iCs/>
          <w:color w:val="718096"/>
          <w:sz w:val="18"/>
          <w:szCs w:val="18"/>
        </w:rPr>
        <w:t xml:space="preserve">[Slide: Step 4 — Understand the Direction]</w:t>
      </w:r>
    </w:p>
    <w:p>
      <w:pPr>
        <w:spacing w:before="60" w:after="100"/>
      </w:pPr>
      <w:r>
        <w:rPr>
          <w:rFonts w:ascii="Arial" w:cs="Arial" w:eastAsia="Arial" w:hAnsi="Arial"/>
          <w:color w:val="2D3748"/>
          <w:sz w:val="22"/>
          <w:szCs w:val="22"/>
        </w:rPr>
        <w:t xml:space="preserve">"The table distinguishes draining from filling. For draining stations the crew action is deliver bikes. For filling stations the action is collect. The number of bikes needed comes directly from the absolute net flow — no manual calculation required."</w:t>
      </w:r>
    </w:p>
    <w:p>
      <w:pPr>
        <w:spacing w:before="0" w:after="120"/>
      </w:pPr>
    </w:p>
    <w:p>
      <w:pPr>
        <w:spacing w:before="200" w:after="60"/>
      </w:pPr>
      <w:r>
        <w:rPr>
          <w:rFonts w:ascii="Arial" w:cs="Arial" w:eastAsia="Arial" w:hAnsi="Arial"/>
          <w:b/>
          <w:bCs/>
          <w:i/>
          <w:iCs/>
          <w:color w:val="718096"/>
          <w:sz w:val="18"/>
          <w:szCs w:val="18"/>
        </w:rPr>
        <w:t xml:space="preserve">[Slide: Step 5 — Review the Action Plan]</w:t>
      </w:r>
    </w:p>
    <w:p>
      <w:pPr>
        <w:spacing w:before="60" w:after="100"/>
      </w:pPr>
      <w:r>
        <w:rPr>
          <w:rFonts w:ascii="Arial" w:cs="Arial" w:eastAsia="Arial" w:hAnsi="Arial"/>
          <w:color w:val="2D3748"/>
          <w:sz w:val="22"/>
          <w:szCs w:val="22"/>
        </w:rPr>
        <w:t xml:space="preserve">"The table now reflects all filters applied — this is the crew dispatch list. In a production system this would be the morning briefing for rebalancing crews."</w:t>
      </w:r>
    </w:p>
    <w:p>
      <w:pPr>
        <w:spacing w:before="0" w:after="120"/>
      </w:pPr>
    </w:p>
    <w:p>
      <w:pPr>
        <w:spacing w:before="200" w:after="60"/>
      </w:pPr>
      <w:r>
        <w:rPr>
          <w:rFonts w:ascii="Arial" w:cs="Arial" w:eastAsia="Arial" w:hAnsi="Arial"/>
          <w:b/>
          <w:bCs/>
          <w:i/>
          <w:iCs/>
          <w:color w:val="718096"/>
          <w:sz w:val="18"/>
          <w:szCs w:val="18"/>
        </w:rPr>
        <w:t xml:space="preserve">[Slide: Step 6 — Forecast Demand]</w:t>
      </w:r>
    </w:p>
    <w:p>
      <w:pPr>
        <w:spacing w:before="60" w:after="100"/>
      </w:pPr>
      <w:r>
        <w:rPr>
          <w:rFonts w:ascii="Arial" w:cs="Arial" w:eastAsia="Arial" w:hAnsi="Arial"/>
          <w:color w:val="2D3748"/>
          <w:sz w:val="22"/>
          <w:szCs w:val="22"/>
        </w:rPr>
        <w:t xml:space="preserve">"The XGBoost model predicts hourly demand for each station for the rest of the day using seven features including hour of day, day of week, season, and the 7-day rolling average departure rate. RMSE of 2.422 rides per station per hour — sufficient precision for operational crew scheduling."</w:t>
      </w:r>
    </w:p>
    <w:p>
      <w:pPr>
        <w:spacing w:before="60" w:after="100"/>
      </w:pPr>
      <w:r>
        <w:rPr>
          <w:rFonts w:ascii="Arial" w:cs="Arial" w:eastAsia="Arial" w:hAnsi="Arial"/>
          <w:color w:val="2D3748"/>
          <w:sz w:val="22"/>
          <w:szCs w:val="22"/>
        </w:rPr>
        <w:t xml:space="preserve">"The scenario planner turns 32 million historical rides into a daily operational decision. That's the pipeline working end to end."</w:t>
      </w:r>
    </w:p>
    <w:p>
      <w:pPr>
        <w:spacing w:before="0" w:after="120"/>
      </w:pPr>
    </w:p>
    <w:p>
      <w:pPr>
        <w:pBdr>
          <w:bottom w:val="single" w:color="718096" w:sz="4" w:space="4"/>
        </w:pBdr>
        <w:spacing w:before="240" w:after="100"/>
      </w:pPr>
      <w:r>
        <w:rPr>
          <w:rFonts w:ascii="Arial" w:cs="Arial" w:eastAsia="Arial" w:hAnsi="Arial"/>
          <w:b/>
          <w:bCs/>
          <w:color w:val="718096"/>
          <w:sz w:val="20"/>
          <w:szCs w:val="20"/>
        </w:rPr>
        <w:t xml:space="preserve">CLOSING</w:t>
      </w:r>
    </w:p>
    <w:p>
      <w:pPr>
        <w:spacing w:before="60" w:after="100"/>
      </w:pPr>
      <w:r>
        <w:rPr>
          <w:rFonts w:ascii="Arial" w:cs="Arial" w:eastAsia="Arial" w:hAnsi="Arial"/>
          <w:color w:val="2D3748"/>
          <w:sz w:val="22"/>
          <w:szCs w:val="22"/>
        </w:rPr>
        <w:t xml:space="preserve">"All assets are live. The Looker Studio report is publicly accessible. The GitHub repo contains the full codebase. The Streamlit dashboard runs locally. The notebook is fully executed with verified outputs. We're happy to take questions."</w:t>
      </w:r>
    </w:p>
    <w:p>
      <w:pPr>
        <w:spacing w:before="60" w:after="100"/>
      </w:pPr>
      <w:r>
        <w:rPr>
          <w:rFonts w:ascii="Arial" w:cs="Arial" w:eastAsia="Arial" w:hAnsi="Arial"/>
          <w:i/>
          <w:iCs/>
          <w:color w:val="718096"/>
          <w:sz w:val="18"/>
          <w:szCs w:val="18"/>
        </w:rPr>
        <w:t xml:space="preserve">→ Open Q&amp;A</w:t>
      </w:r>
    </w:p>
    <w:p>
      <w:pPr>
        <w:spacing w:before="200" w:after="0"/>
      </w:pPr>
    </w:p>
    <w:p>
      <w:pPr>
        <w:pBdr>
          <w:top w:val="single" w:color="B2DDE2" w:sz="2" w:space="8"/>
        </w:pBdr>
        <w:spacing w:before="280" w:after="0"/>
      </w:pPr>
      <w:r>
        <w:rPr>
          <w:rFonts w:ascii="Arial" w:cs="Arial" w:eastAsia="Arial" w:hAnsi="Arial"/>
          <w:i/>
          <w:iCs/>
          <w:color w:val="718096"/>
          <w:sz w:val="18"/>
          <w:szCs w:val="18"/>
        </w:rPr>
        <w:t xml:space="preserve">DSAI4 Module 2  ·  Team 2  ·  March 2026  ·  CityCycle London Bike Rebalancing Intelligence Pipeline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DE2" w:sz="2" w:space="4"/>
      </w:pBdr>
      <w:jc w:val="right"/>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DDE2" w:sz="4" w:space="4"/>
      </w:pBdr>
    </w:pPr>
    <w:r>
      <w:rPr>
        <w:rFonts w:ascii="Arial" w:cs="Arial" w:eastAsia="Arial" w:hAnsi="Arial"/>
        <w:color w:val="718096"/>
        <w:sz w:val="18"/>
        <w:szCs w:val="18"/>
      </w:rPr>
      <w:t xml:space="preserve">CityCycle London  ·  10-Minute Presentation Script  ·  DSAI4 Module 2  ·  Team 2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2027"/>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2026-04-01T01:31:16.515Z</dcterms:created>
  <dcterms:modified xsi:type="dcterms:W3CDTF">2026-04-01T01:31:16.517Z</dcterms:modified>
</cp:coreProperties>
</file>

<file path=docProps/custom.xml><?xml version="1.0" encoding="utf-8"?>
<Properties xmlns="http://schemas.openxmlformats.org/officeDocument/2006/custom-properties" xmlns:vt="http://schemas.openxmlformats.org/officeDocument/2006/docPropsVTypes"/>
</file>