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для стейкхолдеров: разработка CRM Parcer</w:t>
      </w:r>
    </w:p>
    <w:p>
      <w:pPr>
        <w:jc w:val="center"/>
      </w:pPr>
      <w:r>
        <w:rPr>
          <w:color w:val="555555"/>
          <w:sz w:val="22"/>
        </w:rPr>
        <w:t>Период: 17–27 May 2026 (10 дней)</w:t>
        <w:br/>
      </w:r>
      <w:r>
        <w:rPr>
          <w:sz w:val="22"/>
        </w:rPr>
        <w:t>Продукт: CRM для подбора моряков (Seamens Data, карточка кандидата, документы, шаблоны)</w:t>
      </w:r>
    </w:p>
    <w:p/>
    <w:p>
      <w:pPr>
        <w:pStyle w:val="Heading1"/>
      </w:pPr>
      <w:r>
        <w:t>1. Краткое резюме</w:t>
      </w:r>
    </w:p>
    <w:p>
      <w:pPr>
        <w:spacing w:after="120"/>
      </w:pPr>
      <w:r>
        <w:rPr>
          <w:b w:val="0"/>
        </w:rPr>
        <w:t>За 10 дней команда доработала CRM в четырёх направлениях: (1) ПОДАЧА и работа со сканами; (2) фильтры Seamens Data по должности и флоту; (3) автоматизация в карточке кандидата (морской стаж и сертификаты); (4) тесты, документация и тестовые данные для приёмки.</w:t>
      </w:r>
    </w:p>
    <w:p>
      <w:pPr>
        <w:spacing w:after="120"/>
      </w:pPr>
      <w:r>
        <w:rPr>
          <w:b w:val="0"/>
        </w:rPr>
        <w:t>Часть изменений уже в репозитории (коммит от 21.05.2026); значительный объём реализован в рабочей ветке и готов к коммиту и выкладке на стенд.</w:t>
      </w:r>
    </w:p>
    <w:p>
      <w:pPr>
        <w:pStyle w:val="Heading1"/>
      </w:pPr>
      <w:r>
        <w:t>2. Что сделано по блокам</w:t>
      </w:r>
    </w:p>
    <w:p>
      <w:pPr>
        <w:pStyle w:val="Heading2"/>
      </w:pPr>
      <w:r>
        <w:t>2.1. ПОДАЧА (пакеты документов) — в репозитории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Функция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Зачем бизнесу</w:t>
            </w:r>
          </w:p>
        </w:tc>
      </w:tr>
      <w:tr>
        <w:tc>
          <w:tcPr>
            <w:tcW w:type="dxa" w:w="4320"/>
          </w:tcPr>
          <w:p>
            <w:r>
              <w:t>Формирование пакетов ПОДАЧА</w:t>
            </w:r>
          </w:p>
        </w:tc>
        <w:tc>
          <w:tcPr>
            <w:tcW w:type="dxa" w:w="4320"/>
          </w:tcPr>
          <w:p>
            <w:r>
              <w:t>Быстрая отправка комплекта документов по кандидату</w:t>
            </w:r>
          </w:p>
        </w:tc>
      </w:tr>
      <w:tr>
        <w:tc>
          <w:tcPr>
            <w:tcW w:type="dxa" w:w="4320"/>
          </w:tcPr>
          <w:p>
            <w:r>
              <w:t>Конвертация сканов в PDF</w:t>
            </w:r>
          </w:p>
        </w:tc>
        <w:tc>
          <w:tcPr>
            <w:tcW w:type="dxa" w:w="4320"/>
          </w:tcPr>
          <w:p>
            <w:r>
              <w:t>Единый формат для архива и пересылки</w:t>
            </w:r>
          </w:p>
        </w:tc>
      </w:tr>
      <w:tr>
        <w:tc>
          <w:tcPr>
            <w:tcW w:type="dxa" w:w="4320"/>
          </w:tcPr>
          <w:p>
            <w:r>
              <w:t>Правила именования файлов</w:t>
            </w:r>
          </w:p>
        </w:tc>
        <w:tc>
          <w:tcPr>
            <w:tcW w:type="dxa" w:w="4320"/>
          </w:tcPr>
          <w:p>
            <w:r>
              <w:t>Понятные имена (должность, фамилия, тип документа)</w:t>
            </w:r>
          </w:p>
        </w:tc>
      </w:tr>
      <w:tr>
        <w:tc>
          <w:tcPr>
            <w:tcW w:type="dxa" w:w="4320"/>
          </w:tcPr>
          <w:p>
            <w:r>
              <w:t>Расширенное тестовое покрытие</w:t>
            </w:r>
          </w:p>
        </w:tc>
        <w:tc>
          <w:tcPr>
            <w:tcW w:type="dxa" w:w="4320"/>
          </w:tcPr>
          <w:p>
            <w:r>
              <w:t>Меньше регрессий при релизах</w:t>
            </w:r>
          </w:p>
        </w:tc>
      </w:tr>
    </w:tbl>
    <w:p/>
    <w:p>
      <w:pPr>
        <w:pStyle w:val="Heading2"/>
      </w:pPr>
      <w:r>
        <w:t>2.2. Seamens Data — фильтры «Должность» и «Флот»</w:t>
      </w:r>
    </w:p>
    <w:p>
      <w:pPr>
        <w:spacing w:after="120"/>
      </w:pPr>
      <w:r>
        <w:rPr>
          <w:b/>
        </w:rPr>
        <w:t>Проблема: разные формулировки в анкетах не находились фильтром или давали ложные совпадения.</w:t>
      </w:r>
    </w:p>
    <w:p>
      <w:pPr>
        <w:pStyle w:val="ListBullet"/>
      </w:pPr>
      <w:r>
        <w:t>Должность в списке — только из первой заявки (position_applied_for / rank_applied_for).</w:t>
      </w:r>
    </w:p>
    <w:p>
      <w:pPr>
        <w:pStyle w:val="ListBullet"/>
      </w:pPr>
      <w:r>
        <w:t>Флот в списке — только из последнего контракта в морском стаже (vessel_type по дате посадки).</w:t>
      </w:r>
    </w:p>
    <w:p>
      <w:pPr>
        <w:pStyle w:val="ListBullet"/>
      </w:pPr>
      <w:r>
        <w:t>Нормализация: словари синонимов, 25 канонических должностей, 16 типов судов.</w:t>
      </w:r>
    </w:p>
    <w:p>
      <w:pPr>
        <w:pStyle w:val="ListBullet"/>
      </w:pPr>
      <w:r>
        <w:t>Исправлены баги: «CO» не цеплял Second Officer; «CE» — слово officer; фильтр совпадает с колонкой.</w:t>
      </w:r>
    </w:p>
    <w:p>
      <w:pPr>
        <w:spacing w:after="120"/>
      </w:pPr>
      <w:r>
        <w:rPr>
          <w:b/>
        </w:rPr>
        <w:t>Справочник флота (16 типов):</w:t>
      </w:r>
    </w:p>
    <w:p>
      <w:pPr>
        <w:spacing w:after="120"/>
      </w:pPr>
      <w:r>
        <w:rPr>
          <w:b w:val="0"/>
        </w:rPr>
        <w:t>Bulk Carrier, General Cargo Vessel, Container Vessel, LNG Carrier, LPG Carrier, Oil/Chemical Tanker, Chemical Tanker, Crude Oil Tanker, VLCC, Tug, Passenger Vessel, Offshore Vessel, Heavy-Lift Vessel, Reefer, Ro-Ro, Multi-Purpose Vessel — с полным списком синонимов.</w:t>
      </w:r>
    </w:p>
    <w:p>
      <w:pPr>
        <w:spacing w:after="120"/>
      </w:pPr>
      <w:r>
        <w:rPr>
          <w:b w:val="0"/>
        </w:rPr>
        <w:t>Документация: docs/SEAMENS_DATA_FILTERS_RU.md</w:t>
      </w:r>
    </w:p>
    <w:p>
      <w:pPr>
        <w:pStyle w:val="Heading2"/>
      </w:pPr>
      <w:r>
        <w:t>2.3. Карточка кандидата — Sea service (морской стаж)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Функция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Поведение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Автоматически из дат From/To: лет/месяцев/дней (напр. 0/4/11), оба дня включительно</w:t>
            </w:r>
          </w:p>
        </w:tc>
      </w:tr>
      <w:tr>
        <w:tc>
          <w:tcPr>
            <w:tcW w:type="dxa" w:w="4320"/>
          </w:tcPr>
          <w:p>
            <w:r>
              <w:t>Reason of Discharge</w:t>
            </w:r>
          </w:p>
        </w:tc>
        <w:tc>
          <w:tcPr>
            <w:tcW w:type="dxa" w:w="4320"/>
          </w:tcPr>
          <w:p>
            <w:r>
              <w:t>По умолчанию EOC, поле редактируемое</w:t>
            </w:r>
          </w:p>
        </w:tc>
      </w:tr>
      <w:tr>
        <w:tc>
          <w:tcPr>
            <w:tcW w:type="dxa" w:w="4320"/>
          </w:tcPr>
          <w:p>
            <w:r>
              <w:t>Rank и Должность</w:t>
            </w:r>
          </w:p>
        </w:tc>
        <w:tc>
          <w:tcPr>
            <w:tcW w:type="dxa" w:w="4320"/>
          </w:tcPr>
          <w:p>
            <w:r>
              <w:t>Одно поле БД rank_on_vessel; в UI две колонки (дублирование отображения)</w:t>
            </w:r>
          </w:p>
        </w:tc>
      </w:tr>
    </w:tbl>
    <w:p/>
    <w:p>
      <w:pPr>
        <w:pStyle w:val="Heading2"/>
      </w:pPr>
      <w:r>
        <w:t>2.4. Карточка кандидата — Certificates (сертификаты)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Режим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+5 лет (по умолчанию)</w:t>
            </w:r>
          </w:p>
        </w:tc>
        <w:tc>
          <w:tcPr>
            <w:tcW w:type="dxa" w:w="4320"/>
          </w:tcPr>
          <w:p>
            <w:r>
              <w:t>Дата окончания = выдача + 5 календарных лет (или выдача = окончание − 5 лет)</w:t>
            </w:r>
          </w:p>
        </w:tc>
      </w:tr>
      <w:tr>
        <w:tc>
          <w:tcPr>
            <w:tcW w:type="dxa" w:w="4320"/>
          </w:tcPr>
          <w:p>
            <w:r>
              <w:t>Unlimited</w:t>
            </w:r>
          </w:p>
        </w:tc>
        <w:tc>
          <w:tcPr>
            <w:tcW w:type="dxa" w:w="4320"/>
          </w:tcPr>
          <w:p>
            <w:r>
              <w:t>Без даты окончания, в таблице «Unlimited»</w:t>
            </w:r>
          </w:p>
        </w:tc>
      </w:tr>
      <w:tr>
        <w:tc>
          <w:tcPr>
            <w:tcW w:type="dxa" w:w="4320"/>
          </w:tcPr>
          <w:p>
            <w:r>
              <w:t>Другое</w:t>
            </w:r>
          </w:p>
        </w:tc>
        <w:tc>
          <w:tcPr>
            <w:tcW w:type="dxa" w:w="4320"/>
          </w:tcPr>
          <w:p>
            <w:r>
              <w:t>Обе даты вручную; кнопка «Применить +5 лет» пересчитывает вторую дату</w:t>
            </w:r>
          </w:p>
        </w:tc>
      </w:tr>
    </w:tbl>
    <w:p/>
    <w:p>
      <w:pPr>
        <w:spacing w:after="120"/>
      </w:pPr>
      <w:r>
        <w:rPr>
          <w:b w:val="0"/>
        </w:rPr>
        <w:t>Блок доступен при добавлении и при редактировании любого сертификата (не только при неполных датах из анкеты).</w:t>
      </w:r>
    </w:p>
    <w:p>
      <w:pPr>
        <w:pStyle w:val="Heading2"/>
      </w:pPr>
      <w:r>
        <w:t>2.5. Тестовые данные и окружение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Инструмент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seed_full_demo_candidates.py</w:t>
            </w:r>
          </w:p>
        </w:tc>
        <w:tc>
          <w:tcPr>
            <w:tcW w:type="dxa" w:w="4320"/>
          </w:tcPr>
          <w:p>
            <w:r>
              <w:t>50 полных анкет DemoSeaman001–050 со всеми секциями и PDF-сканами</w:t>
            </w:r>
          </w:p>
        </w:tc>
      </w:tr>
      <w:tr>
        <w:tc>
          <w:tcPr>
            <w:tcW w:type="dxa" w:w="4320"/>
          </w:tcPr>
          <w:p>
            <w:r>
              <w:t>seed_filter_test_candidates.py</w:t>
            </w:r>
          </w:p>
        </w:tc>
        <w:tc>
          <w:tcPr>
            <w:tcW w:type="dxa" w:w="4320"/>
          </w:tcPr>
          <w:p>
            <w:r>
              <w:t>Лёгкие записи для проверки фильтров</w:t>
            </w:r>
          </w:p>
        </w:tc>
      </w:tr>
      <w:tr>
        <w:tc>
          <w:tcPr>
            <w:tcW w:type="dxa" w:w="4320"/>
          </w:tcPr>
          <w:p>
            <w:r>
              <w:t>Docker</w:t>
            </w:r>
          </w:p>
        </w:tc>
        <w:tc>
          <w:tcPr>
            <w:tcW w:type="dxa" w:w="4320"/>
          </w:tcPr>
          <w:p>
            <w:r>
              <w:t>Локальный стенд UI + API + БД для приёмки</w:t>
            </w:r>
          </w:p>
        </w:tc>
      </w:tr>
    </w:tbl>
    <w:p/>
    <w:p>
      <w:pPr>
        <w:pStyle w:val="Heading2"/>
      </w:pPr>
      <w:r>
        <w:t>2.6. Документация и качество</w:t>
      </w:r>
    </w:p>
    <w:p>
      <w:pPr>
        <w:pStyle w:val="ListBullet"/>
      </w:pPr>
      <w:r>
        <w:t>Обновлены README, INTERFACE_GUIDE, USER_SCENARIOS, QA_REQUIREMENTS.</w:t>
      </w:r>
    </w:p>
    <w:p>
      <w:pPr>
        <w:pStyle w:val="ListBullet"/>
      </w:pPr>
      <w:r>
        <w:t>70+ автотестов: фильтры, нормализация, стаж, сертификаты, миграция.</w:t>
      </w:r>
    </w:p>
    <w:p>
      <w:pPr>
        <w:pStyle w:val="ListBullet"/>
      </w:pPr>
      <w:r>
        <w:t>Runbook: docs/normalize_migration_runbook.md</w:t>
      </w:r>
    </w:p>
    <w:p>
      <w:pPr>
        <w:pStyle w:val="Heading1"/>
      </w:pPr>
      <w:r>
        <w:t>3. Статус поставки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>
              <w:t>В git (main)</w:t>
            </w:r>
          </w:p>
        </w:tc>
        <w:tc>
          <w:tcPr>
            <w:tcW w:type="dxa" w:w="4320"/>
          </w:tcPr>
          <w:p>
            <w:r>
              <w:t>ПОДАЧА, сканы PDF, тесты по пакетам</w:t>
            </w:r>
          </w:p>
        </w:tc>
      </w:tr>
      <w:tr>
        <w:tc>
          <w:tcPr>
            <w:tcW w:type="dxa" w:w="4320"/>
          </w:tcPr>
          <w:p>
            <w:r>
              <w:t>Готово локально</w:t>
            </w:r>
          </w:p>
        </w:tc>
        <w:tc>
          <w:tcPr>
            <w:tcW w:type="dxa" w:w="4320"/>
          </w:tcPr>
          <w:p>
            <w:r>
              <w:t>Фильтры Seamens Data, 16 флотов, стаж, сертификаты, сиды, доки, тесты</w:t>
            </w:r>
          </w:p>
        </w:tc>
      </w:tr>
      <w:tr>
        <w:tc>
          <w:tcPr>
            <w:tcW w:type="dxa" w:w="4320"/>
          </w:tcPr>
          <w:p>
            <w:r>
              <w:t>Рекомендация</w:t>
            </w:r>
          </w:p>
        </w:tc>
        <w:tc>
          <w:tcPr>
            <w:tcW w:type="dxa" w:w="4320"/>
          </w:tcPr>
          <w:p>
            <w:r>
              <w:t>Релиз-коммит + smoke: фильтры, карточка, сертификаты, стаж</w:t>
            </w:r>
          </w:p>
        </w:tc>
      </w:tr>
    </w:tbl>
    <w:p/>
    <w:p>
      <w:pPr>
        <w:pStyle w:val="Heading1"/>
      </w:pPr>
      <w:r>
        <w:t>4. Ценность для бизнеса</w:t>
      </w:r>
    </w:p>
    <w:p>
      <w:pPr>
        <w:spacing w:after="120"/>
      </w:pPr>
      <w:r>
        <w:rPr>
          <w:b w:val="0"/>
        </w:rPr>
        <w:t>Рекрутеры получают предсказуемый поиск по должности и типу судна, меньше ручного ввода в стаже и сертификатах, единые правила сроков (+5 лет / Unlimited) и готовый демо-набор для обучения и приёмки. Снижается риск ошибок в фильтрах и расхождений между колонкой в списке и фактической выборкой кандидатов.</w:t>
      </w:r>
    </w:p>
    <w:p>
      <w:pPr>
        <w:pStyle w:val="Heading1"/>
      </w:pPr>
      <w:r>
        <w:t>5. Сценарий демо (5 минут)</w:t>
      </w:r>
    </w:p>
    <w:p>
      <w:pPr>
        <w:pStyle w:val="ListBullet"/>
      </w:pPr>
      <w:r>
        <w:t>Seamens Data → фильтры Fleet (16 типов) и Position → список совпадает с колонками.</w:t>
      </w:r>
    </w:p>
    <w:p>
      <w:pPr>
        <w:pStyle w:val="ListBullet"/>
      </w:pPr>
      <w:r>
        <w:t>Карточка → Sea service → даты → автоматический Duration, EOC в причине увольнения.</w:t>
      </w:r>
    </w:p>
    <w:p>
      <w:pPr>
        <w:pStyle w:val="ListBullet"/>
      </w:pPr>
      <w:r>
        <w:t>Certificates → добавить/редактировать → +5 лет / Unlimited / Другое.</w:t>
      </w:r>
    </w:p>
    <w:p>
      <w:pPr>
        <w:pStyle w:val="ListBullet"/>
      </w:pPr>
      <w:r>
        <w:t>Поиск DemoSeaman → 50 тестовых анкет с документами и сканами.</w:t>
      </w:r>
    </w:p>
    <w:p>
      <w:pPr>
        <w:pStyle w:val="Heading1"/>
      </w:pPr>
      <w:r>
        <w:t>6. Ключевые модули (для IT)</w:t>
      </w:r>
    </w:p>
    <w:p>
      <w:pPr>
        <w:pStyle w:val="ListBullet"/>
      </w:pPr>
      <w:r>
        <w:t>app/rank_normalization.py, app/fleet_normalization.py</w:t>
      </w:r>
    </w:p>
    <w:p>
      <w:pPr>
        <w:pStyle w:val="ListBullet"/>
      </w:pPr>
      <w:r>
        <w:t>app/sea_service_duration.py, app/certificate_validity.py</w:t>
      </w:r>
    </w:p>
    <w:p>
      <w:pPr>
        <w:pStyle w:val="ListBullet"/>
      </w:pPr>
      <w:r>
        <w:t>app/frontend: CertificateValidityControls.jsx, SeaServiceSection.jsx, CandidateList.jsx</w:t>
      </w:r>
    </w:p>
    <w:p>
      <w:pPr>
        <w:pStyle w:val="ListBullet"/>
      </w:pPr>
      <w:r>
        <w:t>scripts: normalize_ranks_and_fleet.py, seed_full_demo_candidates.py</w:t>
      </w:r>
    </w:p>
    <w:p>
      <w:pPr>
        <w:jc w:val="center"/>
      </w:pPr>
      <w:r>
        <w:rPr>
          <w:color w:val="888888"/>
          <w:sz w:val="18"/>
        </w:rPr>
        <w:t>Сформировано автоматически · Parcer CRM · 2026-05-27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