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352C5"/>
    <w:p w14:paraId="6DAB127A"/>
    <w:p w14:paraId="56F0B407"/>
    <w:p w14:paraId="6B3744FC"/>
    <w:p w14:paraId="425E6C96"/>
    <w:p w14:paraId="3B7885D8">
      <w:pPr>
        <w:spacing w:line="312" w:lineRule="auto"/>
        <w:ind w:firstLine="0"/>
        <w:jc w:val="center"/>
        <w:rPr>
          <w:rFonts w:hint="default" w:ascii="方正小标宋简体" w:eastAsia="方正小标宋简体"/>
          <w:sz w:val="48"/>
          <w:szCs w:val="48"/>
          <w:lang w:val="en-US" w:eastAsia="zh-CN"/>
        </w:rPr>
      </w:pPr>
      <w:r>
        <w:rPr>
          <w:rFonts w:ascii="黑体" w:hAnsi="黑体" w:eastAsia="黑体"/>
          <w:b/>
          <w:sz w:val="32"/>
        </w:rPr>
        <w:t>智能体Harness架构研究——以deepseek-harness与LangChain Deep Agents为对象</w:t>
      </w:r>
    </w:p>
    <w:p w14:paraId="19B370A9">
      <w:pPr>
        <w:rPr>
          <w:lang w:eastAsia="zh-CN"/>
        </w:rPr>
      </w:pPr>
    </w:p>
    <w:p w14:paraId="13F5B7EC">
      <w:pPr>
        <w:rPr>
          <w:lang w:eastAsia="zh-CN"/>
        </w:rPr>
      </w:pPr>
    </w:p>
    <w:p w14:paraId="549D98DF">
      <w:pPr>
        <w:rPr>
          <w:lang w:eastAsia="zh-CN"/>
        </w:rPr>
      </w:pPr>
    </w:p>
    <w:p w14:paraId="3CFE8F6F">
      <w:pPr>
        <w:rPr>
          <w:lang w:eastAsia="zh-CN"/>
        </w:rPr>
      </w:pPr>
    </w:p>
    <w:p w14:paraId="0CD168CC">
      <w:pPr>
        <w:rPr>
          <w:lang w:eastAsia="zh-CN"/>
        </w:rPr>
      </w:pPr>
    </w:p>
    <w:p w14:paraId="34649630">
      <w:pPr>
        <w:rPr>
          <w:rFonts w:hint="eastAsia" w:eastAsia="宋体"/>
          <w:lang w:eastAsia="zh-CN"/>
        </w:rPr>
      </w:pPr>
    </w:p>
    <w:p w14:paraId="11E273A0">
      <w:pPr>
        <w:spacing w:line="312" w:lineRule="auto"/>
        <w:ind w:firstLine="0"/>
        <w:jc w:val="center"/>
        <w:rPr>
          <w:rFonts w:hint="default" w:ascii="方正小标宋简体" w:eastAsia="方正小标宋简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课程/项目名称：智能体Harness架构研究（本科生科研实践）</w:t>
      </w:r>
    </w:p>
    <w:p w14:paraId="377A7FD7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专业：</w:t>
      </w:r>
    </w:p>
    <w:p w14:paraId="71873637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年级：</w:t>
      </w:r>
    </w:p>
    <w:p w14:paraId="6B37D763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姓名：</w:t>
      </w:r>
    </w:p>
    <w:p w14:paraId="29CBC0F2">
      <w:pPr>
        <w:jc w:val="center"/>
        <w:rPr>
          <w:rFonts w:hint="eastAsia" w:ascii="方正小标宋简体" w:eastAsia="方正小标宋简体"/>
          <w:sz w:val="28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学号：</w:t>
      </w:r>
    </w:p>
    <w:p w14:paraId="62B887B8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指导教师：</w:t>
      </w:r>
    </w:p>
    <w:p w14:paraId="5C3B7D4D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日期：</w:t>
      </w:r>
      <w:r>
        <w:rPr>
          <w:rFonts w:hint="eastAsia" w:ascii="方正小标宋简体" w:eastAsia="方正小标宋简体"/>
          <w:sz w:val="28"/>
          <w:lang w:eastAsia="zh-CN"/>
        </w:rPr>
        <w:t>202年月</w:t>
      </w:r>
      <w:r>
        <w:rPr>
          <w:rFonts w:hint="eastAsia" w:ascii="方正小标宋简体" w:eastAsia="方正小标宋简体"/>
          <w:sz w:val="28"/>
          <w:lang w:val="en-US" w:eastAsia="zh-CN"/>
        </w:rPr>
        <w:t xml:space="preserve">       </w:t>
      </w:r>
      <w:r>
        <w:rPr>
          <w:rFonts w:hint="eastAsia" w:ascii="方正小标宋简体" w:eastAsia="方正小标宋简体"/>
          <w:sz w:val="28"/>
          <w:lang w:eastAsia="zh-CN"/>
        </w:rPr>
        <w:t>日</w:t>
      </w:r>
    </w:p>
    <w:p w14:paraId="696FC939">
      <w:pPr>
        <w:rPr>
          <w:rFonts w:ascii="楷体" w:hAnsi="楷体" w:eastAsia="楷体"/>
          <w:lang w:eastAsia="zh-CN"/>
        </w:rPr>
      </w:pPr>
    </w:p>
    <w:p w14:paraId="5086E7FC">
      <w:pPr>
        <w:spacing w:line="360" w:lineRule="auto"/>
        <w:ind w:firstLine="432"/>
        <w:rPr>
          <w:rFonts w:ascii="楷体" w:hAnsi="楷体" w:eastAsia="楷体"/>
          <w:color w:val="000000"/>
          <w:sz w:val="32"/>
          <w:lang w:eastAsia="zh-CN"/>
        </w:rPr>
      </w:pPr>
    </w:p>
    <w:p w14:paraId="2FDF33EC">
      <w:pPr>
        <w:spacing w:line="360" w:lineRule="auto"/>
        <w:rPr>
          <w:rFonts w:ascii="楷体" w:hAnsi="楷体" w:eastAsia="楷体"/>
        </w:rPr>
      </w:pPr>
      <w:r>
        <w:rPr>
          <w:rFonts w:ascii="楷体" w:hAnsi="楷体" w:eastAsia="楷体"/>
          <w:color w:val="000000"/>
          <w:sz w:val="32"/>
          <w:lang w:eastAsia="zh-CN"/>
        </w:rPr>
        <w:t xml:space="preserve">一、 </w:t>
      </w:r>
      <w:r>
        <w:rPr>
          <w:rFonts w:hint="eastAsia" w:ascii="楷体" w:hAnsi="楷体" w:eastAsia="楷体"/>
          <w:b/>
          <w:bCs/>
          <w:color w:val="000000"/>
          <w:sz w:val="32"/>
          <w:lang w:eastAsia="zh-CN"/>
        </w:rPr>
        <w:t>研究意义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2025年以来，智能体领域正在形成一个新的基本共识：Agent = 模型 + Harness。模型负责单步推理，而Harness（智能体运行时框架）负责让推理持续、可靠、可控地运转——对话循环、工具系统、权限管线、上下文管理与会话持久化都属于这一层。随着主流模型能力快速趋同，同样的模型接入不同运行时表现差异巨大，Harness层的工程设计成为智能体效果差异的主要来源。2026年7月底，DeepSeek随V4-Flash模型开源了deepseek-harness（dsh），上线12小时GitHub星标突破5万，把Agent Harness从一个工程术语推向了独立的技术品类。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Harness的通用骨架恰好由六大模块构成：记忆管理、上下文管理、知识库管理、工具管理、复杂任务执行与多智能体协作。两个相互独立的开源项目（dsh与LangChain Deep Agents）不约而同地把运行时拆成这六个部分，说明研究这六块等于研究智能体运行时的"解剖学"。只有理解智能体的底层运行逻辑，才能设计和使用好智能体——这正是本课题的出发点，也与课程"追求一定科研程度、研究稍微底层内容"的要求一致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本课题的价值有三：其一，dsh与Deep Agents均为开源项目，可读源码、可复现、可改造，适合本科生科研实践的深度要求与实验条件；其二，Harness层的若干关键机制（如会话压缩的信息保真度、上下文管理与推理缓存命中的冲突）目前缺乏系统的定量研究，存在可做出增量贡献的空白；其三，研究成果（中文机制文档集、受控实验基准、可运行的扩展实现）对中文智能体开发社区有独立的参考价值。</w:t>
      </w:r>
    </w:p>
    <w:p w14:paraId="680031C9">
      <w:pPr>
        <w:pStyle w:val="3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  <w:color w:val="000000"/>
          <w:sz w:val="32"/>
          <w:lang w:val="en-US" w:eastAsia="zh-CN"/>
        </w:rPr>
        <w:t>二</w:t>
      </w:r>
      <w:r>
        <w:rPr>
          <w:rFonts w:ascii="楷体" w:hAnsi="楷体" w:eastAsia="楷体"/>
          <w:color w:val="000000"/>
          <w:sz w:val="32"/>
          <w:lang w:eastAsia="zh-CN"/>
        </w:rPr>
        <w:t xml:space="preserve">、 </w:t>
      </w:r>
      <w:r>
        <w:rPr>
          <w:rFonts w:hint="eastAsia" w:ascii="楷体" w:hAnsi="楷体" w:eastAsia="楷体"/>
          <w:color w:val="000000"/>
          <w:sz w:val="32"/>
          <w:lang w:eastAsia="zh-CN"/>
        </w:rPr>
        <w:t>研究现状及实验室研究基础</w:t>
      </w:r>
      <w:bookmarkStart w:id="0" w:name="_GoBack"/>
      <w:bookmarkEnd w:id="0"/>
    </w:p>
    <w:p>
      <w:pPr>
        <w:spacing w:line="312" w:lineRule="auto"/>
        <w:ind w:firstLine="0"/>
      </w:pPr>
      <w:r>
        <w:rPr>
          <w:rFonts w:ascii="黑体" w:hAnsi="黑体" w:eastAsia="黑体"/>
          <w:b/>
          <w:sz w:val="26"/>
        </w:rPr>
        <w:t>（一）研究现状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Harness概念已由Claude Code确立为范式，社区已有系统化解剖资料（如开源书《御舆——解码Agent Harness》）；学术界与之对应的是SWE-agent提出的ACI（Agent-Computer Interface）概念，证明"给模型什么接口"本身显著影响任务成功率。六个子方向的研究现状概述如下：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记忆管理：MemGPT（Letta）提出操作系统式分层记忆，Mem0提供生产级记忆API，A-MEM（NeurIPS 2025）与RMM（ACL 2025）代表自主记忆架构的前沿；但"记忆以何种形式、何时注入上下文"这一Harness层决策缺乏受控对比。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上下文管理：Anthropic提出上下文工程（compaction／工具结果清理／外部记忆三件套），Manus公开KV-cache友好设计经验；"上下文卫生与缓存命中的冲突"没有被定量刻画过。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知识库管理：检索增强沿Naive→Advanced→GraphRAG→Agentic RAG演进；过程性知识由Agent Skills规范（SKILL.md渐进式披露）承接，两个研究对象均已支持。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工具管理：MCP（Anthropic，2024.11）成为工具接入事实标准，但工具规模从十个涨到上百个时"如何把工具供给模型"（全量注入／分组／检索／两阶段）缺乏系统数据。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复杂任务执行：从ReAct到"规划即工具"（write_todos、plan模式），长任务成功率依赖压缩、状态外置与子代理隔离的共同支撑，但压缩造成的信息损失无人测量。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多智能体协作：应用内编排（LangGraph／AutoGen）与协议层（MCP／A2A）分层互补；Anthropic（多智能体更优）与Cognition（上下文分裂有害）的公开争议缺少小规模可复现的受控实证。</w:t>
      </w:r>
    </w:p>
    <w:p>
      <w:pPr>
        <w:spacing w:line="312" w:lineRule="auto"/>
        <w:ind w:firstLine="0"/>
      </w:pPr>
      <w:r>
        <w:rPr>
          <w:rFonts w:ascii="黑体" w:hAnsi="黑体" w:eastAsia="黑体"/>
          <w:b/>
          <w:sz w:val="26"/>
        </w:rPr>
        <w:t>（二）实验室研究基础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本课题已在学期前段完成三部分基础工作。其一，完成了dsh源码的十篇中文机制解剖笔记（基于commit c291e79，v0.1.5-rc.2），覆盖仓库地图与包依赖、微内核与Cordis依赖注入、插件生命周期与装配、事件溯源会话、工具执行管线、goal/plan/todo任务层级、子代理与工作流、压缩与结果外置、模型接缝与MCP、声明式组合与扩展；每篇含行号级代码引用、机制图与设计权衡，并附可复核的校验命令，其中前三篇已经过约40项引用逐条复核的独立评审并修订定稿。其二，完成了领域调研报告，梳理六大子方向脉络并提出7个可切入的研究问题，形成7份可直接执行的候选实验方案。其三，搭建了可复现的实验环境：dsh与Deep Agents仓库本地克隆、Node.js与Python双栈、DeepSeek API接入与知识图谱工具链。上述工作全部开源，后续研究在既有基础上直接推进。</w:t>
      </w:r>
    </w:p>
    <w:p w14:paraId="1062B8FE">
      <w:pPr>
        <w:pStyle w:val="3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  <w:color w:val="000000"/>
          <w:sz w:val="32"/>
          <w:lang w:val="en-US" w:eastAsia="zh-CN"/>
        </w:rPr>
        <w:t>三</w:t>
      </w:r>
      <w:r>
        <w:rPr>
          <w:rFonts w:ascii="楷体" w:hAnsi="楷体" w:eastAsia="楷体"/>
          <w:color w:val="000000"/>
          <w:sz w:val="32"/>
          <w:lang w:eastAsia="zh-CN"/>
        </w:rPr>
        <w:t>、</w:t>
      </w:r>
      <w:r>
        <w:rPr>
          <w:rFonts w:hint="eastAsia" w:ascii="楷体" w:hAnsi="楷体" w:eastAsia="楷体"/>
          <w:color w:val="000000"/>
          <w:sz w:val="32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32"/>
          <w:lang w:eastAsia="zh-CN"/>
        </w:rPr>
        <w:t>研究内容及研究计划</w:t>
      </w:r>
    </w:p>
    <w:p>
      <w:pPr>
        <w:spacing w:line="312" w:lineRule="auto"/>
        <w:ind w:firstLine="0"/>
      </w:pPr>
      <w:r>
        <w:rPr>
          <w:rFonts w:ascii="黑体" w:hAnsi="黑体" w:eastAsia="黑体"/>
          <w:b/>
          <w:sz w:val="26"/>
        </w:rPr>
        <w:t>（一）研究内容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本课题按"机制解剖—受控实验—扩展实践"三个层次递进：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（1）机制解剖收尾与交叉验证。以dsh为主线、Deep Agents为对照，完成六大模块的机制图谱（记忆、上下文、知识库、工具、任务、多智能体各对应什么运行时机制、如何衔接），完成十篇解剖笔记的收尾、交叉核验与合集整理，并产出一张总架构图与三框架（dsh／Deep Agents／Claude Code）对比表。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（2）受控实验（核心科研增量）。设计并运行"长会话压缩保真度基准"：控制模型与任务不变，对比四种历史压缩策略（朴素截断／全文摘要／结构化摘要／文件外置+检索回填）在多约束长任务上的端到端成功率、关键约束召回率与token成本；任务集在早期埋入延迟使用的约束，使压缩损失可被末端评分捕获。在时间允许时追加"KV-cache友好的上下文管理"小实验：利用DeepSeek API返回的缓存命中计费字段，量化压缩与清理策略对推理缓存命中的影响。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（3）扩展实践。基于实验结论，在Deep Agents上实现一个改进的压缩或记忆注入中间件（如结构化摘要策略），用同一基准验证其相对基线的增益，形成"研究—实现—验证"闭环。</w:t>
      </w:r>
    </w:p>
    <w:p>
      <w:pPr>
        <w:spacing w:line="312" w:lineRule="auto"/>
        <w:ind w:firstLine="0"/>
      </w:pPr>
      <w:r>
        <w:rPr>
          <w:rFonts w:ascii="黑体" w:hAnsi="黑体" w:eastAsia="黑体"/>
          <w:b/>
          <w:sz w:val="26"/>
        </w:rPr>
        <w:t>（二）研究计划（16周）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阶段产出</w:t>
            </w:r>
          </w:p>
        </w:tc>
      </w:tr>
      <w:tr>
        <w:tc>
          <w:tcPr>
            <w:tcW w:type="dxa" w:w="2880"/>
          </w:tcPr>
          <w:p>
            <w:r>
              <w:t>1—3周</w:t>
            </w:r>
          </w:p>
        </w:tc>
        <w:tc>
          <w:tcPr>
            <w:tcW w:type="dxa" w:w="2880"/>
          </w:tcPr>
          <w:p>
            <w:r>
              <w:t>精读两框架源码与核心文献（ReAct／MemGPT／SWE-agent／A-MEM等）；解剖笔记收尾</w:t>
            </w:r>
          </w:p>
        </w:tc>
        <w:tc>
          <w:tcPr>
            <w:tcW w:type="dxa" w:w="2880"/>
          </w:tcPr>
          <w:p>
            <w:r>
              <w:t>机制文档集＋文献笔记</w:t>
            </w:r>
          </w:p>
        </w:tc>
      </w:tr>
      <w:tr>
        <w:tc>
          <w:tcPr>
            <w:tcW w:type="dxa" w:w="2880"/>
          </w:tcPr>
          <w:p>
            <w:r>
              <w:t>4—6周</w:t>
            </w:r>
          </w:p>
        </w:tc>
        <w:tc>
          <w:tcPr>
            <w:tcW w:type="dxa" w:w="2880"/>
          </w:tcPr>
          <w:p>
            <w:r>
              <w:t>实验设计：任务集生成器、自动评分器、四种压缩策略实现</w:t>
            </w:r>
          </w:p>
        </w:tc>
        <w:tc>
          <w:tcPr>
            <w:tcW w:type="dxa" w:w="2880"/>
          </w:tcPr>
          <w:p>
            <w:r>
              <w:t>基准代码与任务集</w:t>
            </w:r>
          </w:p>
        </w:tc>
      </w:tr>
      <w:tr>
        <w:tc>
          <w:tcPr>
            <w:tcW w:type="dxa" w:w="2880"/>
          </w:tcPr>
          <w:p>
            <w:r>
              <w:t>7—9周</w:t>
            </w:r>
          </w:p>
        </w:tc>
        <w:tc>
          <w:tcPr>
            <w:tcW w:type="dxa" w:w="2880"/>
          </w:tcPr>
          <w:p>
            <w:r>
              <w:t>主实验（4策略×20任务×2重复）与消融（压缩触发阈值）</w:t>
            </w:r>
          </w:p>
        </w:tc>
        <w:tc>
          <w:tcPr>
            <w:tcW w:type="dxa" w:w="2880"/>
          </w:tcPr>
          <w:p>
            <w:r>
              <w:t>实验数据与分析图表</w:t>
            </w:r>
          </w:p>
        </w:tc>
      </w:tr>
      <w:tr>
        <w:tc>
          <w:tcPr>
            <w:tcW w:type="dxa" w:w="2880"/>
          </w:tcPr>
          <w:p>
            <w:r>
              <w:t>10—11周</w:t>
            </w:r>
          </w:p>
        </w:tc>
        <w:tc>
          <w:tcPr>
            <w:tcW w:type="dxa" w:w="2880"/>
          </w:tcPr>
          <w:p>
            <w:r>
              <w:t>KV-cache小实验，或改进型中间件的实现</w:t>
            </w:r>
          </w:p>
        </w:tc>
        <w:tc>
          <w:tcPr>
            <w:tcW w:type="dxa" w:w="2880"/>
          </w:tcPr>
          <w:p>
            <w:r>
              <w:t>第二组数据／可运行扩展</w:t>
            </w:r>
          </w:p>
        </w:tc>
      </w:tr>
      <w:tr>
        <w:tc>
          <w:tcPr>
            <w:tcW w:type="dxa" w:w="2880"/>
          </w:tcPr>
          <w:p>
            <w:r>
              <w:t>12—13周</w:t>
            </w:r>
          </w:p>
        </w:tc>
        <w:tc>
          <w:tcPr>
            <w:tcW w:type="dxa" w:w="2880"/>
          </w:tcPr>
          <w:p>
            <w:r>
              <w:t>数据整理、结论提炼、失败案例分析</w:t>
            </w:r>
          </w:p>
        </w:tc>
        <w:tc>
          <w:tcPr>
            <w:tcW w:type="dxa" w:w="2880"/>
          </w:tcPr>
          <w:p>
            <w:r>
              <w:t>实验报告初稿</w:t>
            </w:r>
          </w:p>
        </w:tc>
      </w:tr>
      <w:tr>
        <w:tc>
          <w:tcPr>
            <w:tcW w:type="dxa" w:w="2880"/>
          </w:tcPr>
          <w:p>
            <w:r>
              <w:t>14—16周</w:t>
            </w:r>
          </w:p>
        </w:tc>
        <w:tc>
          <w:tcPr>
            <w:tcW w:type="dxa" w:w="2880"/>
          </w:tcPr>
          <w:p>
            <w:r>
              <w:t>期末论文撰写、答辩准备、代码仓库整理开源</w:t>
            </w:r>
          </w:p>
        </w:tc>
        <w:tc>
          <w:tcPr>
            <w:tcW w:type="dxa" w:w="2880"/>
          </w:tcPr>
          <w:p>
            <w:r>
              <w:t>论文＋答辩材料＋开源仓库</w:t>
            </w:r>
          </w:p>
        </w:tc>
      </w:tr>
    </w:tbl>
    <w:p>
      <w:pPr>
        <w:spacing w:line="312" w:lineRule="auto"/>
        <w:ind w:firstLine="0"/>
      </w:pPr>
      <w:r>
        <w:rPr>
          <w:rFonts w:ascii="黑体" w:hAnsi="黑体" w:eastAsia="黑体"/>
          <w:b/>
          <w:sz w:val="26"/>
        </w:rPr>
        <w:t>（三）预期成果</w:t>
      </w:r>
    </w:p>
    <w:p>
      <w:pPr>
        <w:spacing w:line="312" w:lineRule="auto"/>
        <w:ind w:firstLine="480"/>
      </w:pPr>
      <w:r>
        <w:rPr>
          <w:rFonts w:ascii="宋体" w:hAnsi="宋体" w:eastAsia="宋体"/>
          <w:b w:val="0"/>
          <w:sz w:val="24"/>
        </w:rPr>
        <w:t>（1）智能体Harness机制的中文文档合集（十篇机制笔记＋总架构图＋三框架对比表），全部开源；（2）一组可复现的压缩保真度基准数据与结论，回答"不同压缩策略各丢失什么信息、成本与质量如何权衡"；（3）一个经过基准验证的可运行扩展（压缩或记忆注入中间件／dsh插件）；（4）期末论文与答辩材料。</w:t>
      </w:r>
    </w:p>
    <w:p>
      <w:pPr>
        <w:spacing w:line="312" w:lineRule="auto"/>
        <w:ind w:firstLine="0"/>
      </w:pPr>
      <w:r>
        <w:rPr>
          <w:rFonts w:ascii="黑体" w:hAnsi="黑体" w:eastAsia="黑体"/>
          <w:b/>
          <w:sz w:val="26"/>
        </w:rPr>
        <w:t>（四）主要参考文献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[1] Yao et al. ReAct: Synergizing Reasoning and Acting in Language Models. ICLR 2023.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[2] Packer et al. MemGPT: Towards LLMs as Operating Systems. 2023.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[3] Yang et al. SWE-agent: Agent-Computer Interfaces Enable Automated Software Engineering. NeurIPS 2024.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[4] Xu et al. A-MEM: Agentic Memory for LLM Agents. NeurIPS 2025.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[5] Anthropic. Effective Context Engineering for AI Agents. 2025.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[6] Manus. Context Engineering for AI Agents: Lessons from Building Manus. 2025.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[7] 智能体AI框架：架构、协议与设计挑战. arXiv:2508.10146, 2025.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[8] Model Context Protocol Specification. https://modelcontextprotocol.io.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[9] deepseek-ai/deepseek-harness. https://github.com/deepseek-ai/deepseek-harness, 2026.</w:t>
      </w:r>
    </w:p>
    <w:p>
      <w:pPr>
        <w:spacing w:line="312" w:lineRule="auto"/>
        <w:ind w:firstLine="0"/>
      </w:pPr>
      <w:r>
        <w:rPr>
          <w:rFonts w:ascii="宋体" w:hAnsi="宋体" w:eastAsia="宋体"/>
          <w:b w:val="0"/>
          <w:sz w:val="24"/>
        </w:rPr>
        <w:t>[10] langchain-ai/deepagents. https://github.com/langchain-ai/deepagents.</w:t>
      </w:r>
    </w:p>
    <w:p w14:paraId="460D65ED">
      <w:pPr>
        <w:spacing w:line="360" w:lineRule="auto"/>
        <w:ind w:firstLine="432"/>
        <w:rPr>
          <w:rFonts w:ascii="楷体" w:hAnsi="楷体" w:eastAsia="楷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7FF6"/>
    <w:rsid w:val="00326F90"/>
    <w:rsid w:val="00637470"/>
    <w:rsid w:val="00794A47"/>
    <w:rsid w:val="00AA1D8D"/>
    <w:rsid w:val="00B47730"/>
    <w:rsid w:val="00CB0664"/>
    <w:rsid w:val="00D9141A"/>
    <w:rsid w:val="00FC693F"/>
    <w:rsid w:val="1A707464"/>
    <w:rsid w:val="5A4C1FD7"/>
    <w:rsid w:val="7EA30C1E"/>
    <w:rsid w:val="7F4C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86</Characters>
  <Lines>53</Lines>
  <Paragraphs>36</Paragraphs>
  <TotalTime>6</TotalTime>
  <ScaleCrop>false</ScaleCrop>
  <LinksUpToDate>false</LinksUpToDate>
  <CharactersWithSpaces>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周亚南</cp:lastModifiedBy>
  <dcterms:modified xsi:type="dcterms:W3CDTF">2026-09-13T13:35:19Z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eyJoZGlkIjoiMTJkZmRhNDAzNzE4OTkwMmVjOWYyNTQ1NjY5NzkxOTEiLCJ1c2VySWQiOiI1NDU1Njg1MjAifQ==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8B375366CF70435295F09F66B787B6D9_12</vt:lpwstr>
  </property>
</Properties>
</file>