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跨物种细胞类型整合工具评测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课程：单细胞与时空组学技术与数据分析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课题：课题5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组员：待填写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sz w:val="21"/>
        </w:rPr>
        <w:t>日期：待填写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95959"/>
          <w:sz w:val="21"/>
        </w:rPr>
        <w:t>本模板用于最终 Word 结题报告。只有能够追溯到真实运行 artifact 的数值和图表才能进入结果章节；smoke test 不能作为最终结果。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Microsoft YaHei" w:hAnsi="Microsoft YaHei" w:eastAsia="Microsoft YaHei"/>
          <w:sz w:val="21"/>
        </w:rPr>
        <w:t>说明比较对象、单细胞数据范围、主要评测指标和有证据支持的结论。摘要最后给出不同场景下的工具选择建议。尚未完成真实实验时保持本节为空，不写预测结果。</w:t>
      </w:r>
    </w:p>
    <w:p>
      <w:r>
        <w:rPr>
          <w:rFonts w:ascii="Microsoft YaHei" w:hAnsi="Microsoft YaHei" w:eastAsia="Microsoft YaHei"/>
          <w:sz w:val="21"/>
        </w:rPr>
        <w:t>关键词：跨物种整合；单细胞转录组；SATURN；SAMap；scVI；标签转移</w:t>
      </w:r>
    </w:p>
    <w:p>
      <w:pPr>
        <w:pStyle w:val="Heading1"/>
      </w:pPr>
      <w:r>
        <w:t>研究问题与背景</w:t>
      </w:r>
    </w:p>
    <w:p>
      <w:r>
        <w:rPr>
          <w:rFonts w:ascii="Microsoft YaHei" w:hAnsi="Microsoft YaHei" w:eastAsia="Microsoft YaHei"/>
          <w:sz w:val="21"/>
        </w:rPr>
        <w:t>说明课题5为什么比较 SATURN、SAMap 和 scVI 系方法，以及 HEART 与 LBSPA 论文为数据选择、标签和跨物种关系提供了哪些依据。区分论文作者的发现和本组的基准测试结果。</w:t>
      </w:r>
    </w:p>
    <w:p>
      <w:pPr>
        <w:pStyle w:val="Heading1"/>
      </w:pPr>
      <w:r>
        <w:t>数据与实验范围</w:t>
      </w:r>
    </w:p>
    <w:p>
      <w:pPr>
        <w:pStyle w:val="Heading2"/>
      </w:pPr>
      <w:r>
        <w:t>HEART 单细胞数据</w:t>
      </w:r>
    </w:p>
    <w:p>
      <w:r>
        <w:rPr>
          <w:rFonts w:ascii="Microsoft YaHei" w:hAnsi="Microsoft YaHei" w:eastAsia="Microsoft YaHei"/>
          <w:sz w:val="21"/>
        </w:rPr>
        <w:t>记录 DCS 数据条目、对象格式、物种、细胞数、基因数、细胞类型、批次和论文标签字段。首轮仅用 2–3 个物种验证流程，后续分别构造近缘、远缘和不同类别混合组合。</w:t>
      </w:r>
    </w:p>
    <w:p>
      <w:pPr>
        <w:pStyle w:val="Heading2"/>
      </w:pPr>
      <w:r>
        <w:t>LBSPA 单核补充数据</w:t>
      </w:r>
    </w:p>
    <w:p>
      <w:r>
        <w:rPr>
          <w:rFonts w:ascii="Microsoft YaHei" w:hAnsi="Microsoft YaHei" w:eastAsia="Microsoft YaHei"/>
          <w:sz w:val="21"/>
        </w:rPr>
        <w:t>仅在单细胞评测形成基本结论后记录 lamprey–mouse 单核小子集。空间数据暂不纳入主实验。</w:t>
      </w:r>
    </w:p>
    <w:p>
      <w:pPr>
        <w:pStyle w:val="Heading2"/>
      </w:pPr>
      <w:r>
        <w:t>同源基因与纳入排除规则</w:t>
      </w:r>
    </w:p>
    <w:p>
      <w:r>
        <w:rPr>
          <w:rFonts w:ascii="Microsoft YaHei" w:hAnsi="Microsoft YaHei" w:eastAsia="Microsoft YaHei"/>
          <w:sz w:val="21"/>
        </w:rPr>
        <w:t>记录一对一同源基因表的来源、版本、数量和 SHA-256，以及细胞、基因和物种的筛选规则。</w:t>
      </w:r>
    </w:p>
    <w:p>
      <w:pPr>
        <w:pStyle w:val="Heading1"/>
      </w:pPr>
      <w:r>
        <w:t>方法与公平性控制</w:t>
      </w:r>
    </w:p>
    <w:p>
      <w:pPr>
        <w:pStyle w:val="Heading2"/>
      </w:pPr>
      <w:r>
        <w:t>比较方法</w:t>
      </w:r>
    </w:p>
    <w:p>
      <w:r>
        <w:rPr>
          <w:rFonts w:ascii="Microsoft YaHei" w:hAnsi="Microsoft YaHei" w:eastAsia="Microsoft YaHei"/>
          <w:sz w:val="21"/>
        </w:rPr>
        <w:t>分别说明 SATURN、SAMap、scVI 的实际镜像、入口、版本、关键参数和输出表示。scANVI 等有监督变体应单独报告，不能与无监督 scVI 合并为一个分数。</w:t>
      </w:r>
    </w:p>
    <w:p>
      <w:pPr>
        <w:pStyle w:val="Heading2"/>
      </w:pPr>
      <w:r>
        <w:t>统一输入与训练规则</w:t>
      </w:r>
    </w:p>
    <w:p>
      <w:r>
        <w:rPr>
          <w:rFonts w:ascii="Microsoft YaHei" w:hAnsi="Microsoft YaHei" w:eastAsia="Microsoft YaHei"/>
          <w:sz w:val="21"/>
        </w:rPr>
        <w:t>所有工具固定输入细胞、同源基因空间、HVG 规则、邻居数、随机种子和硬件。标签转移采用留一物种评估，HVG 只在训练折内拟合。</w:t>
      </w:r>
    </w:p>
    <w:p>
      <w:pPr>
        <w:pStyle w:val="Heading2"/>
      </w:pPr>
      <w:r>
        <w:t>评测指标</w:t>
      </w:r>
    </w:p>
    <w:p>
      <w:r>
        <w:rPr>
          <w:rFonts w:ascii="Microsoft YaHei" w:hAnsi="Microsoft YaHei" w:eastAsia="Microsoft YaHei"/>
          <w:sz w:val="21"/>
        </w:rPr>
        <w:t>说明 macro-F1、正式 kBET、iLISI、silhouette、墙钟时间、峰值内存和成本的实现、版本与方向。代理 kBET 只能用于 smoke test。</w:t>
      </w:r>
    </w:p>
    <w:p>
      <w:pPr>
        <w:pStyle w:val="Heading1"/>
      </w:pPr>
      <w:r>
        <w:t>结果</w:t>
      </w:r>
    </w:p>
    <w:p>
      <w:pPr>
        <w:pStyle w:val="Heading2"/>
      </w:pPr>
      <w:r>
        <w:t>2至3物种流程试跑</w:t>
      </w:r>
    </w:p>
    <w:p>
      <w:r>
        <w:rPr>
          <w:rFonts w:ascii="Microsoft YaHei" w:hAnsi="Microsoft YaHei" w:eastAsia="Microsoft YaHei"/>
          <w:sz w:val="21"/>
        </w:rPr>
        <w:t>报告三种工具是否完成输入、训练或映射、嵌入导出、指标计算和 artifact 检查。失败运行保留失败原因，不用缺失值替代失败。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物种数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墙钟时间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峰值内存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主要问题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SATURN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SAMap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scVI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</w:tr>
    </w:tbl>
    <w:p>
      <w:pPr>
        <w:spacing w:after="40"/>
      </w:pPr>
    </w:p>
    <w:p>
      <w:pPr>
        <w:pStyle w:val="Heading2"/>
      </w:pPr>
      <w:r>
        <w:t>近缘物种整合</w:t>
      </w:r>
    </w:p>
    <w:p>
      <w:r>
        <w:rPr>
          <w:rFonts w:ascii="Microsoft YaHei" w:hAnsi="Microsoft YaHei" w:eastAsia="Microsoft YaHei"/>
          <w:sz w:val="21"/>
        </w:rPr>
        <w:t>报告物种组合、macro-F1、批次混合、生物保守性和失败案例，并解释是否存在过度混合或分离不足。</w:t>
      </w:r>
    </w:p>
    <w:p>
      <w:pPr>
        <w:pStyle w:val="Heading2"/>
      </w:pPr>
      <w:r>
        <w:t>远缘与不同类别物种整合</w:t>
      </w:r>
    </w:p>
    <w:p>
      <w:r>
        <w:rPr>
          <w:rFonts w:ascii="Microsoft YaHei" w:hAnsi="Microsoft YaHei" w:eastAsia="Microsoft YaHei"/>
          <w:sz w:val="21"/>
        </w:rPr>
        <w:t>报告远缘和混合类别组合的同一套指标，重点讨论同源基因数量、标签粒度和方法假设对结果的影响。</w:t>
      </w:r>
    </w:p>
    <w:p>
      <w:pPr>
        <w:pStyle w:val="Heading2"/>
      </w:pPr>
      <w:r>
        <w:t>单核补充实验</w:t>
      </w:r>
    </w:p>
    <w:p>
      <w:r>
        <w:rPr>
          <w:rFonts w:ascii="Microsoft YaHei" w:hAnsi="Microsoft YaHei" w:eastAsia="Microsoft YaHei"/>
          <w:sz w:val="21"/>
        </w:rPr>
        <w:t>仅在完成单细胞主实验后填写。将 snRNA 结果与单细胞主结果分开呈现，不进行空间模态比较。</w:t>
      </w:r>
    </w:p>
    <w:p>
      <w:pPr>
        <w:pStyle w:val="Heading1"/>
      </w:pPr>
      <w:r>
        <w:t>算力与成本</w:t>
      </w:r>
    </w:p>
    <w:p>
      <w:r>
        <w:rPr>
          <w:rFonts w:ascii="Microsoft YaHei" w:hAnsi="Microsoft YaHei" w:eastAsia="Microsoft YaHei"/>
          <w:sz w:val="21"/>
        </w:rPr>
        <w:t>按方法和场景汇总 GPU、CPU、内存、运行时长、实际成本、失败重试和停止原因。四个账号分别记账，不能把体验金写成可自动合并的单一余额。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GPU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运行次数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总时长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峰值内存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实际成本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待填写</w:t>
            </w:r>
          </w:p>
        </w:tc>
      </w:tr>
    </w:tbl>
    <w:p>
      <w:pPr>
        <w:spacing w:after="40"/>
      </w:pPr>
    </w:p>
    <w:p>
      <w:pPr>
        <w:pStyle w:val="Heading1"/>
      </w:pPr>
      <w:r>
        <w:t>易用性与 Agent 友好度</w:t>
      </w:r>
    </w:p>
    <w:p>
      <w:r>
        <w:rPr>
          <w:rFonts w:ascii="Microsoft YaHei" w:hAnsi="Microsoft YaHei" w:eastAsia="Microsoft YaHei"/>
          <w:sz w:val="21"/>
        </w:rPr>
        <w:t>按文档清晰度、命令行或 API、参数透明度、机器可读输出、失败诊断和环境复现性六个维度报告证据。没有命令、文件或日志证据的项目保持 pending。</w:t>
      </w:r>
    </w:p>
    <w:p>
      <w:pPr>
        <w:pStyle w:val="Heading1"/>
      </w:pPr>
      <w:r>
        <w:t>场景化选型指南</w:t>
      </w:r>
    </w:p>
    <w:p>
      <w:r>
        <w:rPr>
          <w:rFonts w:ascii="Microsoft YaHei" w:hAnsi="Microsoft YaHei" w:eastAsia="Microsoft YaHei"/>
          <w:sz w:val="21"/>
        </w:rPr>
        <w:t>基于真实结果分别回答：小规模流程验证、近缘物种、远缘或不同类别物种、无 GPU 或预算受限场景应优先考虑哪种工具，以及选择成立的条件。</w:t>
      </w:r>
    </w:p>
    <w:p>
      <w:pPr>
        <w:pStyle w:val="Heading1"/>
      </w:pPr>
      <w:r>
        <w:t>局限性</w:t>
      </w:r>
    </w:p>
    <w:p>
      <w:r>
        <w:rPr>
          <w:rFonts w:ascii="Microsoft YaHei" w:hAnsi="Microsoft YaHei" w:eastAsia="Microsoft YaHei"/>
          <w:sz w:val="21"/>
        </w:rPr>
        <w:t>说明物种数量、细胞类型范围、同源基因策略、标签质量、镜像差异、随机种子、预算和失败运行对结论的限制。不要把未评测场景推广为普遍结论。</w:t>
      </w:r>
    </w:p>
    <w:p>
      <w:pPr>
        <w:pStyle w:val="Heading1"/>
      </w:pPr>
      <w:r>
        <w:t>结论</w:t>
      </w:r>
    </w:p>
    <w:p>
      <w:r>
        <w:rPr>
          <w:rFonts w:ascii="Microsoft YaHei" w:hAnsi="Microsoft YaHei" w:eastAsia="Microsoft YaHei"/>
          <w:sz w:val="21"/>
        </w:rPr>
        <w:t>用真实指标概括各工具的适用条件和主要取舍。结论必须与结果表、资源记录和失败案例一致。</w:t>
      </w:r>
    </w:p>
    <w:p>
      <w:pPr>
        <w:pStyle w:val="Heading1"/>
      </w:pPr>
      <w:r>
        <w:t>参考文献</w:t>
      </w:r>
    </w:p>
    <w:p>
      <w:r>
        <w:rPr>
          <w:rFonts w:ascii="Microsoft YaHei" w:hAnsi="Microsoft YaHei" w:eastAsia="Microsoft YaHei"/>
          <w:sz w:val="21"/>
        </w:rPr>
        <w:t>列出课程网页、HEART 论文、LBSPA 论文、工具论文和正式指标实现。按课程或学院要求统一格式。</w:t>
      </w:r>
    </w:p>
    <w:p>
      <w:pPr>
        <w:pStyle w:val="Heading1"/>
      </w:pPr>
      <w:r>
        <w:t>附录</w:t>
      </w:r>
    </w:p>
    <w:p>
      <w:r>
        <w:rPr>
          <w:rFonts w:ascii="Microsoft YaHei" w:hAnsi="Microsoft YaHei" w:eastAsia="Microsoft YaHei"/>
          <w:sz w:val="21"/>
        </w:rPr>
        <w:t>附运行清单、参数、软件版本、同源基因 manifest、额外图表、AI 使用记录和复现命令。凭据、cookie、token、账号标识和未经允许的原始数据路径不得进入报告或仓库。</w:t>
      </w:r>
    </w:p>
    <w:sectPr w:rsidR="00FC693F" w:rsidRPr="0006063C" w:rsidSect="00034616">
      <w:footerReference w:type="default" r:id="rId9"/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跨物种细胞类型整合工具评测</dc:title>
  <dc:subject>课题5最终报告通用模板</dc:subject>
  <dc:creator>课题5小组</dc:creator>
  <cp:keywords/>
  <dc:description>由 docs/report-template.md 生成，不包含真实实验结果。</dc:description>
  <cp:lastModifiedBy>课题5小组</cp:lastModifiedBy>
  <cp:revision>1</cp:revision>
  <dcterms:created xsi:type="dcterms:W3CDTF">2013-12-23T23:15:00Z</dcterms:created>
  <dcterms:modified xsi:type="dcterms:W3CDTF">2013-12-23T23:15:00Z</dcterms:modified>
  <cp:category/>
</cp:coreProperties>
</file>