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x81k9u0c3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CONCIERGE BOMBINHAS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2oewihyt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Ajudar os hóspedes da Villa Arágua a aproveitarem Bombinhas da melhor forma possível, proporcionando experiências e memórias especiais.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fdt5gm5c4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Praias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gpv6xs8wp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Mariscal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para famílias, caminhadas e surf.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130 metros da Villa Arágua.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0wpak122q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Canto Grande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Pôr do sol e águas calmas.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tlua92awv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Tainha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Natureza preservada.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ngk3b5w74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Quatro Ilhas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Surf e beleza natural.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nimnqf3tw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Sepultura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Snorkel e águas cristalinas.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f6a18lwar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Restaurantes favoritos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Moquém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Tatuíra Petisqueira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Pisco Cocina y Bar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Berro D'Água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Alquimista Burguer e Oliva Pizzaria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dbtlsofua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Cafés e Sorveterias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Pitucos Café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Picolittos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Girassol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rwnvy9dsq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Trilhas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Morro do Macaco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Trilha da Costeira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Trilha da Tainha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va1sbrskv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Passeios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Passeio de barco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Mergulho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 Up Paddle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Caiaque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Surf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Passeios 4x4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Carro Safari Bombinhas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o8glr9any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Dias de chuva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Cafés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Sorveterias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Aquário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Pizzarias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Compras em Porto Belo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Cinema em Balneário Camboriú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si2w8nge3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Para casais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Pôr do sol em Canto Grande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Jantar no Moquém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Praia da Tainha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Passeio de barco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ei1fg9fuw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Para famílias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Praia de Mariscal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Morrinhos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Passeios de barco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Sorveterias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Parquinhos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ghzrit7hu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Filosofia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que nossos hóspedes vivam dias de "Férias Pra Sempre", aproveitando Bombinhas sem pressa e criando memórias felizes.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