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r>
        <w:rPr>
          <w:b w:val="0"/>
          <w:i w:val="0"/>
        </w:rPr>
      </w:r>
    </w:p>
    <w:p>
      <w:r>
        <w:rPr>
          <w:b w:val="0"/>
          <w:i w:val="0"/>
        </w:rPr>
      </w:r>
    </w:p>
    <w:p>
      <w:pPr>
        <w:jc w:val="center"/>
      </w:pPr>
      <w:r>
        <w:rPr>
          <w:b/>
          <w:i w:val="0"/>
          <w:color w:val="595959"/>
          <w:sz w:val="24"/>
        </w:rPr>
        <w:t>LIVRABLE 2</w:t>
      </w:r>
    </w:p>
    <w:p>
      <w:pPr>
        <w:spacing w:after="80"/>
        <w:jc w:val="center"/>
      </w:pPr>
      <w:r>
        <w:rPr>
          <w:b/>
          <w:i w:val="0"/>
          <w:color w:val="0F4761"/>
          <w:sz w:val="60"/>
        </w:rPr>
        <w:t>CAHIER DES CHARGES</w:t>
      </w:r>
    </w:p>
    <w:p>
      <w:pPr>
        <w:spacing w:after="600"/>
        <w:jc w:val="center"/>
      </w:pPr>
      <w:r>
        <w:rPr>
          <w:b w:val="0"/>
          <w:i w:val="0"/>
          <w:color w:val="0F4761"/>
          <w:sz w:val="32"/>
        </w:rPr>
        <w:t>Modernisation et Sécurisation du Système d’Information</w:t>
      </w:r>
    </w:p>
    <w:p>
      <w:pPr>
        <w:spacing w:after="40"/>
        <w:jc w:val="center"/>
      </w:pPr>
      <w:r>
        <w:rPr>
          <w:b/>
          <w:i w:val="0"/>
          <w:sz w:val="26"/>
        </w:rPr>
        <w:t>Client : Banque Financia</w:t>
      </w:r>
    </w:p>
    <w:p>
      <w:pPr>
        <w:spacing w:after="40"/>
        <w:jc w:val="center"/>
      </w:pPr>
      <w:r>
        <w:rPr>
          <w:b w:val="0"/>
          <w:i w:val="0"/>
          <w:sz w:val="24"/>
        </w:rPr>
        <w:t>Équipe consultants : DA Consulting</w:t>
      </w:r>
    </w:p>
    <w:p>
      <w:pPr>
        <w:spacing w:after="40"/>
        <w:jc w:val="center"/>
      </w:pPr>
      <w:r>
        <w:rPr>
          <w:b w:val="0"/>
          <w:i w:val="0"/>
          <w:sz w:val="24"/>
        </w:rPr>
        <w:t>Auditeurs : Alan Amsellem &amp; David-Haï Berrebi</w:t>
      </w:r>
    </w:p>
    <w:p>
      <w:pPr>
        <w:spacing w:after="800"/>
        <w:jc w:val="center"/>
      </w:pPr>
      <w:r>
        <w:rPr>
          <w:b w:val="0"/>
          <w:i w:val="0"/>
          <w:sz w:val="24"/>
        </w:rPr>
        <w:t>Date : Octobre 2026   |   Version : 1.0</w:t>
      </w:r>
    </w:p>
    <w:p>
      <w:pPr>
        <w:jc w:val="center"/>
      </w:pPr>
      <w:r>
        <w:rPr>
          <w:b w:val="0"/>
          <w:i/>
          <w:color w:val="595959"/>
          <w:sz w:val="19"/>
        </w:rPr>
        <w:t>Document établi à partir de la Charte Projet v1.0 (septembre 2026). Les hypothèses de dimensionnement signalées par la mention « hypothèse » sont à valider avec le client lors du comité de lancement.</w:t>
      </w:r>
    </w:p>
    <w:p>
      <w:r>
        <w:br w:type="page"/>
      </w:r>
    </w:p>
    <w:p>
      <w:pPr>
        <w:pStyle w:val="Heading1"/>
      </w:pPr>
      <w:r>
        <w:t>Sommaire</w:t>
      </w:r>
    </w:p>
    <w:p>
      <w:pPr>
        <w:spacing w:after="100"/>
      </w:pPr>
      <w:r>
        <w:rPr>
          <w:b w:val="0"/>
          <w:i w:val="0"/>
          <w:sz w:val="23"/>
        </w:rPr>
        <w:t>1. Introduction et cadrage</w:t>
      </w:r>
    </w:p>
    <w:p>
      <w:pPr>
        <w:spacing w:after="100"/>
      </w:pPr>
      <w:r>
        <w:rPr>
          <w:b w:val="0"/>
          <w:i w:val="0"/>
          <w:sz w:val="23"/>
        </w:rPr>
        <w:t>2. Besoins métier</w:t>
      </w:r>
    </w:p>
    <w:p>
      <w:pPr>
        <w:spacing w:after="100"/>
      </w:pPr>
      <w:r>
        <w:rPr>
          <w:b w:val="0"/>
          <w:i w:val="0"/>
          <w:sz w:val="23"/>
        </w:rPr>
        <w:t>3. Besoins techniques</w:t>
      </w:r>
    </w:p>
    <w:p>
      <w:pPr>
        <w:spacing w:after="100"/>
      </w:pPr>
      <w:r>
        <w:rPr>
          <w:b w:val="0"/>
          <w:i w:val="0"/>
          <w:sz w:val="23"/>
        </w:rPr>
        <w:t>4. Besoins en cybersécurité</w:t>
      </w:r>
    </w:p>
    <w:p>
      <w:pPr>
        <w:spacing w:after="100"/>
      </w:pPr>
      <w:r>
        <w:rPr>
          <w:b w:val="0"/>
          <w:i w:val="0"/>
          <w:sz w:val="23"/>
        </w:rPr>
        <w:t>5. Contraintes</w:t>
      </w:r>
    </w:p>
    <w:p>
      <w:pPr>
        <w:spacing w:after="100"/>
      </w:pPr>
      <w:r>
        <w:rPr>
          <w:b w:val="0"/>
          <w:i w:val="0"/>
          <w:sz w:val="23"/>
        </w:rPr>
        <w:t>6. Gouvernance, livrables et recette</w:t>
      </w:r>
    </w:p>
    <w:p>
      <w:pPr>
        <w:spacing w:after="100"/>
      </w:pPr>
      <w:r>
        <w:rPr>
          <w:b w:val="0"/>
          <w:i w:val="0"/>
          <w:sz w:val="23"/>
        </w:rPr>
        <w:t>7. Risques projet et mesures</w:t>
      </w:r>
    </w:p>
    <w:p>
      <w:pPr>
        <w:spacing w:after="100"/>
      </w:pPr>
      <w:r>
        <w:rPr>
          <w:b w:val="0"/>
          <w:i w:val="0"/>
          <w:sz w:val="23"/>
        </w:rPr>
        <w:t>8. Conclusion</w:t>
      </w:r>
    </w:p>
    <w:p>
      <w:r>
        <w:br w:type="page"/>
      </w:r>
    </w:p>
    <w:p>
      <w:pPr>
        <w:pStyle w:val="Heading1"/>
      </w:pPr>
      <w:r>
        <w:t>1. Introduction et cadrage</w:t>
      </w:r>
    </w:p>
    <w:p>
      <w:pPr>
        <w:pStyle w:val="Heading2"/>
      </w:pPr>
      <w:r>
        <w:t>1.1 Objet du document</w:t>
      </w:r>
    </w:p>
    <w:p>
      <w:r>
        <w:rPr>
          <w:b w:val="0"/>
          <w:i w:val="0"/>
        </w:rPr>
        <w:t>Ce cahier des charges formalise l’expression de besoin de la Banque Financia pour le projet de modernisation et de sécurisation de son système d’information. Il traduit les objectifs SMART et les critères de réussite de la Charte Projet en exigences vérifiables (métier, techniques, cybersécurité), précise les contraintes à respecter et sert de base au lancement du projet, à la consultation des fournisseurs et à la recette finale.</w:t>
      </w:r>
    </w:p>
    <w:p>
      <w:pPr>
        <w:pStyle w:val="Heading2"/>
      </w:pPr>
      <w:r>
        <w:t>1.2 Rappel du contexte</w:t>
      </w:r>
    </w:p>
    <w:p>
      <w:r>
        <w:rPr>
          <w:b w:val="0"/>
          <w:i w:val="0"/>
        </w:rPr>
        <w:t>Financia est un établissement bancaire de taille intermédiaire (banque de détail et gestion de patrimoine) évoluant dans un environnement très réglementé (DORA, RGPD, ANSSI, ISO 27001, contrôle ACPR). Quatre faiblesses ont été relevées lors du cadrage :</w:t>
      </w:r>
    </w:p>
    <w:p>
      <w:pPr>
        <w:pStyle w:val="ListBullet"/>
        <w:spacing w:after="60"/>
      </w:pPr>
      <w:r>
        <w:rPr>
          <w:b/>
        </w:rPr>
        <w:t>Absence de supervision centralisée :</w:t>
      </w:r>
      <w:r>
        <w:t xml:space="preserve"> logs dispersés (pare-feu, serveurs, applications bancaires), non corrélés ; détection d’incident lente ou inexistante ;</w:t>
      </w:r>
    </w:p>
    <w:p>
      <w:pPr>
        <w:pStyle w:val="ListBullet"/>
        <w:spacing w:after="60"/>
      </w:pPr>
      <w:r>
        <w:rPr>
          <w:b/>
        </w:rPr>
        <w:t>Gestion des identités fragmentée :</w:t>
      </w:r>
      <w:r>
        <w:t xml:space="preserve"> comptes créés manuellement, pas de processus formel de retrait des accès (départs, mobilités), comptes à privilèges non maîtrisés ;</w:t>
      </w:r>
    </w:p>
    <w:p>
      <w:pPr>
        <w:pStyle w:val="ListBullet"/>
        <w:spacing w:after="60"/>
      </w:pPr>
      <w:r>
        <w:rPr>
          <w:b/>
        </w:rPr>
        <w:t>Authentification faible :</w:t>
      </w:r>
      <w:r>
        <w:t xml:space="preserve"> absence généralisée de MFA sur les applications sensibles ;</w:t>
      </w:r>
    </w:p>
    <w:p>
      <w:pPr>
        <w:pStyle w:val="ListBullet"/>
        <w:spacing w:after="60"/>
      </w:pPr>
      <w:r>
        <w:rPr>
          <w:b/>
        </w:rPr>
        <w:t>Traçabilité insuffisante :</w:t>
      </w:r>
      <w:r>
        <w:t xml:space="preserve"> preuves insuffisantes pour les auditeurs internes et externes.</w:t>
      </w:r>
    </w:p>
    <w:p>
      <w:pPr>
        <w:pStyle w:val="Heading2"/>
      </w:pPr>
      <w:r>
        <w:t>1.3 Objectifs du projet (rappel de la charte)</w:t>
      </w:r>
    </w:p>
    <w:tbl>
      <w:tblPr>
        <w:tblStyle w:val="TableGrid"/>
        <w:tblW w:type="auto" w:w="0"/>
        <w:jc w:val="center"/>
        <w:tblLayout w:type="fixed"/>
        <w:tblLook w:firstColumn="1" w:firstRow="1" w:lastColumn="0" w:lastRow="0" w:noHBand="0" w:noVBand="1" w:val="04A0"/>
        <w:tblLayout w:type="fixed"/>
      </w:tblPr>
      <w:tblGrid>
        <w:gridCol w:w="907"/>
        <w:gridCol w:w="6463"/>
        <w:gridCol w:w="1927"/>
      </w:tblGrid>
      <w:tr>
        <w:trPr>
          <w:tblHeader w:val="true"/>
          <w:cantSplit/>
        </w:trPr>
        <w:tc>
          <w:tcPr>
            <w:tcW w:type="dxa" w:w="907"/>
            <w:shd w:val="clear" w:color="auto" w:fill="0F4761"/>
          </w:tcPr>
          <w:p>
            <w:pPr>
              <w:spacing w:after="40" w:line="240" w:lineRule="auto"/>
            </w:pPr>
            <w:r/>
            <w:r>
              <w:rPr>
                <w:b/>
                <w:color w:val="FFFFFF"/>
                <w:sz w:val="18"/>
              </w:rPr>
              <w:t>Réf.</w:t>
            </w:r>
          </w:p>
        </w:tc>
        <w:tc>
          <w:tcPr>
            <w:tcW w:type="dxa" w:w="6463"/>
            <w:shd w:val="clear" w:color="auto" w:fill="0F4761"/>
          </w:tcPr>
          <w:p>
            <w:pPr>
              <w:spacing w:after="40" w:line="240" w:lineRule="auto"/>
            </w:pPr>
            <w:r/>
            <w:r>
              <w:rPr>
                <w:b/>
                <w:color w:val="FFFFFF"/>
                <w:sz w:val="18"/>
              </w:rPr>
              <w:t>Objectif SMART</w:t>
            </w:r>
          </w:p>
        </w:tc>
        <w:tc>
          <w:tcPr>
            <w:tcW w:type="dxa" w:w="1928"/>
            <w:shd w:val="clear" w:color="auto" w:fill="0F4761"/>
          </w:tcPr>
          <w:p>
            <w:pPr>
              <w:spacing w:after="40" w:line="240" w:lineRule="auto"/>
            </w:pPr>
            <w:r/>
            <w:r>
              <w:rPr>
                <w:b/>
                <w:color w:val="FFFFFF"/>
                <w:sz w:val="18"/>
              </w:rPr>
              <w:t>Échéance</w:t>
            </w:r>
          </w:p>
        </w:tc>
      </w:tr>
      <w:tr>
        <w:trPr>
          <w:cantSplit/>
        </w:trPr>
        <w:tc>
          <w:tcPr>
            <w:tcW w:type="dxa" w:w="907"/>
          </w:tcPr>
          <w:p>
            <w:pPr>
              <w:spacing w:after="40" w:line="240" w:lineRule="auto"/>
            </w:pPr>
            <w:r/>
            <w:r>
              <w:rPr>
                <w:b/>
                <w:sz w:val="18"/>
              </w:rPr>
              <w:t>O1</w:t>
            </w:r>
          </w:p>
        </w:tc>
        <w:tc>
          <w:tcPr>
            <w:tcW w:type="dxa" w:w="6463"/>
          </w:tcPr>
          <w:p>
            <w:pPr>
              <w:spacing w:after="40" w:line="240" w:lineRule="auto"/>
            </w:pPr>
            <w:r/>
            <w:r>
              <w:rPr>
                <w:sz w:val="18"/>
              </w:rPr>
              <w:t>Réduire de 80 % les comptes administrateurs locaux non justifiés</w:t>
            </w:r>
          </w:p>
        </w:tc>
        <w:tc>
          <w:tcPr>
            <w:tcW w:type="dxa" w:w="1928"/>
          </w:tcPr>
          <w:p>
            <w:pPr>
              <w:spacing w:after="40" w:line="240" w:lineRule="auto"/>
            </w:pPr>
            <w:r/>
            <w:r>
              <w:rPr>
                <w:sz w:val="18"/>
              </w:rPr>
              <w:t>6 mois</w:t>
            </w:r>
          </w:p>
        </w:tc>
      </w:tr>
      <w:tr>
        <w:trPr>
          <w:cantSplit/>
        </w:trPr>
        <w:tc>
          <w:tcPr>
            <w:tcW w:type="dxa" w:w="907"/>
            <w:shd w:val="clear" w:color="auto" w:fill="EAF1F5"/>
          </w:tcPr>
          <w:p>
            <w:pPr>
              <w:spacing w:after="40" w:line="240" w:lineRule="auto"/>
            </w:pPr>
            <w:r/>
            <w:r>
              <w:rPr>
                <w:b/>
                <w:sz w:val="18"/>
              </w:rPr>
              <w:t>O2</w:t>
            </w:r>
          </w:p>
        </w:tc>
        <w:tc>
          <w:tcPr>
            <w:tcW w:type="dxa" w:w="6463"/>
            <w:shd w:val="clear" w:color="auto" w:fill="EAF1F5"/>
          </w:tcPr>
          <w:p>
            <w:pPr>
              <w:spacing w:after="40" w:line="240" w:lineRule="auto"/>
            </w:pPr>
            <w:r/>
            <w:r>
              <w:rPr>
                <w:sz w:val="18"/>
              </w:rPr>
              <w:t>MFA pour 100 % des utilisateurs des applications bancaires critiques</w:t>
            </w:r>
          </w:p>
        </w:tc>
        <w:tc>
          <w:tcPr>
            <w:tcW w:type="dxa" w:w="1928"/>
            <w:shd w:val="clear" w:color="auto" w:fill="EAF1F5"/>
          </w:tcPr>
          <w:p>
            <w:pPr>
              <w:spacing w:after="40" w:line="240" w:lineRule="auto"/>
            </w:pPr>
            <w:r/>
            <w:r>
              <w:rPr>
                <w:sz w:val="18"/>
              </w:rPr>
              <w:t>12 mois</w:t>
            </w:r>
          </w:p>
        </w:tc>
      </w:tr>
      <w:tr>
        <w:trPr>
          <w:cantSplit/>
        </w:trPr>
        <w:tc>
          <w:tcPr>
            <w:tcW w:type="dxa" w:w="907"/>
          </w:tcPr>
          <w:p>
            <w:pPr>
              <w:spacing w:after="40" w:line="240" w:lineRule="auto"/>
            </w:pPr>
            <w:r/>
            <w:r>
              <w:rPr>
                <w:b/>
                <w:sz w:val="18"/>
              </w:rPr>
              <w:t>O3</w:t>
            </w:r>
          </w:p>
        </w:tc>
        <w:tc>
          <w:tcPr>
            <w:tcW w:type="dxa" w:w="6463"/>
          </w:tcPr>
          <w:p>
            <w:pPr>
              <w:spacing w:after="40" w:line="240" w:lineRule="auto"/>
            </w:pPr>
            <w:r/>
            <w:r>
              <w:rPr>
                <w:sz w:val="18"/>
              </w:rPr>
              <w:t>Mise en service du SOC (détection de niveau 1 opérationnelle)</w:t>
            </w:r>
          </w:p>
        </w:tc>
        <w:tc>
          <w:tcPr>
            <w:tcW w:type="dxa" w:w="1928"/>
          </w:tcPr>
          <w:p>
            <w:pPr>
              <w:spacing w:after="40" w:line="240" w:lineRule="auto"/>
            </w:pPr>
            <w:r/>
            <w:r>
              <w:rPr>
                <w:sz w:val="18"/>
              </w:rPr>
              <w:t>9 mois</w:t>
            </w:r>
          </w:p>
        </w:tc>
      </w:tr>
      <w:tr>
        <w:trPr>
          <w:cantSplit/>
        </w:trPr>
        <w:tc>
          <w:tcPr>
            <w:tcW w:type="dxa" w:w="907"/>
            <w:shd w:val="clear" w:color="auto" w:fill="EAF1F5"/>
          </w:tcPr>
          <w:p>
            <w:pPr>
              <w:spacing w:after="40" w:line="240" w:lineRule="auto"/>
            </w:pPr>
            <w:r/>
            <w:r>
              <w:rPr>
                <w:b/>
                <w:sz w:val="18"/>
              </w:rPr>
              <w:t>O4</w:t>
            </w:r>
          </w:p>
        </w:tc>
        <w:tc>
          <w:tcPr>
            <w:tcW w:type="dxa" w:w="6463"/>
            <w:shd w:val="clear" w:color="auto" w:fill="EAF1F5"/>
          </w:tcPr>
          <w:p>
            <w:pPr>
              <w:spacing w:after="40" w:line="240" w:lineRule="auto"/>
            </w:pPr>
            <w:r/>
            <w:r>
              <w:rPr>
                <w:sz w:val="18"/>
              </w:rPr>
              <w:t>Délai moyen de détection d’incident (MTTD) &lt; 30 minutes</w:t>
            </w:r>
          </w:p>
        </w:tc>
        <w:tc>
          <w:tcPr>
            <w:tcW w:type="dxa" w:w="1928"/>
            <w:shd w:val="clear" w:color="auto" w:fill="EAF1F5"/>
          </w:tcPr>
          <w:p>
            <w:pPr>
              <w:spacing w:after="40" w:line="240" w:lineRule="auto"/>
            </w:pPr>
            <w:r/>
            <w:r>
              <w:rPr>
                <w:sz w:val="18"/>
              </w:rPr>
              <w:t>Fin de projet</w:t>
            </w:r>
          </w:p>
        </w:tc>
      </w:tr>
      <w:tr>
        <w:trPr>
          <w:cantSplit/>
        </w:trPr>
        <w:tc>
          <w:tcPr>
            <w:tcW w:type="dxa" w:w="907"/>
          </w:tcPr>
          <w:p>
            <w:pPr>
              <w:spacing w:after="40" w:line="240" w:lineRule="auto"/>
            </w:pPr>
            <w:r/>
            <w:r>
              <w:rPr>
                <w:b/>
                <w:sz w:val="18"/>
              </w:rPr>
              <w:t>O5</w:t>
            </w:r>
          </w:p>
        </w:tc>
        <w:tc>
          <w:tcPr>
            <w:tcW w:type="dxa" w:w="6463"/>
          </w:tcPr>
          <w:p>
            <w:pPr>
              <w:spacing w:after="40" w:line="240" w:lineRule="auto"/>
            </w:pPr>
            <w:r/>
            <w:r>
              <w:rPr>
                <w:sz w:val="18"/>
              </w:rPr>
              <w:t>Recertification des habilitations de 100 % des collaborateurs, tous les 6 mois</w:t>
            </w:r>
          </w:p>
        </w:tc>
        <w:tc>
          <w:tcPr>
            <w:tcW w:type="dxa" w:w="1928"/>
          </w:tcPr>
          <w:p>
            <w:pPr>
              <w:spacing w:after="40" w:line="240" w:lineRule="auto"/>
            </w:pPr>
            <w:r/>
            <w:r>
              <w:rPr>
                <w:sz w:val="18"/>
              </w:rPr>
              <w:t>Dès le mois 6</w:t>
            </w:r>
          </w:p>
        </w:tc>
      </w:tr>
      <w:tr>
        <w:trPr>
          <w:cantSplit/>
        </w:trPr>
        <w:tc>
          <w:tcPr>
            <w:tcW w:type="dxa" w:w="907"/>
            <w:shd w:val="clear" w:color="auto" w:fill="EAF1F5"/>
          </w:tcPr>
          <w:p>
            <w:pPr>
              <w:spacing w:after="40" w:line="240" w:lineRule="auto"/>
            </w:pPr>
            <w:r/>
            <w:r>
              <w:rPr>
                <w:b/>
                <w:sz w:val="18"/>
              </w:rPr>
              <w:t>O6</w:t>
            </w:r>
          </w:p>
        </w:tc>
        <w:tc>
          <w:tcPr>
            <w:tcW w:type="dxa" w:w="6463"/>
            <w:shd w:val="clear" w:color="auto" w:fill="EAF1F5"/>
          </w:tcPr>
          <w:p>
            <w:pPr>
              <w:spacing w:after="40" w:line="240" w:lineRule="auto"/>
            </w:pPr>
            <w:r/>
            <w:r>
              <w:rPr>
                <w:sz w:val="18"/>
              </w:rPr>
              <w:t>Avis favorable sans réserve majeure au prochain audit ACPR / interne</w:t>
            </w:r>
          </w:p>
        </w:tc>
        <w:tc>
          <w:tcPr>
            <w:tcW w:type="dxa" w:w="1928"/>
            <w:shd w:val="clear" w:color="auto" w:fill="EAF1F5"/>
          </w:tcPr>
          <w:p>
            <w:pPr>
              <w:spacing w:after="40" w:line="240" w:lineRule="auto"/>
            </w:pPr>
            <w:r/>
            <w:r>
              <w:rPr>
                <w:sz w:val="18"/>
              </w:rPr>
              <w:t>Après mise en production</w:t>
            </w:r>
          </w:p>
        </w:tc>
      </w:tr>
    </w:tbl>
    <w:p>
      <w:pPr>
        <w:spacing w:after="40"/>
      </w:pPr>
    </w:p>
    <w:p>
      <w:pPr>
        <w:pStyle w:val="Heading2"/>
      </w:pPr>
      <w:r>
        <w:t>1.4 Périmètre</w:t>
      </w:r>
    </w:p>
    <w:p>
      <w:r>
        <w:rPr>
          <w:b/>
        </w:rPr>
        <w:t xml:space="preserve">Inclus : </w:t>
      </w:r>
      <w:r>
        <w:rPr>
          <w:b w:val="0"/>
        </w:rPr>
        <w:t>socle d’identités et d’accès (IAM, MFA, PAM, recertification), supervision de sécurité (SIEM, SOC niveau 1), protection des postes et serveurs (EDR), segmentation réseau des zones sensibles, durcissement et sauvegardes des systèmes concernés, conduite du changement et formation.</w:t>
      </w:r>
    </w:p>
    <w:p>
      <w:r>
        <w:rPr>
          <w:b/>
        </w:rPr>
        <w:t xml:space="preserve">Exclus : </w:t>
      </w:r>
      <w:r>
        <w:rPr>
          <w:b w:val="0"/>
        </w:rPr>
        <w:t>refonte applicative du cœur bancaire, remplacement du réseau étendu agences, déploiement d’un SOC de niveau 3 / réponse forensique avancée (hors phase 1), certification ISO 27001 elle-même (le projet prépare la conformité).</w:t>
      </w:r>
    </w:p>
    <w:p>
      <w:pPr>
        <w:pStyle w:val="Heading2"/>
      </w:pPr>
      <w:r>
        <w:t>1.5 Hypothèses de dimensionnement</w:t>
      </w:r>
    </w:p>
    <w:p>
      <w:r>
        <w:rPr>
          <w:b w:val="0"/>
          <w:i w:val="0"/>
        </w:rPr>
        <w:t>La charte ne chiffre pas le parc. Les ordres de grandeur suivants sont retenus comme hypothèses de travail et seront confirmés lors de la phase d’initialisation :</w:t>
      </w:r>
    </w:p>
    <w:tbl>
      <w:tblPr>
        <w:tblStyle w:val="TableGrid"/>
        <w:tblW w:type="auto" w:w="0"/>
        <w:jc w:val="center"/>
        <w:tblLayout w:type="fixed"/>
        <w:tblLook w:firstColumn="1" w:firstRow="1" w:lastColumn="0" w:lastRow="0" w:noHBand="0" w:noVBand="1" w:val="04A0"/>
        <w:tblLayout w:type="fixed"/>
      </w:tblPr>
      <w:tblGrid>
        <w:gridCol w:w="2835"/>
        <w:gridCol w:w="6463"/>
      </w:tblGrid>
      <w:tr>
        <w:trPr>
          <w:tblHeader w:val="true"/>
          <w:cantSplit/>
        </w:trPr>
        <w:tc>
          <w:tcPr>
            <w:tcW w:type="dxa" w:w="2835"/>
            <w:shd w:val="clear" w:color="auto" w:fill="0F4761"/>
          </w:tcPr>
          <w:p>
            <w:pPr>
              <w:spacing w:after="40" w:line="240" w:lineRule="auto"/>
            </w:pPr>
            <w:r/>
            <w:r>
              <w:rPr>
                <w:b/>
                <w:color w:val="FFFFFF"/>
                <w:sz w:val="18"/>
              </w:rPr>
              <w:t>Élément</w:t>
            </w:r>
          </w:p>
        </w:tc>
        <w:tc>
          <w:tcPr>
            <w:tcW w:type="dxa" w:w="6463"/>
            <w:shd w:val="clear" w:color="auto" w:fill="0F4761"/>
          </w:tcPr>
          <w:p>
            <w:pPr>
              <w:spacing w:after="40" w:line="240" w:lineRule="auto"/>
            </w:pPr>
            <w:r/>
            <w:r>
              <w:rPr>
                <w:b/>
                <w:color w:val="FFFFFF"/>
                <w:sz w:val="18"/>
              </w:rPr>
              <w:t>Hypothèse retenue</w:t>
            </w:r>
          </w:p>
        </w:tc>
      </w:tr>
      <w:tr>
        <w:trPr>
          <w:cantSplit/>
        </w:trPr>
        <w:tc>
          <w:tcPr>
            <w:tcW w:type="dxa" w:w="2835"/>
          </w:tcPr>
          <w:p>
            <w:pPr>
              <w:spacing w:after="40" w:line="240" w:lineRule="auto"/>
            </w:pPr>
            <w:r/>
            <w:r>
              <w:rPr>
                <w:b/>
                <w:sz w:val="18"/>
              </w:rPr>
              <w:t>Collaborateurs</w:t>
            </w:r>
          </w:p>
        </w:tc>
        <w:tc>
          <w:tcPr>
            <w:tcW w:type="dxa" w:w="6463"/>
          </w:tcPr>
          <w:p>
            <w:pPr>
              <w:spacing w:after="40" w:line="240" w:lineRule="auto"/>
            </w:pPr>
            <w:r/>
            <w:r>
              <w:rPr>
                <w:sz w:val="18"/>
              </w:rPr>
              <w:t>≈ 1 200 (dont ≈ 900 utilisateurs d’applications bancaires critiques)</w:t>
            </w:r>
          </w:p>
        </w:tc>
      </w:tr>
      <w:tr>
        <w:trPr>
          <w:cantSplit/>
        </w:trPr>
        <w:tc>
          <w:tcPr>
            <w:tcW w:type="dxa" w:w="2835"/>
            <w:shd w:val="clear" w:color="auto" w:fill="EAF1F5"/>
          </w:tcPr>
          <w:p>
            <w:pPr>
              <w:spacing w:after="40" w:line="240" w:lineRule="auto"/>
            </w:pPr>
            <w:r/>
            <w:r>
              <w:rPr>
                <w:b/>
                <w:sz w:val="18"/>
              </w:rPr>
              <w:t>Sites</w:t>
            </w:r>
          </w:p>
        </w:tc>
        <w:tc>
          <w:tcPr>
            <w:tcW w:type="dxa" w:w="6463"/>
            <w:shd w:val="clear" w:color="auto" w:fill="EAF1F5"/>
          </w:tcPr>
          <w:p>
            <w:pPr>
              <w:spacing w:after="40" w:line="240" w:lineRule="auto"/>
            </w:pPr>
            <w:r/>
            <w:r>
              <w:rPr>
                <w:sz w:val="18"/>
              </w:rPr>
              <w:t>Siège + datacenter principal, site de secours, réseau d’agences</w:t>
            </w:r>
          </w:p>
        </w:tc>
      </w:tr>
      <w:tr>
        <w:trPr>
          <w:cantSplit/>
        </w:trPr>
        <w:tc>
          <w:tcPr>
            <w:tcW w:type="dxa" w:w="2835"/>
          </w:tcPr>
          <w:p>
            <w:pPr>
              <w:spacing w:after="40" w:line="240" w:lineRule="auto"/>
            </w:pPr>
            <w:r/>
            <w:r>
              <w:rPr>
                <w:b/>
                <w:sz w:val="18"/>
              </w:rPr>
              <w:t>Postes de travail</w:t>
            </w:r>
          </w:p>
        </w:tc>
        <w:tc>
          <w:tcPr>
            <w:tcW w:type="dxa" w:w="6463"/>
          </w:tcPr>
          <w:p>
            <w:pPr>
              <w:spacing w:after="40" w:line="240" w:lineRule="auto"/>
            </w:pPr>
            <w:r/>
            <w:r>
              <w:rPr>
                <w:sz w:val="18"/>
              </w:rPr>
              <w:t>≈ 1 300 postes fixes et portables</w:t>
            </w:r>
          </w:p>
        </w:tc>
      </w:tr>
      <w:tr>
        <w:trPr>
          <w:cantSplit/>
        </w:trPr>
        <w:tc>
          <w:tcPr>
            <w:tcW w:type="dxa" w:w="2835"/>
            <w:shd w:val="clear" w:color="auto" w:fill="EAF1F5"/>
          </w:tcPr>
          <w:p>
            <w:pPr>
              <w:spacing w:after="40" w:line="240" w:lineRule="auto"/>
            </w:pPr>
            <w:r/>
            <w:r>
              <w:rPr>
                <w:b/>
                <w:sz w:val="18"/>
              </w:rPr>
              <w:t>Serveurs</w:t>
            </w:r>
          </w:p>
        </w:tc>
        <w:tc>
          <w:tcPr>
            <w:tcW w:type="dxa" w:w="6463"/>
            <w:shd w:val="clear" w:color="auto" w:fill="EAF1F5"/>
          </w:tcPr>
          <w:p>
            <w:pPr>
              <w:spacing w:after="40" w:line="240" w:lineRule="auto"/>
            </w:pPr>
            <w:r/>
            <w:r>
              <w:rPr>
                <w:sz w:val="18"/>
              </w:rPr>
              <w:t>≈ 250 serveurs physiques et virtuels</w:t>
            </w:r>
          </w:p>
        </w:tc>
      </w:tr>
      <w:tr>
        <w:trPr>
          <w:cantSplit/>
        </w:trPr>
        <w:tc>
          <w:tcPr>
            <w:tcW w:type="dxa" w:w="2835"/>
          </w:tcPr>
          <w:p>
            <w:pPr>
              <w:spacing w:after="40" w:line="240" w:lineRule="auto"/>
            </w:pPr>
            <w:r/>
            <w:r>
              <w:rPr>
                <w:b/>
                <w:sz w:val="18"/>
              </w:rPr>
              <w:t>Comptes à privilèges</w:t>
            </w:r>
          </w:p>
        </w:tc>
        <w:tc>
          <w:tcPr>
            <w:tcW w:type="dxa" w:w="6463"/>
          </w:tcPr>
          <w:p>
            <w:pPr>
              <w:spacing w:after="40" w:line="240" w:lineRule="auto"/>
            </w:pPr>
            <w:r/>
            <w:r>
              <w:rPr>
                <w:sz w:val="18"/>
              </w:rPr>
              <w:t>≈ 150 comptes (administrateurs, DBA, comptes de service, prestataires)</w:t>
            </w:r>
          </w:p>
        </w:tc>
      </w:tr>
    </w:tbl>
    <w:p>
      <w:pPr>
        <w:spacing w:after="40"/>
      </w:pPr>
    </w:p>
    <w:p>
      <w:pPr>
        <w:pStyle w:val="Heading1"/>
      </w:pPr>
      <w:r>
        <w:t>2. Besoins métier</w:t>
      </w:r>
    </w:p>
    <w:p>
      <w:r>
        <w:rPr>
          <w:b w:val="0"/>
          <w:i w:val="0"/>
        </w:rPr>
        <w:t>Les besoins métier expriment ce que la banque doit pouvoir faire, indépendamment des solutions techniques. Chaque exigence est identifiée (BM-xx) et priorisée selon MoSCoW (M = indispensable, S = important, C = souhaitable).</w:t>
      </w:r>
    </w:p>
    <w:p>
      <w:pPr>
        <w:pStyle w:val="Heading2"/>
      </w:pPr>
      <w:r>
        <w:t>2.1 Continuité d’activité</w:t>
      </w:r>
    </w:p>
    <w:p>
      <w:r>
        <w:rPr>
          <w:b w:val="0"/>
          <w:i w:val="0"/>
        </w:rPr>
        <w:t>Les services de paiement, de consultation de compte et de gestion de portefeuille ne peuvent subir d’interruption prolongée sans impact client et réglementaire (DORA impose la maîtrise de la résilience opérationnelle).</w:t>
      </w:r>
    </w:p>
    <w:tbl>
      <w:tblPr>
        <w:tblStyle w:val="TableGrid"/>
        <w:tblW w:type="auto" w:w="0"/>
        <w:jc w:val="center"/>
        <w:tblLayout w:type="fixed"/>
        <w:tblLook w:firstColumn="1" w:firstRow="1" w:lastColumn="0" w:lastRow="0" w:noHBand="0" w:noVBand="1" w:val="04A0"/>
        <w:tblLayout w:type="fixed"/>
      </w:tblPr>
      <w:tblGrid>
        <w:gridCol w:w="850"/>
        <w:gridCol w:w="2608"/>
        <w:gridCol w:w="4649"/>
        <w:gridCol w:w="1190"/>
      </w:tblGrid>
      <w:tr>
        <w:trPr>
          <w:tblHeader w:val="true"/>
          <w:cantSplit/>
        </w:trPr>
        <w:tc>
          <w:tcPr>
            <w:tcW w:type="dxa" w:w="850"/>
            <w:shd w:val="clear" w:color="auto" w:fill="0F4761"/>
          </w:tcPr>
          <w:p>
            <w:pPr>
              <w:spacing w:after="40" w:line="240" w:lineRule="auto"/>
            </w:pPr>
            <w:r/>
            <w:r>
              <w:rPr>
                <w:b/>
                <w:color w:val="FFFFFF"/>
                <w:sz w:val="18"/>
              </w:rPr>
              <w:t>ID</w:t>
            </w:r>
          </w:p>
        </w:tc>
        <w:tc>
          <w:tcPr>
            <w:tcW w:type="dxa" w:w="2608"/>
            <w:shd w:val="clear" w:color="auto" w:fill="0F4761"/>
          </w:tcPr>
          <w:p>
            <w:pPr>
              <w:spacing w:after="40" w:line="240" w:lineRule="auto"/>
            </w:pPr>
            <w:r/>
            <w:r>
              <w:rPr>
                <w:b/>
                <w:color w:val="FFFFFF"/>
                <w:sz w:val="18"/>
              </w:rPr>
              <w:t>Besoin</w:t>
            </w:r>
          </w:p>
        </w:tc>
        <w:tc>
          <w:tcPr>
            <w:tcW w:type="dxa" w:w="4649"/>
            <w:shd w:val="clear" w:color="auto" w:fill="0F4761"/>
          </w:tcPr>
          <w:p>
            <w:pPr>
              <w:spacing w:after="40" w:line="240" w:lineRule="auto"/>
            </w:pPr>
            <w:r/>
            <w:r>
              <w:rPr>
                <w:b/>
                <w:color w:val="FFFFFF"/>
                <w:sz w:val="18"/>
              </w:rPr>
              <w:t>Exigence mesurable</w:t>
            </w:r>
          </w:p>
        </w:tc>
        <w:tc>
          <w:tcPr>
            <w:tcW w:type="dxa" w:w="1191"/>
            <w:shd w:val="clear" w:color="auto" w:fill="0F4761"/>
          </w:tcPr>
          <w:p>
            <w:pPr>
              <w:spacing w:after="40" w:line="240" w:lineRule="auto"/>
            </w:pPr>
            <w:r/>
            <w:r>
              <w:rPr>
                <w:b/>
                <w:color w:val="FFFFFF"/>
                <w:sz w:val="18"/>
              </w:rPr>
              <w:t>Priorité</w:t>
            </w:r>
          </w:p>
        </w:tc>
      </w:tr>
      <w:tr>
        <w:trPr>
          <w:cantSplit/>
        </w:trPr>
        <w:tc>
          <w:tcPr>
            <w:tcW w:type="dxa" w:w="850"/>
          </w:tcPr>
          <w:p>
            <w:pPr>
              <w:spacing w:after="40" w:line="240" w:lineRule="auto"/>
            </w:pPr>
            <w:r/>
            <w:r>
              <w:rPr>
                <w:b/>
                <w:sz w:val="18"/>
              </w:rPr>
              <w:t>BM-01</w:t>
            </w:r>
          </w:p>
        </w:tc>
        <w:tc>
          <w:tcPr>
            <w:tcW w:type="dxa" w:w="2608"/>
          </w:tcPr>
          <w:p>
            <w:pPr>
              <w:spacing w:after="40" w:line="240" w:lineRule="auto"/>
            </w:pPr>
            <w:r/>
            <w:r>
              <w:rPr>
                <w:sz w:val="18"/>
              </w:rPr>
              <w:t>Maintenir les services bancaires critiques en cas d’incident cyber</w:t>
            </w:r>
          </w:p>
        </w:tc>
        <w:tc>
          <w:tcPr>
            <w:tcW w:type="dxa" w:w="4649"/>
          </w:tcPr>
          <w:p>
            <w:pPr>
              <w:spacing w:after="40" w:line="240" w:lineRule="auto"/>
            </w:pPr>
            <w:r/>
            <w:r>
              <w:rPr>
                <w:sz w:val="18"/>
              </w:rPr>
              <w:t>Plan de continuité (PCA) et plan de reprise (PRA) couvrant les applications critiques, testés au moins 1 fois par an</w:t>
            </w:r>
          </w:p>
        </w:tc>
        <w:tc>
          <w:tcPr>
            <w:tcW w:type="dxa" w:w="1191"/>
          </w:tcPr>
          <w:p>
            <w:pPr>
              <w:spacing w:after="40" w:line="240" w:lineRule="auto"/>
            </w:pPr>
            <w:r/>
            <w:r>
              <w:rPr>
                <w:sz w:val="18"/>
              </w:rPr>
              <w:t>M</w:t>
            </w:r>
          </w:p>
        </w:tc>
      </w:tr>
      <w:tr>
        <w:trPr>
          <w:cantSplit/>
        </w:trPr>
        <w:tc>
          <w:tcPr>
            <w:tcW w:type="dxa" w:w="850"/>
            <w:shd w:val="clear" w:color="auto" w:fill="EAF1F5"/>
          </w:tcPr>
          <w:p>
            <w:pPr>
              <w:spacing w:after="40" w:line="240" w:lineRule="auto"/>
            </w:pPr>
            <w:r/>
            <w:r>
              <w:rPr>
                <w:b/>
                <w:sz w:val="18"/>
              </w:rPr>
              <w:t>BM-02</w:t>
            </w:r>
          </w:p>
        </w:tc>
        <w:tc>
          <w:tcPr>
            <w:tcW w:type="dxa" w:w="2608"/>
            <w:shd w:val="clear" w:color="auto" w:fill="EAF1F5"/>
          </w:tcPr>
          <w:p>
            <w:pPr>
              <w:spacing w:after="40" w:line="240" w:lineRule="auto"/>
            </w:pPr>
            <w:r/>
            <w:r>
              <w:rPr>
                <w:sz w:val="18"/>
              </w:rPr>
              <w:t>Reprendre rapidement après sinistre</w:t>
            </w:r>
          </w:p>
        </w:tc>
        <w:tc>
          <w:tcPr>
            <w:tcW w:type="dxa" w:w="4649"/>
            <w:shd w:val="clear" w:color="auto" w:fill="EAF1F5"/>
          </w:tcPr>
          <w:p>
            <w:pPr>
              <w:spacing w:after="40" w:line="240" w:lineRule="auto"/>
            </w:pPr>
            <w:r/>
            <w:r>
              <w:rPr>
                <w:sz w:val="18"/>
              </w:rPr>
              <w:t>RTO ≤ 4 h et RPO ≤ 15 min pour les applications critiques (valeurs cibles à valider par les métiers)</w:t>
            </w:r>
          </w:p>
        </w:tc>
        <w:tc>
          <w:tcPr>
            <w:tcW w:type="dxa" w:w="1191"/>
            <w:shd w:val="clear" w:color="auto" w:fill="EAF1F5"/>
          </w:tcPr>
          <w:p>
            <w:pPr>
              <w:spacing w:after="40" w:line="240" w:lineRule="auto"/>
            </w:pPr>
            <w:r/>
            <w:r>
              <w:rPr>
                <w:sz w:val="18"/>
              </w:rPr>
              <w:t>M</w:t>
            </w:r>
          </w:p>
        </w:tc>
      </w:tr>
      <w:tr>
        <w:trPr>
          <w:cantSplit/>
        </w:trPr>
        <w:tc>
          <w:tcPr>
            <w:tcW w:type="dxa" w:w="850"/>
          </w:tcPr>
          <w:p>
            <w:pPr>
              <w:spacing w:after="40" w:line="240" w:lineRule="auto"/>
            </w:pPr>
            <w:r/>
            <w:r>
              <w:rPr>
                <w:b/>
                <w:sz w:val="18"/>
              </w:rPr>
              <w:t>BM-03</w:t>
            </w:r>
          </w:p>
        </w:tc>
        <w:tc>
          <w:tcPr>
            <w:tcW w:type="dxa" w:w="2608"/>
          </w:tcPr>
          <w:p>
            <w:pPr>
              <w:spacing w:after="40" w:line="240" w:lineRule="auto"/>
            </w:pPr>
            <w:r/>
            <w:r>
              <w:rPr>
                <w:sz w:val="18"/>
              </w:rPr>
              <w:t>Contenir un incident sans arrêter la banque</w:t>
            </w:r>
          </w:p>
        </w:tc>
        <w:tc>
          <w:tcPr>
            <w:tcW w:type="dxa" w:w="4649"/>
          </w:tcPr>
          <w:p>
            <w:pPr>
              <w:spacing w:after="40" w:line="240" w:lineRule="auto"/>
            </w:pPr>
            <w:r/>
            <w:r>
              <w:rPr>
                <w:sz w:val="18"/>
              </w:rPr>
              <w:t>Procédure d’isolement d’un poste/segment en &lt; 15 min sans coupure des services non concernés</w:t>
            </w:r>
          </w:p>
        </w:tc>
        <w:tc>
          <w:tcPr>
            <w:tcW w:type="dxa" w:w="1191"/>
          </w:tcPr>
          <w:p>
            <w:pPr>
              <w:spacing w:after="40" w:line="240" w:lineRule="auto"/>
            </w:pPr>
            <w:r/>
            <w:r>
              <w:rPr>
                <w:sz w:val="18"/>
              </w:rPr>
              <w:t>M</w:t>
            </w:r>
          </w:p>
        </w:tc>
      </w:tr>
      <w:tr>
        <w:trPr>
          <w:cantSplit/>
        </w:trPr>
        <w:tc>
          <w:tcPr>
            <w:tcW w:type="dxa" w:w="850"/>
            <w:shd w:val="clear" w:color="auto" w:fill="EAF1F5"/>
          </w:tcPr>
          <w:p>
            <w:pPr>
              <w:spacing w:after="40" w:line="240" w:lineRule="auto"/>
            </w:pPr>
            <w:r/>
            <w:r>
              <w:rPr>
                <w:b/>
                <w:sz w:val="18"/>
              </w:rPr>
              <w:t>BM-04</w:t>
            </w:r>
          </w:p>
        </w:tc>
        <w:tc>
          <w:tcPr>
            <w:tcW w:type="dxa" w:w="2608"/>
            <w:shd w:val="clear" w:color="auto" w:fill="EAF1F5"/>
          </w:tcPr>
          <w:p>
            <w:pPr>
              <w:spacing w:after="40" w:line="240" w:lineRule="auto"/>
            </w:pPr>
            <w:r/>
            <w:r>
              <w:rPr>
                <w:sz w:val="18"/>
              </w:rPr>
              <w:t>Gérer les départs et mobilités sans faille</w:t>
            </w:r>
          </w:p>
        </w:tc>
        <w:tc>
          <w:tcPr>
            <w:tcW w:type="dxa" w:w="4649"/>
            <w:shd w:val="clear" w:color="auto" w:fill="EAF1F5"/>
          </w:tcPr>
          <w:p>
            <w:pPr>
              <w:spacing w:after="40" w:line="240" w:lineRule="auto"/>
            </w:pPr>
            <w:r/>
            <w:r>
              <w:rPr>
                <w:sz w:val="18"/>
              </w:rPr>
              <w:t>Retrait des accès sous 24 h après un départ ; revue des droits à chaque mobilité</w:t>
            </w:r>
          </w:p>
        </w:tc>
        <w:tc>
          <w:tcPr>
            <w:tcW w:type="dxa" w:w="1191"/>
            <w:shd w:val="clear" w:color="auto" w:fill="EAF1F5"/>
          </w:tcPr>
          <w:p>
            <w:pPr>
              <w:spacing w:after="40" w:line="240" w:lineRule="auto"/>
            </w:pPr>
            <w:r/>
            <w:r>
              <w:rPr>
                <w:sz w:val="18"/>
              </w:rPr>
              <w:t>M</w:t>
            </w:r>
          </w:p>
        </w:tc>
      </w:tr>
      <w:tr>
        <w:trPr>
          <w:cantSplit/>
        </w:trPr>
        <w:tc>
          <w:tcPr>
            <w:tcW w:type="dxa" w:w="850"/>
          </w:tcPr>
          <w:p>
            <w:pPr>
              <w:spacing w:after="40" w:line="240" w:lineRule="auto"/>
            </w:pPr>
            <w:r/>
            <w:r>
              <w:rPr>
                <w:b/>
                <w:sz w:val="18"/>
              </w:rPr>
              <w:t>BM-05</w:t>
            </w:r>
          </w:p>
        </w:tc>
        <w:tc>
          <w:tcPr>
            <w:tcW w:type="dxa" w:w="2608"/>
          </w:tcPr>
          <w:p>
            <w:pPr>
              <w:spacing w:after="40" w:line="240" w:lineRule="auto"/>
            </w:pPr>
            <w:r/>
            <w:r>
              <w:rPr>
                <w:sz w:val="18"/>
              </w:rPr>
              <w:t>Produire les preuves pour les audits</w:t>
            </w:r>
          </w:p>
        </w:tc>
        <w:tc>
          <w:tcPr>
            <w:tcW w:type="dxa" w:w="4649"/>
          </w:tcPr>
          <w:p>
            <w:pPr>
              <w:spacing w:after="40" w:line="240" w:lineRule="auto"/>
            </w:pPr>
            <w:r/>
            <w:r>
              <w:rPr>
                <w:sz w:val="18"/>
              </w:rPr>
              <w:t>Journal d’audit horodaté, exportable, conservé ≥ 12 mois en ligne (rétention légale à confirmer)</w:t>
            </w:r>
          </w:p>
        </w:tc>
        <w:tc>
          <w:tcPr>
            <w:tcW w:type="dxa" w:w="1191"/>
          </w:tcPr>
          <w:p>
            <w:pPr>
              <w:spacing w:after="40" w:line="240" w:lineRule="auto"/>
            </w:pPr>
            <w:r/>
            <w:r>
              <w:rPr>
                <w:sz w:val="18"/>
              </w:rPr>
              <w:t>M</w:t>
            </w:r>
          </w:p>
        </w:tc>
      </w:tr>
    </w:tbl>
    <w:p>
      <w:pPr>
        <w:spacing w:after="40"/>
      </w:pPr>
    </w:p>
    <w:p>
      <w:pPr>
        <w:pStyle w:val="Heading2"/>
      </w:pPr>
      <w:r>
        <w:t>2.2 Mobilité</w:t>
      </w:r>
    </w:p>
    <w:p>
      <w:r>
        <w:rPr>
          <w:b w:val="0"/>
          <w:i w:val="0"/>
        </w:rPr>
        <w:t>Les conseillers, gestionnaires de patrimoine et équipes support travaillent depuis les agences, le siège et à distance. La sécurité ne doit pas dégrader l’expérience au point d’inciter à contourner les contrôles.</w:t>
      </w:r>
    </w:p>
    <w:tbl>
      <w:tblPr>
        <w:tblStyle w:val="TableGrid"/>
        <w:tblW w:type="auto" w:w="0"/>
        <w:jc w:val="center"/>
        <w:tblLayout w:type="fixed"/>
        <w:tblLook w:firstColumn="1" w:firstRow="1" w:lastColumn="0" w:lastRow="0" w:noHBand="0" w:noVBand="1" w:val="04A0"/>
        <w:tblLayout w:type="fixed"/>
      </w:tblPr>
      <w:tblGrid>
        <w:gridCol w:w="850"/>
        <w:gridCol w:w="2608"/>
        <w:gridCol w:w="4649"/>
        <w:gridCol w:w="1190"/>
      </w:tblGrid>
      <w:tr>
        <w:trPr>
          <w:tblHeader w:val="true"/>
          <w:cantSplit/>
        </w:trPr>
        <w:tc>
          <w:tcPr>
            <w:tcW w:type="dxa" w:w="850"/>
            <w:shd w:val="clear" w:color="auto" w:fill="0F4761"/>
          </w:tcPr>
          <w:p>
            <w:pPr>
              <w:spacing w:after="40" w:line="240" w:lineRule="auto"/>
            </w:pPr>
            <w:r/>
            <w:r>
              <w:rPr>
                <w:b/>
                <w:color w:val="FFFFFF"/>
                <w:sz w:val="18"/>
              </w:rPr>
              <w:t>ID</w:t>
            </w:r>
          </w:p>
        </w:tc>
        <w:tc>
          <w:tcPr>
            <w:tcW w:type="dxa" w:w="2608"/>
            <w:shd w:val="clear" w:color="auto" w:fill="0F4761"/>
          </w:tcPr>
          <w:p>
            <w:pPr>
              <w:spacing w:after="40" w:line="240" w:lineRule="auto"/>
            </w:pPr>
            <w:r/>
            <w:r>
              <w:rPr>
                <w:b/>
                <w:color w:val="FFFFFF"/>
                <w:sz w:val="18"/>
              </w:rPr>
              <w:t>Besoin</w:t>
            </w:r>
          </w:p>
        </w:tc>
        <w:tc>
          <w:tcPr>
            <w:tcW w:type="dxa" w:w="4649"/>
            <w:shd w:val="clear" w:color="auto" w:fill="0F4761"/>
          </w:tcPr>
          <w:p>
            <w:pPr>
              <w:spacing w:after="40" w:line="240" w:lineRule="auto"/>
            </w:pPr>
            <w:r/>
            <w:r>
              <w:rPr>
                <w:b/>
                <w:color w:val="FFFFFF"/>
                <w:sz w:val="18"/>
              </w:rPr>
              <w:t>Exigence mesurable</w:t>
            </w:r>
          </w:p>
        </w:tc>
        <w:tc>
          <w:tcPr>
            <w:tcW w:type="dxa" w:w="1191"/>
            <w:shd w:val="clear" w:color="auto" w:fill="0F4761"/>
          </w:tcPr>
          <w:p>
            <w:pPr>
              <w:spacing w:after="40" w:line="240" w:lineRule="auto"/>
            </w:pPr>
            <w:r/>
            <w:r>
              <w:rPr>
                <w:b/>
                <w:color w:val="FFFFFF"/>
                <w:sz w:val="18"/>
              </w:rPr>
              <w:t>Priorité</w:t>
            </w:r>
          </w:p>
        </w:tc>
      </w:tr>
      <w:tr>
        <w:trPr>
          <w:cantSplit/>
        </w:trPr>
        <w:tc>
          <w:tcPr>
            <w:tcW w:type="dxa" w:w="850"/>
          </w:tcPr>
          <w:p>
            <w:pPr>
              <w:spacing w:after="40" w:line="240" w:lineRule="auto"/>
            </w:pPr>
            <w:r/>
            <w:r>
              <w:rPr>
                <w:b/>
                <w:sz w:val="18"/>
              </w:rPr>
              <w:t>BM-06</w:t>
            </w:r>
          </w:p>
        </w:tc>
        <w:tc>
          <w:tcPr>
            <w:tcW w:type="dxa" w:w="2608"/>
          </w:tcPr>
          <w:p>
            <w:pPr>
              <w:spacing w:after="40" w:line="240" w:lineRule="auto"/>
            </w:pPr>
            <w:r/>
            <w:r>
              <w:rPr>
                <w:sz w:val="18"/>
              </w:rPr>
              <w:t>Accès distant sécurisé aux applications métier</w:t>
            </w:r>
          </w:p>
        </w:tc>
        <w:tc>
          <w:tcPr>
            <w:tcW w:type="dxa" w:w="4649"/>
          </w:tcPr>
          <w:p>
            <w:pPr>
              <w:spacing w:after="40" w:line="240" w:lineRule="auto"/>
            </w:pPr>
            <w:r/>
            <w:r>
              <w:rPr>
                <w:sz w:val="18"/>
              </w:rPr>
              <w:t>Accès via VPN/ZTNA avec MFA obligatoire ; aucun accès direct non authentifié</w:t>
            </w:r>
          </w:p>
        </w:tc>
        <w:tc>
          <w:tcPr>
            <w:tcW w:type="dxa" w:w="1191"/>
          </w:tcPr>
          <w:p>
            <w:pPr>
              <w:spacing w:after="40" w:line="240" w:lineRule="auto"/>
            </w:pPr>
            <w:r/>
            <w:r>
              <w:rPr>
                <w:sz w:val="18"/>
              </w:rPr>
              <w:t>M</w:t>
            </w:r>
          </w:p>
        </w:tc>
      </w:tr>
      <w:tr>
        <w:trPr>
          <w:cantSplit/>
        </w:trPr>
        <w:tc>
          <w:tcPr>
            <w:tcW w:type="dxa" w:w="850"/>
            <w:shd w:val="clear" w:color="auto" w:fill="EAF1F5"/>
          </w:tcPr>
          <w:p>
            <w:pPr>
              <w:spacing w:after="40" w:line="240" w:lineRule="auto"/>
            </w:pPr>
            <w:r/>
            <w:r>
              <w:rPr>
                <w:b/>
                <w:sz w:val="18"/>
              </w:rPr>
              <w:t>BM-07</w:t>
            </w:r>
          </w:p>
        </w:tc>
        <w:tc>
          <w:tcPr>
            <w:tcW w:type="dxa" w:w="2608"/>
            <w:shd w:val="clear" w:color="auto" w:fill="EAF1F5"/>
          </w:tcPr>
          <w:p>
            <w:pPr>
              <w:spacing w:after="40" w:line="240" w:lineRule="auto"/>
            </w:pPr>
            <w:r/>
            <w:r>
              <w:rPr>
                <w:sz w:val="18"/>
              </w:rPr>
              <w:t>Authentification simple pour l’utilisateur</w:t>
            </w:r>
          </w:p>
        </w:tc>
        <w:tc>
          <w:tcPr>
            <w:tcW w:type="dxa" w:w="4649"/>
            <w:shd w:val="clear" w:color="auto" w:fill="EAF1F5"/>
          </w:tcPr>
          <w:p>
            <w:pPr>
              <w:spacing w:after="40" w:line="240" w:lineRule="auto"/>
            </w:pPr>
            <w:r/>
            <w:r>
              <w:rPr>
                <w:sz w:val="18"/>
              </w:rPr>
              <w:t>Connexion unique (SSO) sur les applications compatibles ; MFA sans friction (notification/biométrie) ; satisfaction &gt; 80 %</w:t>
            </w:r>
          </w:p>
        </w:tc>
        <w:tc>
          <w:tcPr>
            <w:tcW w:type="dxa" w:w="1191"/>
            <w:shd w:val="clear" w:color="auto" w:fill="EAF1F5"/>
          </w:tcPr>
          <w:p>
            <w:pPr>
              <w:spacing w:after="40" w:line="240" w:lineRule="auto"/>
            </w:pPr>
            <w:r/>
            <w:r>
              <w:rPr>
                <w:sz w:val="18"/>
              </w:rPr>
              <w:t>S</w:t>
            </w:r>
          </w:p>
        </w:tc>
      </w:tr>
      <w:tr>
        <w:trPr>
          <w:cantSplit/>
        </w:trPr>
        <w:tc>
          <w:tcPr>
            <w:tcW w:type="dxa" w:w="850"/>
          </w:tcPr>
          <w:p>
            <w:pPr>
              <w:spacing w:after="40" w:line="240" w:lineRule="auto"/>
            </w:pPr>
            <w:r/>
            <w:r>
              <w:rPr>
                <w:b/>
                <w:sz w:val="18"/>
              </w:rPr>
              <w:t>BM-08</w:t>
            </w:r>
          </w:p>
        </w:tc>
        <w:tc>
          <w:tcPr>
            <w:tcW w:type="dxa" w:w="2608"/>
          </w:tcPr>
          <w:p>
            <w:pPr>
              <w:spacing w:after="40" w:line="240" w:lineRule="auto"/>
            </w:pPr>
            <w:r/>
            <w:r>
              <w:rPr>
                <w:sz w:val="18"/>
              </w:rPr>
              <w:t>Travail depuis un poste ou mobile maîtrisé</w:t>
            </w:r>
          </w:p>
        </w:tc>
        <w:tc>
          <w:tcPr>
            <w:tcW w:type="dxa" w:w="4649"/>
          </w:tcPr>
          <w:p>
            <w:pPr>
              <w:spacing w:after="40" w:line="240" w:lineRule="auto"/>
            </w:pPr>
            <w:r/>
            <w:r>
              <w:rPr>
                <w:sz w:val="18"/>
              </w:rPr>
              <w:t>Accès conditionnel selon l’état du poste (chiffré, patché, EDR actif) ; mobiles gérés par MDM</w:t>
            </w:r>
          </w:p>
        </w:tc>
        <w:tc>
          <w:tcPr>
            <w:tcW w:type="dxa" w:w="1191"/>
          </w:tcPr>
          <w:p>
            <w:pPr>
              <w:spacing w:after="40" w:line="240" w:lineRule="auto"/>
            </w:pPr>
            <w:r/>
            <w:r>
              <w:rPr>
                <w:sz w:val="18"/>
              </w:rPr>
              <w:t>S</w:t>
            </w:r>
          </w:p>
        </w:tc>
      </w:tr>
      <w:tr>
        <w:trPr>
          <w:cantSplit/>
        </w:trPr>
        <w:tc>
          <w:tcPr>
            <w:tcW w:type="dxa" w:w="850"/>
            <w:shd w:val="clear" w:color="auto" w:fill="EAF1F5"/>
          </w:tcPr>
          <w:p>
            <w:pPr>
              <w:spacing w:after="40" w:line="240" w:lineRule="auto"/>
            </w:pPr>
            <w:r/>
            <w:r>
              <w:rPr>
                <w:b/>
                <w:sz w:val="18"/>
              </w:rPr>
              <w:t>BM-09</w:t>
            </w:r>
          </w:p>
        </w:tc>
        <w:tc>
          <w:tcPr>
            <w:tcW w:type="dxa" w:w="2608"/>
            <w:shd w:val="clear" w:color="auto" w:fill="EAF1F5"/>
          </w:tcPr>
          <w:p>
            <w:pPr>
              <w:spacing w:after="40" w:line="240" w:lineRule="auto"/>
            </w:pPr>
            <w:r/>
            <w:r>
              <w:rPr>
                <w:sz w:val="18"/>
              </w:rPr>
              <w:t>Accès des prestataires encadré</w:t>
            </w:r>
          </w:p>
        </w:tc>
        <w:tc>
          <w:tcPr>
            <w:tcW w:type="dxa" w:w="4649"/>
            <w:shd w:val="clear" w:color="auto" w:fill="EAF1F5"/>
          </w:tcPr>
          <w:p>
            <w:pPr>
              <w:spacing w:after="40" w:line="240" w:lineRule="auto"/>
            </w:pPr>
            <w:r/>
            <w:r>
              <w:rPr>
                <w:sz w:val="18"/>
              </w:rPr>
              <w:t>Comptes nominatifs temporaires, accès tracés et expirant automatiquement</w:t>
            </w:r>
          </w:p>
        </w:tc>
        <w:tc>
          <w:tcPr>
            <w:tcW w:type="dxa" w:w="1191"/>
            <w:shd w:val="clear" w:color="auto" w:fill="EAF1F5"/>
          </w:tcPr>
          <w:p>
            <w:pPr>
              <w:spacing w:after="40" w:line="240" w:lineRule="auto"/>
            </w:pPr>
            <w:r/>
            <w:r>
              <w:rPr>
                <w:sz w:val="18"/>
              </w:rPr>
              <w:t>M</w:t>
            </w:r>
          </w:p>
        </w:tc>
      </w:tr>
    </w:tbl>
    <w:p>
      <w:pPr>
        <w:spacing w:after="40"/>
      </w:pPr>
    </w:p>
    <w:p>
      <w:pPr>
        <w:pStyle w:val="Heading2"/>
      </w:pPr>
      <w:r>
        <w:t>2.3 Disponibilité</w:t>
      </w:r>
    </w:p>
    <w:tbl>
      <w:tblPr>
        <w:tblStyle w:val="TableGrid"/>
        <w:tblW w:type="auto" w:w="0"/>
        <w:jc w:val="center"/>
        <w:tblLayout w:type="fixed"/>
        <w:tblLook w:firstColumn="1" w:firstRow="1" w:lastColumn="0" w:lastRow="0" w:noHBand="0" w:noVBand="1" w:val="04A0"/>
        <w:tblLayout w:type="fixed"/>
      </w:tblPr>
      <w:tblGrid>
        <w:gridCol w:w="850"/>
        <w:gridCol w:w="2608"/>
        <w:gridCol w:w="4649"/>
        <w:gridCol w:w="1190"/>
      </w:tblGrid>
      <w:tr>
        <w:trPr>
          <w:tblHeader w:val="true"/>
          <w:cantSplit/>
        </w:trPr>
        <w:tc>
          <w:tcPr>
            <w:tcW w:type="dxa" w:w="850"/>
            <w:shd w:val="clear" w:color="auto" w:fill="0F4761"/>
          </w:tcPr>
          <w:p>
            <w:pPr>
              <w:spacing w:after="40" w:line="240" w:lineRule="auto"/>
            </w:pPr>
            <w:r/>
            <w:r>
              <w:rPr>
                <w:b/>
                <w:color w:val="FFFFFF"/>
                <w:sz w:val="18"/>
              </w:rPr>
              <w:t>ID</w:t>
            </w:r>
          </w:p>
        </w:tc>
        <w:tc>
          <w:tcPr>
            <w:tcW w:type="dxa" w:w="2608"/>
            <w:shd w:val="clear" w:color="auto" w:fill="0F4761"/>
          </w:tcPr>
          <w:p>
            <w:pPr>
              <w:spacing w:after="40" w:line="240" w:lineRule="auto"/>
            </w:pPr>
            <w:r/>
            <w:r>
              <w:rPr>
                <w:b/>
                <w:color w:val="FFFFFF"/>
                <w:sz w:val="18"/>
              </w:rPr>
              <w:t>Besoin</w:t>
            </w:r>
          </w:p>
        </w:tc>
        <w:tc>
          <w:tcPr>
            <w:tcW w:type="dxa" w:w="4649"/>
            <w:shd w:val="clear" w:color="auto" w:fill="0F4761"/>
          </w:tcPr>
          <w:p>
            <w:pPr>
              <w:spacing w:after="40" w:line="240" w:lineRule="auto"/>
            </w:pPr>
            <w:r/>
            <w:r>
              <w:rPr>
                <w:b/>
                <w:color w:val="FFFFFF"/>
                <w:sz w:val="18"/>
              </w:rPr>
              <w:t>Exigence mesurable</w:t>
            </w:r>
          </w:p>
        </w:tc>
        <w:tc>
          <w:tcPr>
            <w:tcW w:type="dxa" w:w="1191"/>
            <w:shd w:val="clear" w:color="auto" w:fill="0F4761"/>
          </w:tcPr>
          <w:p>
            <w:pPr>
              <w:spacing w:after="40" w:line="240" w:lineRule="auto"/>
            </w:pPr>
            <w:r/>
            <w:r>
              <w:rPr>
                <w:b/>
                <w:color w:val="FFFFFF"/>
                <w:sz w:val="18"/>
              </w:rPr>
              <w:t>Priorité</w:t>
            </w:r>
          </w:p>
        </w:tc>
      </w:tr>
      <w:tr>
        <w:trPr>
          <w:cantSplit/>
        </w:trPr>
        <w:tc>
          <w:tcPr>
            <w:tcW w:type="dxa" w:w="850"/>
          </w:tcPr>
          <w:p>
            <w:pPr>
              <w:spacing w:after="40" w:line="240" w:lineRule="auto"/>
            </w:pPr>
            <w:r/>
            <w:r>
              <w:rPr>
                <w:b/>
                <w:sz w:val="18"/>
              </w:rPr>
              <w:t>BM-10</w:t>
            </w:r>
          </w:p>
        </w:tc>
        <w:tc>
          <w:tcPr>
            <w:tcW w:type="dxa" w:w="2608"/>
          </w:tcPr>
          <w:p>
            <w:pPr>
              <w:spacing w:after="40" w:line="240" w:lineRule="auto"/>
            </w:pPr>
            <w:r/>
            <w:r>
              <w:rPr>
                <w:sz w:val="18"/>
              </w:rPr>
              <w:t>Disponibilité des applications critiques</w:t>
            </w:r>
          </w:p>
        </w:tc>
        <w:tc>
          <w:tcPr>
            <w:tcW w:type="dxa" w:w="4649"/>
          </w:tcPr>
          <w:p>
            <w:pPr>
              <w:spacing w:after="40" w:line="240" w:lineRule="auto"/>
            </w:pPr>
            <w:r/>
            <w:r>
              <w:rPr>
                <w:sz w:val="18"/>
              </w:rPr>
              <w:t>≥ 99,9 % en heures ouvrées ; fenêtres de maintenance planifiées hors pics (fin de mois, clôtures)</w:t>
            </w:r>
          </w:p>
        </w:tc>
        <w:tc>
          <w:tcPr>
            <w:tcW w:type="dxa" w:w="1191"/>
          </w:tcPr>
          <w:p>
            <w:pPr>
              <w:spacing w:after="40" w:line="240" w:lineRule="auto"/>
            </w:pPr>
            <w:r/>
            <w:r>
              <w:rPr>
                <w:sz w:val="18"/>
              </w:rPr>
              <w:t>M</w:t>
            </w:r>
          </w:p>
        </w:tc>
      </w:tr>
      <w:tr>
        <w:trPr>
          <w:cantSplit/>
        </w:trPr>
        <w:tc>
          <w:tcPr>
            <w:tcW w:type="dxa" w:w="850"/>
            <w:shd w:val="clear" w:color="auto" w:fill="EAF1F5"/>
          </w:tcPr>
          <w:p>
            <w:pPr>
              <w:spacing w:after="40" w:line="240" w:lineRule="auto"/>
            </w:pPr>
            <w:r/>
            <w:r>
              <w:rPr>
                <w:b/>
                <w:sz w:val="18"/>
              </w:rPr>
              <w:t>BM-11</w:t>
            </w:r>
          </w:p>
        </w:tc>
        <w:tc>
          <w:tcPr>
            <w:tcW w:type="dxa" w:w="2608"/>
            <w:shd w:val="clear" w:color="auto" w:fill="EAF1F5"/>
          </w:tcPr>
          <w:p>
            <w:pPr>
              <w:spacing w:after="40" w:line="240" w:lineRule="auto"/>
            </w:pPr>
            <w:r/>
            <w:r>
              <w:rPr>
                <w:sz w:val="18"/>
              </w:rPr>
              <w:t>Disponibilité de l’authentification</w:t>
            </w:r>
          </w:p>
        </w:tc>
        <w:tc>
          <w:tcPr>
            <w:tcW w:type="dxa" w:w="4649"/>
            <w:shd w:val="clear" w:color="auto" w:fill="EAF1F5"/>
          </w:tcPr>
          <w:p>
            <w:pPr>
              <w:spacing w:after="40" w:line="240" w:lineRule="auto"/>
            </w:pPr>
            <w:r/>
            <w:r>
              <w:rPr>
                <w:sz w:val="18"/>
              </w:rPr>
              <w:t>Service IAM/MFA en haute disponibilité ; mode dégradé documenté (codes de secours) ; pas de point de défaillance unique</w:t>
            </w:r>
          </w:p>
        </w:tc>
        <w:tc>
          <w:tcPr>
            <w:tcW w:type="dxa" w:w="1191"/>
            <w:shd w:val="clear" w:color="auto" w:fill="EAF1F5"/>
          </w:tcPr>
          <w:p>
            <w:pPr>
              <w:spacing w:after="40" w:line="240" w:lineRule="auto"/>
            </w:pPr>
            <w:r/>
            <w:r>
              <w:rPr>
                <w:sz w:val="18"/>
              </w:rPr>
              <w:t>M</w:t>
            </w:r>
          </w:p>
        </w:tc>
      </w:tr>
      <w:tr>
        <w:trPr>
          <w:cantSplit/>
        </w:trPr>
        <w:tc>
          <w:tcPr>
            <w:tcW w:type="dxa" w:w="850"/>
          </w:tcPr>
          <w:p>
            <w:pPr>
              <w:spacing w:after="40" w:line="240" w:lineRule="auto"/>
            </w:pPr>
            <w:r/>
            <w:r>
              <w:rPr>
                <w:b/>
                <w:sz w:val="18"/>
              </w:rPr>
              <w:t>BM-12</w:t>
            </w:r>
          </w:p>
        </w:tc>
        <w:tc>
          <w:tcPr>
            <w:tcW w:type="dxa" w:w="2608"/>
          </w:tcPr>
          <w:p>
            <w:pPr>
              <w:spacing w:after="40" w:line="240" w:lineRule="auto"/>
            </w:pPr>
            <w:r/>
            <w:r>
              <w:rPr>
                <w:sz w:val="18"/>
              </w:rPr>
              <w:t>Disponibilité de la supervision</w:t>
            </w:r>
          </w:p>
        </w:tc>
        <w:tc>
          <w:tcPr>
            <w:tcW w:type="dxa" w:w="4649"/>
          </w:tcPr>
          <w:p>
            <w:pPr>
              <w:spacing w:after="40" w:line="240" w:lineRule="auto"/>
            </w:pPr>
            <w:r/>
            <w:r>
              <w:rPr>
                <w:sz w:val="18"/>
              </w:rPr>
              <w:t>SOC : couverture 24/7 cible ou plage horaire définie contractuellement (voir §4.3)</w:t>
            </w:r>
          </w:p>
        </w:tc>
        <w:tc>
          <w:tcPr>
            <w:tcW w:type="dxa" w:w="1191"/>
          </w:tcPr>
          <w:p>
            <w:pPr>
              <w:spacing w:after="40" w:line="240" w:lineRule="auto"/>
            </w:pPr>
            <w:r/>
            <w:r>
              <w:rPr>
                <w:sz w:val="18"/>
              </w:rPr>
              <w:t>M</w:t>
            </w:r>
          </w:p>
        </w:tc>
      </w:tr>
      <w:tr>
        <w:trPr>
          <w:cantSplit/>
        </w:trPr>
        <w:tc>
          <w:tcPr>
            <w:tcW w:type="dxa" w:w="850"/>
            <w:shd w:val="clear" w:color="auto" w:fill="EAF1F5"/>
          </w:tcPr>
          <w:p>
            <w:pPr>
              <w:spacing w:after="40" w:line="240" w:lineRule="auto"/>
            </w:pPr>
            <w:r/>
            <w:r>
              <w:rPr>
                <w:b/>
                <w:sz w:val="18"/>
              </w:rPr>
              <w:t>BM-13</w:t>
            </w:r>
          </w:p>
        </w:tc>
        <w:tc>
          <w:tcPr>
            <w:tcW w:type="dxa" w:w="2608"/>
            <w:shd w:val="clear" w:color="auto" w:fill="EAF1F5"/>
          </w:tcPr>
          <w:p>
            <w:pPr>
              <w:spacing w:after="40" w:line="240" w:lineRule="auto"/>
            </w:pPr>
            <w:r/>
            <w:r>
              <w:rPr>
                <w:sz w:val="18"/>
              </w:rPr>
              <w:t>Déploiement sans interruption de service</w:t>
            </w:r>
          </w:p>
        </w:tc>
        <w:tc>
          <w:tcPr>
            <w:tcW w:type="dxa" w:w="4649"/>
            <w:shd w:val="clear" w:color="auto" w:fill="EAF1F5"/>
          </w:tcPr>
          <w:p>
            <w:pPr>
              <w:spacing w:after="40" w:line="240" w:lineRule="auto"/>
            </w:pPr>
            <w:r/>
            <w:r>
              <w:rPr>
                <w:sz w:val="18"/>
              </w:rPr>
              <w:t>Migrations par vagues, avec plan de retour arrière pour chaque vague</w:t>
            </w:r>
          </w:p>
        </w:tc>
        <w:tc>
          <w:tcPr>
            <w:tcW w:type="dxa" w:w="1191"/>
            <w:shd w:val="clear" w:color="auto" w:fill="EAF1F5"/>
          </w:tcPr>
          <w:p>
            <w:pPr>
              <w:spacing w:after="40" w:line="240" w:lineRule="auto"/>
            </w:pPr>
            <w:r/>
            <w:r>
              <w:rPr>
                <w:sz w:val="18"/>
              </w:rPr>
              <w:t>S</w:t>
            </w:r>
          </w:p>
        </w:tc>
      </w:tr>
    </w:tbl>
    <w:p>
      <w:pPr>
        <w:spacing w:after="40"/>
      </w:pPr>
    </w:p>
    <w:p>
      <w:pPr>
        <w:pStyle w:val="Heading1"/>
      </w:pPr>
      <w:r>
        <w:t>3. Besoins techniques</w:t>
      </w:r>
    </w:p>
    <w:p>
      <w:pPr>
        <w:pStyle w:val="Heading2"/>
      </w:pPr>
      <w:r>
        <w:t>3.1 Réseau</w:t>
      </w:r>
    </w:p>
    <w:tbl>
      <w:tblPr>
        <w:tblStyle w:val="TableGrid"/>
        <w:tblW w:type="auto" w:w="0"/>
        <w:jc w:val="center"/>
        <w:tblLayout w:type="fixed"/>
        <w:tblLook w:firstColumn="1" w:firstRow="1" w:lastColumn="0" w:lastRow="0" w:noHBand="0" w:noVBand="1" w:val="04A0"/>
        <w:tblLayout w:type="fixed"/>
      </w:tblPr>
      <w:tblGrid>
        <w:gridCol w:w="850"/>
        <w:gridCol w:w="2381"/>
        <w:gridCol w:w="6066"/>
      </w:tblGrid>
      <w:tr>
        <w:trPr>
          <w:tblHeader w:val="true"/>
          <w:cantSplit/>
        </w:trPr>
        <w:tc>
          <w:tcPr>
            <w:tcW w:type="dxa" w:w="850"/>
            <w:shd w:val="clear" w:color="auto" w:fill="0F4761"/>
          </w:tcPr>
          <w:p>
            <w:pPr>
              <w:spacing w:after="40" w:line="240" w:lineRule="auto"/>
            </w:pPr>
            <w:r/>
            <w:r>
              <w:rPr>
                <w:b/>
                <w:color w:val="FFFFFF"/>
                <w:sz w:val="18"/>
              </w:rPr>
              <w:t>ID</w:t>
            </w:r>
          </w:p>
        </w:tc>
        <w:tc>
          <w:tcPr>
            <w:tcW w:type="dxa" w:w="2381"/>
            <w:shd w:val="clear" w:color="auto" w:fill="0F4761"/>
          </w:tcPr>
          <w:p>
            <w:pPr>
              <w:spacing w:after="40" w:line="240" w:lineRule="auto"/>
            </w:pPr>
            <w:r/>
            <w:r>
              <w:rPr>
                <w:b/>
                <w:color w:val="FFFFFF"/>
                <w:sz w:val="18"/>
              </w:rPr>
              <w:t>Besoin</w:t>
            </w:r>
          </w:p>
        </w:tc>
        <w:tc>
          <w:tcPr>
            <w:tcW w:type="dxa" w:w="6066"/>
            <w:shd w:val="clear" w:color="auto" w:fill="0F4761"/>
          </w:tcPr>
          <w:p>
            <w:pPr>
              <w:spacing w:after="40" w:line="240" w:lineRule="auto"/>
            </w:pPr>
            <w:r/>
            <w:r>
              <w:rPr>
                <w:b/>
                <w:color w:val="FFFFFF"/>
                <w:sz w:val="18"/>
              </w:rPr>
              <w:t>Exigence</w:t>
            </w:r>
          </w:p>
        </w:tc>
      </w:tr>
      <w:tr>
        <w:trPr>
          <w:cantSplit/>
        </w:trPr>
        <w:tc>
          <w:tcPr>
            <w:tcW w:type="dxa" w:w="850"/>
          </w:tcPr>
          <w:p>
            <w:pPr>
              <w:spacing w:after="40" w:line="240" w:lineRule="auto"/>
            </w:pPr>
            <w:r/>
            <w:r>
              <w:rPr>
                <w:b/>
                <w:sz w:val="18"/>
              </w:rPr>
              <w:t>BT-01</w:t>
            </w:r>
          </w:p>
        </w:tc>
        <w:tc>
          <w:tcPr>
            <w:tcW w:type="dxa" w:w="2381"/>
          </w:tcPr>
          <w:p>
            <w:pPr>
              <w:spacing w:after="40" w:line="240" w:lineRule="auto"/>
            </w:pPr>
            <w:r/>
            <w:r>
              <w:rPr>
                <w:sz w:val="18"/>
              </w:rPr>
              <w:t>Cartographie et inventaire</w:t>
            </w:r>
          </w:p>
        </w:tc>
        <w:tc>
          <w:tcPr>
            <w:tcW w:type="dxa" w:w="6066"/>
          </w:tcPr>
          <w:p>
            <w:pPr>
              <w:spacing w:after="40" w:line="240" w:lineRule="auto"/>
            </w:pPr>
            <w:r/>
            <w:r>
              <w:rPr>
                <w:sz w:val="18"/>
              </w:rPr>
              <w:t>Inventaire des flux et des équipements réseau (matrice de flux à jour) avant toute segmentation</w:t>
            </w:r>
          </w:p>
        </w:tc>
      </w:tr>
      <w:tr>
        <w:trPr>
          <w:cantSplit/>
        </w:trPr>
        <w:tc>
          <w:tcPr>
            <w:tcW w:type="dxa" w:w="850"/>
            <w:shd w:val="clear" w:color="auto" w:fill="EAF1F5"/>
          </w:tcPr>
          <w:p>
            <w:pPr>
              <w:spacing w:after="40" w:line="240" w:lineRule="auto"/>
            </w:pPr>
            <w:r/>
            <w:r>
              <w:rPr>
                <w:b/>
                <w:sz w:val="18"/>
              </w:rPr>
              <w:t>BT-02</w:t>
            </w:r>
          </w:p>
        </w:tc>
        <w:tc>
          <w:tcPr>
            <w:tcW w:type="dxa" w:w="2381"/>
            <w:shd w:val="clear" w:color="auto" w:fill="EAF1F5"/>
          </w:tcPr>
          <w:p>
            <w:pPr>
              <w:spacing w:after="40" w:line="240" w:lineRule="auto"/>
            </w:pPr>
            <w:r/>
            <w:r>
              <w:rPr>
                <w:sz w:val="18"/>
              </w:rPr>
              <w:t>Segmentation en zones</w:t>
            </w:r>
          </w:p>
        </w:tc>
        <w:tc>
          <w:tcPr>
            <w:tcW w:type="dxa" w:w="6066"/>
            <w:shd w:val="clear" w:color="auto" w:fill="EAF1F5"/>
          </w:tcPr>
          <w:p>
            <w:pPr>
              <w:spacing w:after="40" w:line="240" w:lineRule="auto"/>
            </w:pPr>
            <w:r/>
            <w:r>
              <w:rPr>
                <w:sz w:val="18"/>
              </w:rPr>
              <w:t>Séparation au minimum : postes utilisateurs, serveurs applicatifs bancaires, administration, DMZ, partenaires/prestataires, invités</w:t>
            </w:r>
          </w:p>
        </w:tc>
      </w:tr>
      <w:tr>
        <w:trPr>
          <w:cantSplit/>
        </w:trPr>
        <w:tc>
          <w:tcPr>
            <w:tcW w:type="dxa" w:w="850"/>
          </w:tcPr>
          <w:p>
            <w:pPr>
              <w:spacing w:after="40" w:line="240" w:lineRule="auto"/>
            </w:pPr>
            <w:r/>
            <w:r>
              <w:rPr>
                <w:b/>
                <w:sz w:val="18"/>
              </w:rPr>
              <w:t>BT-03</w:t>
            </w:r>
          </w:p>
        </w:tc>
        <w:tc>
          <w:tcPr>
            <w:tcW w:type="dxa" w:w="2381"/>
          </w:tcPr>
          <w:p>
            <w:pPr>
              <w:spacing w:after="40" w:line="240" w:lineRule="auto"/>
            </w:pPr>
            <w:r/>
            <w:r>
              <w:rPr>
                <w:sz w:val="18"/>
              </w:rPr>
              <w:t>Filtrage inter-zones</w:t>
            </w:r>
          </w:p>
        </w:tc>
        <w:tc>
          <w:tcPr>
            <w:tcW w:type="dxa" w:w="6066"/>
          </w:tcPr>
          <w:p>
            <w:pPr>
              <w:spacing w:after="40" w:line="240" w:lineRule="auto"/>
            </w:pPr>
            <w:r/>
            <w:r>
              <w:rPr>
                <w:sz w:val="18"/>
              </w:rPr>
              <w:t>Pare-feu nouvelle génération avec règles en « refus par défaut » ; journalisation de tous les refus et des flux sensibles</w:t>
            </w:r>
          </w:p>
        </w:tc>
      </w:tr>
      <w:tr>
        <w:trPr>
          <w:cantSplit/>
        </w:trPr>
        <w:tc>
          <w:tcPr>
            <w:tcW w:type="dxa" w:w="850"/>
            <w:shd w:val="clear" w:color="auto" w:fill="EAF1F5"/>
          </w:tcPr>
          <w:p>
            <w:pPr>
              <w:spacing w:after="40" w:line="240" w:lineRule="auto"/>
            </w:pPr>
            <w:r/>
            <w:r>
              <w:rPr>
                <w:b/>
                <w:sz w:val="18"/>
              </w:rPr>
              <w:t>BT-04</w:t>
            </w:r>
          </w:p>
        </w:tc>
        <w:tc>
          <w:tcPr>
            <w:tcW w:type="dxa" w:w="2381"/>
            <w:shd w:val="clear" w:color="auto" w:fill="EAF1F5"/>
          </w:tcPr>
          <w:p>
            <w:pPr>
              <w:spacing w:after="40" w:line="240" w:lineRule="auto"/>
            </w:pPr>
            <w:r/>
            <w:r>
              <w:rPr>
                <w:sz w:val="18"/>
              </w:rPr>
              <w:t>Accès distant</w:t>
            </w:r>
          </w:p>
        </w:tc>
        <w:tc>
          <w:tcPr>
            <w:tcW w:type="dxa" w:w="6066"/>
            <w:shd w:val="clear" w:color="auto" w:fill="EAF1F5"/>
          </w:tcPr>
          <w:p>
            <w:pPr>
              <w:spacing w:after="40" w:line="240" w:lineRule="auto"/>
            </w:pPr>
            <w:r/>
            <w:r>
              <w:rPr>
                <w:sz w:val="18"/>
              </w:rPr>
              <w:t>Remplacement des accès VPN simples par un accès avec MFA et contrôle de conformité du poste</w:t>
            </w:r>
          </w:p>
        </w:tc>
      </w:tr>
      <w:tr>
        <w:trPr>
          <w:cantSplit/>
        </w:trPr>
        <w:tc>
          <w:tcPr>
            <w:tcW w:type="dxa" w:w="850"/>
          </w:tcPr>
          <w:p>
            <w:pPr>
              <w:spacing w:after="40" w:line="240" w:lineRule="auto"/>
            </w:pPr>
            <w:r/>
            <w:r>
              <w:rPr>
                <w:b/>
                <w:sz w:val="18"/>
              </w:rPr>
              <w:t>BT-05</w:t>
            </w:r>
          </w:p>
        </w:tc>
        <w:tc>
          <w:tcPr>
            <w:tcW w:type="dxa" w:w="2381"/>
          </w:tcPr>
          <w:p>
            <w:pPr>
              <w:spacing w:after="40" w:line="240" w:lineRule="auto"/>
            </w:pPr>
            <w:r/>
            <w:r>
              <w:rPr>
                <w:sz w:val="18"/>
              </w:rPr>
              <w:t>Résilience des liens</w:t>
            </w:r>
          </w:p>
        </w:tc>
        <w:tc>
          <w:tcPr>
            <w:tcW w:type="dxa" w:w="6066"/>
          </w:tcPr>
          <w:p>
            <w:pPr>
              <w:spacing w:after="40" w:line="240" w:lineRule="auto"/>
            </w:pPr>
            <w:r/>
            <w:r>
              <w:rPr>
                <w:sz w:val="18"/>
              </w:rPr>
              <w:t>Redondance des liens et équipements critiques entre datacenter principal et site de secours</w:t>
            </w:r>
          </w:p>
        </w:tc>
      </w:tr>
    </w:tbl>
    <w:p>
      <w:pPr>
        <w:spacing w:after="40"/>
      </w:pPr>
    </w:p>
    <w:p>
      <w:pPr>
        <w:pStyle w:val="Heading2"/>
      </w:pPr>
      <w:r>
        <w:t>3.2 Serveurs et postes</w:t>
      </w:r>
    </w:p>
    <w:tbl>
      <w:tblPr>
        <w:tblStyle w:val="TableGrid"/>
        <w:tblW w:type="auto" w:w="0"/>
        <w:jc w:val="center"/>
        <w:tblLayout w:type="fixed"/>
        <w:tblLook w:firstColumn="1" w:firstRow="1" w:lastColumn="0" w:lastRow="0" w:noHBand="0" w:noVBand="1" w:val="04A0"/>
        <w:tblLayout w:type="fixed"/>
      </w:tblPr>
      <w:tblGrid>
        <w:gridCol w:w="850"/>
        <w:gridCol w:w="2381"/>
        <w:gridCol w:w="6066"/>
      </w:tblGrid>
      <w:tr>
        <w:trPr>
          <w:tblHeader w:val="true"/>
          <w:cantSplit/>
        </w:trPr>
        <w:tc>
          <w:tcPr>
            <w:tcW w:type="dxa" w:w="850"/>
            <w:shd w:val="clear" w:color="auto" w:fill="0F4761"/>
          </w:tcPr>
          <w:p>
            <w:pPr>
              <w:spacing w:after="40" w:line="240" w:lineRule="auto"/>
            </w:pPr>
            <w:r/>
            <w:r>
              <w:rPr>
                <w:b/>
                <w:color w:val="FFFFFF"/>
                <w:sz w:val="18"/>
              </w:rPr>
              <w:t>ID</w:t>
            </w:r>
          </w:p>
        </w:tc>
        <w:tc>
          <w:tcPr>
            <w:tcW w:type="dxa" w:w="2381"/>
            <w:shd w:val="clear" w:color="auto" w:fill="0F4761"/>
          </w:tcPr>
          <w:p>
            <w:pPr>
              <w:spacing w:after="40" w:line="240" w:lineRule="auto"/>
            </w:pPr>
            <w:r/>
            <w:r>
              <w:rPr>
                <w:b/>
                <w:color w:val="FFFFFF"/>
                <w:sz w:val="18"/>
              </w:rPr>
              <w:t>Besoin</w:t>
            </w:r>
          </w:p>
        </w:tc>
        <w:tc>
          <w:tcPr>
            <w:tcW w:type="dxa" w:w="6066"/>
            <w:shd w:val="clear" w:color="auto" w:fill="0F4761"/>
          </w:tcPr>
          <w:p>
            <w:pPr>
              <w:spacing w:after="40" w:line="240" w:lineRule="auto"/>
            </w:pPr>
            <w:r/>
            <w:r>
              <w:rPr>
                <w:b/>
                <w:color w:val="FFFFFF"/>
                <w:sz w:val="18"/>
              </w:rPr>
              <w:t>Exigence</w:t>
            </w:r>
          </w:p>
        </w:tc>
      </w:tr>
      <w:tr>
        <w:trPr>
          <w:cantSplit/>
        </w:trPr>
        <w:tc>
          <w:tcPr>
            <w:tcW w:type="dxa" w:w="850"/>
          </w:tcPr>
          <w:p>
            <w:pPr>
              <w:spacing w:after="40" w:line="240" w:lineRule="auto"/>
            </w:pPr>
            <w:r/>
            <w:r>
              <w:rPr>
                <w:b/>
                <w:sz w:val="18"/>
              </w:rPr>
              <w:t>BT-06</w:t>
            </w:r>
          </w:p>
        </w:tc>
        <w:tc>
          <w:tcPr>
            <w:tcW w:type="dxa" w:w="2381"/>
          </w:tcPr>
          <w:p>
            <w:pPr>
              <w:spacing w:after="40" w:line="240" w:lineRule="auto"/>
            </w:pPr>
            <w:r/>
            <w:r>
              <w:rPr>
                <w:sz w:val="18"/>
              </w:rPr>
              <w:t>Annuaire d’identités</w:t>
            </w:r>
          </w:p>
        </w:tc>
        <w:tc>
          <w:tcPr>
            <w:tcW w:type="dxa" w:w="6066"/>
          </w:tcPr>
          <w:p>
            <w:pPr>
              <w:spacing w:after="40" w:line="240" w:lineRule="auto"/>
            </w:pPr>
            <w:r/>
            <w:r>
              <w:rPr>
                <w:sz w:val="18"/>
              </w:rPr>
              <w:t>Annuaire (Active Directory / équivalent) assaini : comptes inactifs désactivés, groupes revus, délégation d’administration par niveaux (tiering)</w:t>
            </w:r>
          </w:p>
        </w:tc>
      </w:tr>
      <w:tr>
        <w:trPr>
          <w:cantSplit/>
        </w:trPr>
        <w:tc>
          <w:tcPr>
            <w:tcW w:type="dxa" w:w="850"/>
            <w:shd w:val="clear" w:color="auto" w:fill="EAF1F5"/>
          </w:tcPr>
          <w:p>
            <w:pPr>
              <w:spacing w:after="40" w:line="240" w:lineRule="auto"/>
            </w:pPr>
            <w:r/>
            <w:r>
              <w:rPr>
                <w:b/>
                <w:sz w:val="18"/>
              </w:rPr>
              <w:t>BT-07</w:t>
            </w:r>
          </w:p>
        </w:tc>
        <w:tc>
          <w:tcPr>
            <w:tcW w:type="dxa" w:w="2381"/>
            <w:shd w:val="clear" w:color="auto" w:fill="EAF1F5"/>
          </w:tcPr>
          <w:p>
            <w:pPr>
              <w:spacing w:after="40" w:line="240" w:lineRule="auto"/>
            </w:pPr>
            <w:r/>
            <w:r>
              <w:rPr>
                <w:sz w:val="18"/>
              </w:rPr>
              <w:t>Supprimer les droits administrateur locaux</w:t>
            </w:r>
          </w:p>
        </w:tc>
        <w:tc>
          <w:tcPr>
            <w:tcW w:type="dxa" w:w="6066"/>
            <w:shd w:val="clear" w:color="auto" w:fill="EAF1F5"/>
          </w:tcPr>
          <w:p>
            <w:pPr>
              <w:spacing w:after="40" w:line="240" w:lineRule="auto"/>
            </w:pPr>
            <w:r/>
            <w:r>
              <w:rPr>
                <w:sz w:val="18"/>
              </w:rPr>
              <w:t>Retrait des droits admin locaux injustifiés (-80 %), élévation temporaire à la demande via outil dédié</w:t>
            </w:r>
          </w:p>
        </w:tc>
      </w:tr>
      <w:tr>
        <w:trPr>
          <w:cantSplit/>
        </w:trPr>
        <w:tc>
          <w:tcPr>
            <w:tcW w:type="dxa" w:w="850"/>
          </w:tcPr>
          <w:p>
            <w:pPr>
              <w:spacing w:after="40" w:line="240" w:lineRule="auto"/>
            </w:pPr>
            <w:r/>
            <w:r>
              <w:rPr>
                <w:b/>
                <w:sz w:val="18"/>
              </w:rPr>
              <w:t>BT-08</w:t>
            </w:r>
          </w:p>
        </w:tc>
        <w:tc>
          <w:tcPr>
            <w:tcW w:type="dxa" w:w="2381"/>
          </w:tcPr>
          <w:p>
            <w:pPr>
              <w:spacing w:after="40" w:line="240" w:lineRule="auto"/>
            </w:pPr>
            <w:r/>
            <w:r>
              <w:rPr>
                <w:sz w:val="18"/>
              </w:rPr>
              <w:t>Durcissement</w:t>
            </w:r>
          </w:p>
        </w:tc>
        <w:tc>
          <w:tcPr>
            <w:tcW w:type="dxa" w:w="6066"/>
          </w:tcPr>
          <w:p>
            <w:pPr>
              <w:spacing w:after="40" w:line="240" w:lineRule="auto"/>
            </w:pPr>
            <w:r/>
            <w:r>
              <w:rPr>
                <w:sz w:val="18"/>
              </w:rPr>
              <w:t>Référentiel de configuration (CIS/ANSSI) appliqué aux serveurs et postes ; gestion des correctifs avec délais cibles (critiques ≤ 14 jours)</w:t>
            </w:r>
          </w:p>
        </w:tc>
      </w:tr>
      <w:tr>
        <w:trPr>
          <w:cantSplit/>
        </w:trPr>
        <w:tc>
          <w:tcPr>
            <w:tcW w:type="dxa" w:w="850"/>
            <w:shd w:val="clear" w:color="auto" w:fill="EAF1F5"/>
          </w:tcPr>
          <w:p>
            <w:pPr>
              <w:spacing w:after="40" w:line="240" w:lineRule="auto"/>
            </w:pPr>
            <w:r/>
            <w:r>
              <w:rPr>
                <w:b/>
                <w:sz w:val="18"/>
              </w:rPr>
              <w:t>BT-09</w:t>
            </w:r>
          </w:p>
        </w:tc>
        <w:tc>
          <w:tcPr>
            <w:tcW w:type="dxa" w:w="2381"/>
            <w:shd w:val="clear" w:color="auto" w:fill="EAF1F5"/>
          </w:tcPr>
          <w:p>
            <w:pPr>
              <w:spacing w:after="40" w:line="240" w:lineRule="auto"/>
            </w:pPr>
            <w:r/>
            <w:r>
              <w:rPr>
                <w:sz w:val="18"/>
              </w:rPr>
              <w:t>Inventaire des actifs</w:t>
            </w:r>
          </w:p>
        </w:tc>
        <w:tc>
          <w:tcPr>
            <w:tcW w:type="dxa" w:w="6066"/>
            <w:shd w:val="clear" w:color="auto" w:fill="EAF1F5"/>
          </w:tcPr>
          <w:p>
            <w:pPr>
              <w:spacing w:after="40" w:line="240" w:lineRule="auto"/>
            </w:pPr>
            <w:r/>
            <w:r>
              <w:rPr>
                <w:sz w:val="18"/>
              </w:rPr>
              <w:t>Inventaire unique (CMDB) des serveurs, postes et applications, avec propriétaire et criticité</w:t>
            </w:r>
          </w:p>
        </w:tc>
      </w:tr>
      <w:tr>
        <w:trPr>
          <w:cantSplit/>
        </w:trPr>
        <w:tc>
          <w:tcPr>
            <w:tcW w:type="dxa" w:w="850"/>
          </w:tcPr>
          <w:p>
            <w:pPr>
              <w:spacing w:after="40" w:line="240" w:lineRule="auto"/>
            </w:pPr>
            <w:r/>
            <w:r>
              <w:rPr>
                <w:b/>
                <w:sz w:val="18"/>
              </w:rPr>
              <w:t>BT-10</w:t>
            </w:r>
          </w:p>
        </w:tc>
        <w:tc>
          <w:tcPr>
            <w:tcW w:type="dxa" w:w="2381"/>
          </w:tcPr>
          <w:p>
            <w:pPr>
              <w:spacing w:after="40" w:line="240" w:lineRule="auto"/>
            </w:pPr>
            <w:r/>
            <w:r>
              <w:rPr>
                <w:sz w:val="18"/>
              </w:rPr>
              <w:t>Capacité d’accueil</w:t>
            </w:r>
          </w:p>
        </w:tc>
        <w:tc>
          <w:tcPr>
            <w:tcW w:type="dxa" w:w="6066"/>
          </w:tcPr>
          <w:p>
            <w:pPr>
              <w:spacing w:after="40" w:line="240" w:lineRule="auto"/>
            </w:pPr>
            <w:r/>
            <w:r>
              <w:rPr>
                <w:sz w:val="18"/>
              </w:rPr>
              <w:t>Dimensionnement des serveurs d’infrastructure (SIEM, PAM, IAM) avec marge de croissance de 30 %</w:t>
            </w:r>
          </w:p>
        </w:tc>
      </w:tr>
    </w:tbl>
    <w:p>
      <w:pPr>
        <w:spacing w:after="40"/>
      </w:pPr>
    </w:p>
    <w:p>
      <w:pPr>
        <w:pStyle w:val="Heading2"/>
      </w:pPr>
      <w:r>
        <w:t>3.3 Sauvegardes</w:t>
      </w:r>
    </w:p>
    <w:tbl>
      <w:tblPr>
        <w:tblStyle w:val="TableGrid"/>
        <w:tblW w:type="auto" w:w="0"/>
        <w:jc w:val="center"/>
        <w:tblLayout w:type="fixed"/>
        <w:tblLook w:firstColumn="1" w:firstRow="1" w:lastColumn="0" w:lastRow="0" w:noHBand="0" w:noVBand="1" w:val="04A0"/>
        <w:tblLayout w:type="fixed"/>
      </w:tblPr>
      <w:tblGrid>
        <w:gridCol w:w="850"/>
        <w:gridCol w:w="2381"/>
        <w:gridCol w:w="6066"/>
      </w:tblGrid>
      <w:tr>
        <w:trPr>
          <w:tblHeader w:val="true"/>
          <w:cantSplit/>
        </w:trPr>
        <w:tc>
          <w:tcPr>
            <w:tcW w:type="dxa" w:w="850"/>
            <w:shd w:val="clear" w:color="auto" w:fill="0F4761"/>
          </w:tcPr>
          <w:p>
            <w:pPr>
              <w:spacing w:after="40" w:line="240" w:lineRule="auto"/>
            </w:pPr>
            <w:r/>
            <w:r>
              <w:rPr>
                <w:b/>
                <w:color w:val="FFFFFF"/>
                <w:sz w:val="18"/>
              </w:rPr>
              <w:t>ID</w:t>
            </w:r>
          </w:p>
        </w:tc>
        <w:tc>
          <w:tcPr>
            <w:tcW w:type="dxa" w:w="2381"/>
            <w:shd w:val="clear" w:color="auto" w:fill="0F4761"/>
          </w:tcPr>
          <w:p>
            <w:pPr>
              <w:spacing w:after="40" w:line="240" w:lineRule="auto"/>
            </w:pPr>
            <w:r/>
            <w:r>
              <w:rPr>
                <w:b/>
                <w:color w:val="FFFFFF"/>
                <w:sz w:val="18"/>
              </w:rPr>
              <w:t>Besoin</w:t>
            </w:r>
          </w:p>
        </w:tc>
        <w:tc>
          <w:tcPr>
            <w:tcW w:type="dxa" w:w="6066"/>
            <w:shd w:val="clear" w:color="auto" w:fill="0F4761"/>
          </w:tcPr>
          <w:p>
            <w:pPr>
              <w:spacing w:after="40" w:line="240" w:lineRule="auto"/>
            </w:pPr>
            <w:r/>
            <w:r>
              <w:rPr>
                <w:b/>
                <w:color w:val="FFFFFF"/>
                <w:sz w:val="18"/>
              </w:rPr>
              <w:t>Exigence</w:t>
            </w:r>
          </w:p>
        </w:tc>
      </w:tr>
      <w:tr>
        <w:trPr>
          <w:cantSplit/>
        </w:trPr>
        <w:tc>
          <w:tcPr>
            <w:tcW w:type="dxa" w:w="850"/>
          </w:tcPr>
          <w:p>
            <w:pPr>
              <w:spacing w:after="40" w:line="240" w:lineRule="auto"/>
            </w:pPr>
            <w:r/>
            <w:r>
              <w:rPr>
                <w:b/>
                <w:sz w:val="18"/>
              </w:rPr>
              <w:t>BT-11</w:t>
            </w:r>
          </w:p>
        </w:tc>
        <w:tc>
          <w:tcPr>
            <w:tcW w:type="dxa" w:w="2381"/>
          </w:tcPr>
          <w:p>
            <w:pPr>
              <w:spacing w:after="40" w:line="240" w:lineRule="auto"/>
            </w:pPr>
            <w:r/>
            <w:r>
              <w:rPr>
                <w:sz w:val="18"/>
              </w:rPr>
              <w:t>Stratégie de sauvegarde</w:t>
            </w:r>
          </w:p>
        </w:tc>
        <w:tc>
          <w:tcPr>
            <w:tcW w:type="dxa" w:w="6066"/>
          </w:tcPr>
          <w:p>
            <w:pPr>
              <w:spacing w:after="40" w:line="240" w:lineRule="auto"/>
            </w:pPr>
            <w:r/>
            <w:r>
              <w:rPr>
                <w:sz w:val="18"/>
              </w:rPr>
              <w:t>Règle 3-2-1 : 3 copies, 2 supports différents, 1 copie hors site</w:t>
            </w:r>
          </w:p>
        </w:tc>
      </w:tr>
      <w:tr>
        <w:trPr>
          <w:cantSplit/>
        </w:trPr>
        <w:tc>
          <w:tcPr>
            <w:tcW w:type="dxa" w:w="850"/>
            <w:shd w:val="clear" w:color="auto" w:fill="EAF1F5"/>
          </w:tcPr>
          <w:p>
            <w:pPr>
              <w:spacing w:after="40" w:line="240" w:lineRule="auto"/>
            </w:pPr>
            <w:r/>
            <w:r>
              <w:rPr>
                <w:b/>
                <w:sz w:val="18"/>
              </w:rPr>
              <w:t>BT-12</w:t>
            </w:r>
          </w:p>
        </w:tc>
        <w:tc>
          <w:tcPr>
            <w:tcW w:type="dxa" w:w="2381"/>
            <w:shd w:val="clear" w:color="auto" w:fill="EAF1F5"/>
          </w:tcPr>
          <w:p>
            <w:pPr>
              <w:spacing w:after="40" w:line="240" w:lineRule="auto"/>
            </w:pPr>
            <w:r/>
            <w:r>
              <w:rPr>
                <w:sz w:val="18"/>
              </w:rPr>
              <w:t>Protection contre le rançongiciel</w:t>
            </w:r>
          </w:p>
        </w:tc>
        <w:tc>
          <w:tcPr>
            <w:tcW w:type="dxa" w:w="6066"/>
            <w:shd w:val="clear" w:color="auto" w:fill="EAF1F5"/>
          </w:tcPr>
          <w:p>
            <w:pPr>
              <w:spacing w:after="40" w:line="240" w:lineRule="auto"/>
            </w:pPr>
            <w:r/>
            <w:r>
              <w:rPr>
                <w:sz w:val="18"/>
              </w:rPr>
              <w:t>Au moins une copie immuable ou déconnectée (« air-gap ») ; comptes de sauvegarde distincts, protégés par MFA</w:t>
            </w:r>
          </w:p>
        </w:tc>
      </w:tr>
      <w:tr>
        <w:trPr>
          <w:cantSplit/>
        </w:trPr>
        <w:tc>
          <w:tcPr>
            <w:tcW w:type="dxa" w:w="850"/>
          </w:tcPr>
          <w:p>
            <w:pPr>
              <w:spacing w:after="40" w:line="240" w:lineRule="auto"/>
            </w:pPr>
            <w:r/>
            <w:r>
              <w:rPr>
                <w:b/>
                <w:sz w:val="18"/>
              </w:rPr>
              <w:t>BT-13</w:t>
            </w:r>
          </w:p>
        </w:tc>
        <w:tc>
          <w:tcPr>
            <w:tcW w:type="dxa" w:w="2381"/>
          </w:tcPr>
          <w:p>
            <w:pPr>
              <w:spacing w:after="40" w:line="240" w:lineRule="auto"/>
            </w:pPr>
            <w:r/>
            <w:r>
              <w:rPr>
                <w:sz w:val="18"/>
              </w:rPr>
              <w:t>Tests de restauration</w:t>
            </w:r>
          </w:p>
        </w:tc>
        <w:tc>
          <w:tcPr>
            <w:tcW w:type="dxa" w:w="6066"/>
          </w:tcPr>
          <w:p>
            <w:pPr>
              <w:spacing w:after="40" w:line="240" w:lineRule="auto"/>
            </w:pPr>
            <w:r/>
            <w:r>
              <w:rPr>
                <w:sz w:val="18"/>
              </w:rPr>
              <w:t>Test de restauration complet des applications critiques au moins 1 fois par an, trimestriel par échantillon ; résultats consignés</w:t>
            </w:r>
          </w:p>
        </w:tc>
      </w:tr>
      <w:tr>
        <w:trPr>
          <w:cantSplit/>
        </w:trPr>
        <w:tc>
          <w:tcPr>
            <w:tcW w:type="dxa" w:w="850"/>
            <w:shd w:val="clear" w:color="auto" w:fill="EAF1F5"/>
          </w:tcPr>
          <w:p>
            <w:pPr>
              <w:spacing w:after="40" w:line="240" w:lineRule="auto"/>
            </w:pPr>
            <w:r/>
            <w:r>
              <w:rPr>
                <w:b/>
                <w:sz w:val="18"/>
              </w:rPr>
              <w:t>BT-14</w:t>
            </w:r>
          </w:p>
        </w:tc>
        <w:tc>
          <w:tcPr>
            <w:tcW w:type="dxa" w:w="2381"/>
            <w:shd w:val="clear" w:color="auto" w:fill="EAF1F5"/>
          </w:tcPr>
          <w:p>
            <w:pPr>
              <w:spacing w:after="40" w:line="240" w:lineRule="auto"/>
            </w:pPr>
            <w:r/>
            <w:r>
              <w:rPr>
                <w:sz w:val="18"/>
              </w:rPr>
              <w:t>Sauvegarde de la configuration de sécurité</w:t>
            </w:r>
          </w:p>
        </w:tc>
        <w:tc>
          <w:tcPr>
            <w:tcW w:type="dxa" w:w="6066"/>
            <w:shd w:val="clear" w:color="auto" w:fill="EAF1F5"/>
          </w:tcPr>
          <w:p>
            <w:pPr>
              <w:spacing w:after="40" w:line="240" w:lineRule="auto"/>
            </w:pPr>
            <w:r/>
            <w:r>
              <w:rPr>
                <w:sz w:val="18"/>
              </w:rPr>
              <w:t>Sauvegarde des configurations IAM, PAM, SIEM, pare-feu et règles de détection</w:t>
            </w:r>
          </w:p>
        </w:tc>
      </w:tr>
    </w:tbl>
    <w:p>
      <w:pPr>
        <w:spacing w:after="40"/>
      </w:pPr>
    </w:p>
    <w:p>
      <w:pPr>
        <w:pStyle w:val="Heading2"/>
      </w:pPr>
      <w:r>
        <w:t>3.4 Cloud</w:t>
      </w:r>
    </w:p>
    <w:p>
      <w:r>
        <w:rPr>
          <w:b w:val="0"/>
          <w:i w:val="0"/>
        </w:rPr>
        <w:t>Le projet ne prévoit pas de migration massive vers le cloud, mais certaines briques (MFA, SIEM, EDR) sont proposées en mode SaaS. Les exigences suivantes encadrent ce recours, en cohérence avec DORA (risque lié aux prestataires TIC tiers) et le RGPD.</w:t>
      </w:r>
    </w:p>
    <w:tbl>
      <w:tblPr>
        <w:tblStyle w:val="TableGrid"/>
        <w:tblW w:type="auto" w:w="0"/>
        <w:jc w:val="center"/>
        <w:tblLayout w:type="fixed"/>
        <w:tblLook w:firstColumn="1" w:firstRow="1" w:lastColumn="0" w:lastRow="0" w:noHBand="0" w:noVBand="1" w:val="04A0"/>
        <w:tblLayout w:type="fixed"/>
      </w:tblPr>
      <w:tblGrid>
        <w:gridCol w:w="850"/>
        <w:gridCol w:w="2381"/>
        <w:gridCol w:w="6066"/>
      </w:tblGrid>
      <w:tr>
        <w:trPr>
          <w:tblHeader w:val="true"/>
          <w:cantSplit/>
        </w:trPr>
        <w:tc>
          <w:tcPr>
            <w:tcW w:type="dxa" w:w="850"/>
            <w:shd w:val="clear" w:color="auto" w:fill="0F4761"/>
          </w:tcPr>
          <w:p>
            <w:pPr>
              <w:spacing w:after="40" w:line="240" w:lineRule="auto"/>
            </w:pPr>
            <w:r/>
            <w:r>
              <w:rPr>
                <w:b/>
                <w:color w:val="FFFFFF"/>
                <w:sz w:val="18"/>
              </w:rPr>
              <w:t>ID</w:t>
            </w:r>
          </w:p>
        </w:tc>
        <w:tc>
          <w:tcPr>
            <w:tcW w:type="dxa" w:w="2381"/>
            <w:shd w:val="clear" w:color="auto" w:fill="0F4761"/>
          </w:tcPr>
          <w:p>
            <w:pPr>
              <w:spacing w:after="40" w:line="240" w:lineRule="auto"/>
            </w:pPr>
            <w:r/>
            <w:r>
              <w:rPr>
                <w:b/>
                <w:color w:val="FFFFFF"/>
                <w:sz w:val="18"/>
              </w:rPr>
              <w:t>Besoin</w:t>
            </w:r>
          </w:p>
        </w:tc>
        <w:tc>
          <w:tcPr>
            <w:tcW w:type="dxa" w:w="6066"/>
            <w:shd w:val="clear" w:color="auto" w:fill="0F4761"/>
          </w:tcPr>
          <w:p>
            <w:pPr>
              <w:spacing w:after="40" w:line="240" w:lineRule="auto"/>
            </w:pPr>
            <w:r/>
            <w:r>
              <w:rPr>
                <w:b/>
                <w:color w:val="FFFFFF"/>
                <w:sz w:val="18"/>
              </w:rPr>
              <w:t>Exigence</w:t>
            </w:r>
          </w:p>
        </w:tc>
      </w:tr>
      <w:tr>
        <w:trPr>
          <w:cantSplit/>
        </w:trPr>
        <w:tc>
          <w:tcPr>
            <w:tcW w:type="dxa" w:w="850"/>
          </w:tcPr>
          <w:p>
            <w:pPr>
              <w:spacing w:after="40" w:line="240" w:lineRule="auto"/>
            </w:pPr>
            <w:r/>
            <w:r>
              <w:rPr>
                <w:b/>
                <w:sz w:val="18"/>
              </w:rPr>
              <w:t>BT-15</w:t>
            </w:r>
          </w:p>
        </w:tc>
        <w:tc>
          <w:tcPr>
            <w:tcW w:type="dxa" w:w="2381"/>
          </w:tcPr>
          <w:p>
            <w:pPr>
              <w:spacing w:after="40" w:line="240" w:lineRule="auto"/>
            </w:pPr>
            <w:r/>
            <w:r>
              <w:rPr>
                <w:sz w:val="18"/>
              </w:rPr>
              <w:t>Localisation des données</w:t>
            </w:r>
          </w:p>
        </w:tc>
        <w:tc>
          <w:tcPr>
            <w:tcW w:type="dxa" w:w="6066"/>
          </w:tcPr>
          <w:p>
            <w:pPr>
              <w:spacing w:after="40" w:line="240" w:lineRule="auto"/>
            </w:pPr>
            <w:r/>
            <w:r>
              <w:rPr>
                <w:sz w:val="18"/>
              </w:rPr>
              <w:t>Hébergement des données de sécurité dans l’Union européenne ; prestataire non soumis à une législation extraterritoriale contraignante (à vérifier)</w:t>
            </w:r>
          </w:p>
        </w:tc>
      </w:tr>
      <w:tr>
        <w:trPr>
          <w:cantSplit/>
        </w:trPr>
        <w:tc>
          <w:tcPr>
            <w:tcW w:type="dxa" w:w="850"/>
            <w:shd w:val="clear" w:color="auto" w:fill="EAF1F5"/>
          </w:tcPr>
          <w:p>
            <w:pPr>
              <w:spacing w:after="40" w:line="240" w:lineRule="auto"/>
            </w:pPr>
            <w:r/>
            <w:r>
              <w:rPr>
                <w:b/>
                <w:sz w:val="18"/>
              </w:rPr>
              <w:t>BT-16</w:t>
            </w:r>
          </w:p>
        </w:tc>
        <w:tc>
          <w:tcPr>
            <w:tcW w:type="dxa" w:w="2381"/>
            <w:shd w:val="clear" w:color="auto" w:fill="EAF1F5"/>
          </w:tcPr>
          <w:p>
            <w:pPr>
              <w:spacing w:after="40" w:line="240" w:lineRule="auto"/>
            </w:pPr>
            <w:r/>
            <w:r>
              <w:rPr>
                <w:sz w:val="18"/>
              </w:rPr>
              <w:t>Qualification du prestataire</w:t>
            </w:r>
          </w:p>
        </w:tc>
        <w:tc>
          <w:tcPr>
            <w:tcW w:type="dxa" w:w="6066"/>
            <w:shd w:val="clear" w:color="auto" w:fill="EAF1F5"/>
          </w:tcPr>
          <w:p>
            <w:pPr>
              <w:spacing w:after="40" w:line="240" w:lineRule="auto"/>
            </w:pPr>
            <w:r/>
            <w:r>
              <w:rPr>
                <w:sz w:val="18"/>
              </w:rPr>
              <w:t>Préférence pour les offres qualifiées SecNumCloud ou équivalentes ; certification ISO 27001 exigée</w:t>
            </w:r>
          </w:p>
        </w:tc>
      </w:tr>
      <w:tr>
        <w:trPr>
          <w:cantSplit/>
        </w:trPr>
        <w:tc>
          <w:tcPr>
            <w:tcW w:type="dxa" w:w="850"/>
          </w:tcPr>
          <w:p>
            <w:pPr>
              <w:spacing w:after="40" w:line="240" w:lineRule="auto"/>
            </w:pPr>
            <w:r/>
            <w:r>
              <w:rPr>
                <w:b/>
                <w:sz w:val="18"/>
              </w:rPr>
              <w:t>BT-17</w:t>
            </w:r>
          </w:p>
        </w:tc>
        <w:tc>
          <w:tcPr>
            <w:tcW w:type="dxa" w:w="2381"/>
          </w:tcPr>
          <w:p>
            <w:pPr>
              <w:spacing w:after="40" w:line="240" w:lineRule="auto"/>
            </w:pPr>
            <w:r/>
            <w:r>
              <w:rPr>
                <w:sz w:val="18"/>
              </w:rPr>
              <w:t>Réversibilité</w:t>
            </w:r>
          </w:p>
        </w:tc>
        <w:tc>
          <w:tcPr>
            <w:tcW w:type="dxa" w:w="6066"/>
          </w:tcPr>
          <w:p>
            <w:pPr>
              <w:spacing w:after="40" w:line="240" w:lineRule="auto"/>
            </w:pPr>
            <w:r/>
            <w:r>
              <w:rPr>
                <w:sz w:val="18"/>
              </w:rPr>
              <w:t>Clause contractuelle de réversibilité et d’export des données et journaux, sans surcoût caché</w:t>
            </w:r>
          </w:p>
        </w:tc>
      </w:tr>
      <w:tr>
        <w:trPr>
          <w:cantSplit/>
        </w:trPr>
        <w:tc>
          <w:tcPr>
            <w:tcW w:type="dxa" w:w="850"/>
            <w:shd w:val="clear" w:color="auto" w:fill="EAF1F5"/>
          </w:tcPr>
          <w:p>
            <w:pPr>
              <w:spacing w:after="40" w:line="240" w:lineRule="auto"/>
            </w:pPr>
            <w:r/>
            <w:r>
              <w:rPr>
                <w:b/>
                <w:sz w:val="18"/>
              </w:rPr>
              <w:t>BT-18</w:t>
            </w:r>
          </w:p>
        </w:tc>
        <w:tc>
          <w:tcPr>
            <w:tcW w:type="dxa" w:w="2381"/>
            <w:shd w:val="clear" w:color="auto" w:fill="EAF1F5"/>
          </w:tcPr>
          <w:p>
            <w:pPr>
              <w:spacing w:after="40" w:line="240" w:lineRule="auto"/>
            </w:pPr>
            <w:r/>
            <w:r>
              <w:rPr>
                <w:sz w:val="18"/>
              </w:rPr>
              <w:t>Sécurité de l’intégration</w:t>
            </w:r>
          </w:p>
        </w:tc>
        <w:tc>
          <w:tcPr>
            <w:tcW w:type="dxa" w:w="6066"/>
            <w:shd w:val="clear" w:color="auto" w:fill="EAF1F5"/>
          </w:tcPr>
          <w:p>
            <w:pPr>
              <w:spacing w:after="40" w:line="240" w:lineRule="auto"/>
            </w:pPr>
            <w:r/>
            <w:r>
              <w:rPr>
                <w:sz w:val="18"/>
              </w:rPr>
              <w:t>Connecteurs entre cloud et SI interne chiffrés, authentifiés, limités au strict nécessaire</w:t>
            </w:r>
          </w:p>
        </w:tc>
      </w:tr>
      <w:tr>
        <w:trPr>
          <w:cantSplit/>
        </w:trPr>
        <w:tc>
          <w:tcPr>
            <w:tcW w:type="dxa" w:w="850"/>
          </w:tcPr>
          <w:p>
            <w:pPr>
              <w:spacing w:after="40" w:line="240" w:lineRule="auto"/>
            </w:pPr>
            <w:r/>
            <w:r>
              <w:rPr>
                <w:b/>
                <w:sz w:val="18"/>
              </w:rPr>
              <w:t>BT-19</w:t>
            </w:r>
          </w:p>
        </w:tc>
        <w:tc>
          <w:tcPr>
            <w:tcW w:type="dxa" w:w="2381"/>
          </w:tcPr>
          <w:p>
            <w:pPr>
              <w:spacing w:after="40" w:line="240" w:lineRule="auto"/>
            </w:pPr>
            <w:r/>
            <w:r>
              <w:rPr>
                <w:sz w:val="18"/>
              </w:rPr>
              <w:t>Registre DORA</w:t>
            </w:r>
          </w:p>
        </w:tc>
        <w:tc>
          <w:tcPr>
            <w:tcW w:type="dxa" w:w="6066"/>
          </w:tcPr>
          <w:p>
            <w:pPr>
              <w:spacing w:after="40" w:line="240" w:lineRule="auto"/>
            </w:pPr>
            <w:r/>
            <w:r>
              <w:rPr>
                <w:sz w:val="18"/>
              </w:rPr>
              <w:t>Inscription des prestataires cloud au registre d’information des prestataires TIC et clauses contractuelles DORA</w:t>
            </w:r>
          </w:p>
        </w:tc>
      </w:tr>
    </w:tbl>
    <w:p>
      <w:pPr>
        <w:spacing w:after="40"/>
      </w:pPr>
    </w:p>
    <w:p>
      <w:pPr>
        <w:pStyle w:val="Heading1"/>
      </w:pPr>
      <w:r>
        <w:t>4. Besoins en cybersécurité</w:t>
      </w:r>
    </w:p>
    <w:p>
      <w:pPr>
        <w:pStyle w:val="Heading2"/>
      </w:pPr>
      <w:r>
        <w:t>4.1 MFA et gouvernance des identités (IAM / PAM)</w:t>
      </w:r>
    </w:p>
    <w:p>
      <w:r>
        <w:rPr>
          <w:b w:val="0"/>
          <w:i w:val="0"/>
        </w:rPr>
        <w:t>C’est le cœur des objectifs O1, O2 et O5. L’authentification forte réduit fortement le risque de vol d’identifiants ; la gouvernance des identités garantit le moindre privilège dans la durée.</w:t>
      </w:r>
    </w:p>
    <w:tbl>
      <w:tblPr>
        <w:tblStyle w:val="TableGrid"/>
        <w:tblW w:type="auto" w:w="0"/>
        <w:jc w:val="center"/>
        <w:tblLayout w:type="fixed"/>
        <w:tblLook w:firstColumn="1" w:firstRow="1" w:lastColumn="0" w:lastRow="0" w:noHBand="0" w:noVBand="1" w:val="04A0"/>
        <w:tblLayout w:type="fixed"/>
      </w:tblPr>
      <w:tblGrid>
        <w:gridCol w:w="850"/>
        <w:gridCol w:w="2381"/>
        <w:gridCol w:w="6066"/>
      </w:tblGrid>
      <w:tr>
        <w:trPr>
          <w:tblHeader w:val="true"/>
          <w:cantSplit/>
        </w:trPr>
        <w:tc>
          <w:tcPr>
            <w:tcW w:type="dxa" w:w="850"/>
            <w:shd w:val="clear" w:color="auto" w:fill="0F4761"/>
          </w:tcPr>
          <w:p>
            <w:pPr>
              <w:spacing w:after="40" w:line="240" w:lineRule="auto"/>
            </w:pPr>
            <w:r/>
            <w:r>
              <w:rPr>
                <w:b/>
                <w:color w:val="FFFFFF"/>
                <w:sz w:val="18"/>
              </w:rPr>
              <w:t>ID</w:t>
            </w:r>
          </w:p>
        </w:tc>
        <w:tc>
          <w:tcPr>
            <w:tcW w:type="dxa" w:w="2381"/>
            <w:shd w:val="clear" w:color="auto" w:fill="0F4761"/>
          </w:tcPr>
          <w:p>
            <w:pPr>
              <w:spacing w:after="40" w:line="240" w:lineRule="auto"/>
            </w:pPr>
            <w:r/>
            <w:r>
              <w:rPr>
                <w:b/>
                <w:color w:val="FFFFFF"/>
                <w:sz w:val="18"/>
              </w:rPr>
              <w:t>Besoin</w:t>
            </w:r>
          </w:p>
        </w:tc>
        <w:tc>
          <w:tcPr>
            <w:tcW w:type="dxa" w:w="6066"/>
            <w:shd w:val="clear" w:color="auto" w:fill="0F4761"/>
          </w:tcPr>
          <w:p>
            <w:pPr>
              <w:spacing w:after="40" w:line="240" w:lineRule="auto"/>
            </w:pPr>
            <w:r/>
            <w:r>
              <w:rPr>
                <w:b/>
                <w:color w:val="FFFFFF"/>
                <w:sz w:val="18"/>
              </w:rPr>
              <w:t>Exigence</w:t>
            </w:r>
          </w:p>
        </w:tc>
      </w:tr>
      <w:tr>
        <w:trPr>
          <w:cantSplit/>
        </w:trPr>
        <w:tc>
          <w:tcPr>
            <w:tcW w:type="dxa" w:w="850"/>
          </w:tcPr>
          <w:p>
            <w:pPr>
              <w:spacing w:after="40" w:line="240" w:lineRule="auto"/>
            </w:pPr>
            <w:r/>
            <w:r>
              <w:rPr>
                <w:b/>
                <w:sz w:val="18"/>
              </w:rPr>
              <w:t>BC-01</w:t>
            </w:r>
          </w:p>
        </w:tc>
        <w:tc>
          <w:tcPr>
            <w:tcW w:type="dxa" w:w="2381"/>
          </w:tcPr>
          <w:p>
            <w:pPr>
              <w:spacing w:after="40" w:line="240" w:lineRule="auto"/>
            </w:pPr>
            <w:r/>
            <w:r>
              <w:rPr>
                <w:sz w:val="18"/>
              </w:rPr>
              <w:t>MFA généralisé</w:t>
            </w:r>
          </w:p>
        </w:tc>
        <w:tc>
          <w:tcPr>
            <w:tcW w:type="dxa" w:w="6066"/>
          </w:tcPr>
          <w:p>
            <w:pPr>
              <w:spacing w:after="40" w:line="240" w:lineRule="auto"/>
            </w:pPr>
            <w:r/>
            <w:r>
              <w:rPr>
                <w:sz w:val="18"/>
              </w:rPr>
              <w:t>MFA obligatoire pour 100 % des utilisateurs des applications bancaires critiques, tous les accès distants et tous les comptes à privilèges</w:t>
            </w:r>
          </w:p>
        </w:tc>
      </w:tr>
      <w:tr>
        <w:trPr>
          <w:cantSplit/>
        </w:trPr>
        <w:tc>
          <w:tcPr>
            <w:tcW w:type="dxa" w:w="850"/>
            <w:shd w:val="clear" w:color="auto" w:fill="EAF1F5"/>
          </w:tcPr>
          <w:p>
            <w:pPr>
              <w:spacing w:after="40" w:line="240" w:lineRule="auto"/>
            </w:pPr>
            <w:r/>
            <w:r>
              <w:rPr>
                <w:b/>
                <w:sz w:val="18"/>
              </w:rPr>
              <w:t>BC-02</w:t>
            </w:r>
          </w:p>
        </w:tc>
        <w:tc>
          <w:tcPr>
            <w:tcW w:type="dxa" w:w="2381"/>
            <w:shd w:val="clear" w:color="auto" w:fill="EAF1F5"/>
          </w:tcPr>
          <w:p>
            <w:pPr>
              <w:spacing w:after="40" w:line="240" w:lineRule="auto"/>
            </w:pPr>
            <w:r/>
            <w:r>
              <w:rPr>
                <w:sz w:val="18"/>
              </w:rPr>
              <w:t>Facteurs acceptés</w:t>
            </w:r>
          </w:p>
        </w:tc>
        <w:tc>
          <w:tcPr>
            <w:tcW w:type="dxa" w:w="6066"/>
            <w:shd w:val="clear" w:color="auto" w:fill="EAF1F5"/>
          </w:tcPr>
          <w:p>
            <w:pPr>
              <w:spacing w:after="40" w:line="240" w:lineRule="auto"/>
            </w:pPr>
            <w:r/>
            <w:r>
              <w:rPr>
                <w:sz w:val="18"/>
              </w:rPr>
              <w:t>Application d’authentification, clé FIDO2 pour comptes sensibles ; SMS toléré uniquement en secours transitoire</w:t>
            </w:r>
          </w:p>
        </w:tc>
      </w:tr>
      <w:tr>
        <w:trPr>
          <w:cantSplit/>
        </w:trPr>
        <w:tc>
          <w:tcPr>
            <w:tcW w:type="dxa" w:w="850"/>
          </w:tcPr>
          <w:p>
            <w:pPr>
              <w:spacing w:after="40" w:line="240" w:lineRule="auto"/>
            </w:pPr>
            <w:r/>
            <w:r>
              <w:rPr>
                <w:b/>
                <w:sz w:val="18"/>
              </w:rPr>
              <w:t>BC-03</w:t>
            </w:r>
          </w:p>
        </w:tc>
        <w:tc>
          <w:tcPr>
            <w:tcW w:type="dxa" w:w="2381"/>
          </w:tcPr>
          <w:p>
            <w:pPr>
              <w:spacing w:after="40" w:line="240" w:lineRule="auto"/>
            </w:pPr>
            <w:r/>
            <w:r>
              <w:rPr>
                <w:sz w:val="18"/>
              </w:rPr>
              <w:t>Cycle de vie des identités</w:t>
            </w:r>
          </w:p>
        </w:tc>
        <w:tc>
          <w:tcPr>
            <w:tcW w:type="dxa" w:w="6066"/>
          </w:tcPr>
          <w:p>
            <w:pPr>
              <w:spacing w:after="40" w:line="240" w:lineRule="auto"/>
            </w:pPr>
            <w:r/>
            <w:r>
              <w:rPr>
                <w:sz w:val="18"/>
              </w:rPr>
              <w:t>Processus automatisé arrivée / mobilité / départ, alimenté par le référentiel RH (source de vérité)</w:t>
            </w:r>
          </w:p>
        </w:tc>
      </w:tr>
      <w:tr>
        <w:trPr>
          <w:cantSplit/>
        </w:trPr>
        <w:tc>
          <w:tcPr>
            <w:tcW w:type="dxa" w:w="850"/>
            <w:shd w:val="clear" w:color="auto" w:fill="EAF1F5"/>
          </w:tcPr>
          <w:p>
            <w:pPr>
              <w:spacing w:after="40" w:line="240" w:lineRule="auto"/>
            </w:pPr>
            <w:r/>
            <w:r>
              <w:rPr>
                <w:b/>
                <w:sz w:val="18"/>
              </w:rPr>
              <w:t>BC-04</w:t>
            </w:r>
          </w:p>
        </w:tc>
        <w:tc>
          <w:tcPr>
            <w:tcW w:type="dxa" w:w="2381"/>
            <w:shd w:val="clear" w:color="auto" w:fill="EAF1F5"/>
          </w:tcPr>
          <w:p>
            <w:pPr>
              <w:spacing w:after="40" w:line="240" w:lineRule="auto"/>
            </w:pPr>
            <w:r/>
            <w:r>
              <w:rPr>
                <w:sz w:val="18"/>
              </w:rPr>
              <w:t>Coffre-fort à privilèges (PAM)</w:t>
            </w:r>
          </w:p>
        </w:tc>
        <w:tc>
          <w:tcPr>
            <w:tcW w:type="dxa" w:w="6066"/>
            <w:shd w:val="clear" w:color="auto" w:fill="EAF1F5"/>
          </w:tcPr>
          <w:p>
            <w:pPr>
              <w:spacing w:after="40" w:line="240" w:lineRule="auto"/>
            </w:pPr>
            <w:r/>
            <w:r>
              <w:rPr>
                <w:sz w:val="18"/>
              </w:rPr>
              <w:t>100 % des comptes à privilèges dans un coffre ; mots de passe aléatoires et rotatifs ; sessions d’administration enregistrées</w:t>
            </w:r>
          </w:p>
        </w:tc>
      </w:tr>
      <w:tr>
        <w:trPr>
          <w:cantSplit/>
        </w:trPr>
        <w:tc>
          <w:tcPr>
            <w:tcW w:type="dxa" w:w="850"/>
          </w:tcPr>
          <w:p>
            <w:pPr>
              <w:spacing w:after="40" w:line="240" w:lineRule="auto"/>
            </w:pPr>
            <w:r/>
            <w:r>
              <w:rPr>
                <w:b/>
                <w:sz w:val="18"/>
              </w:rPr>
              <w:t>BC-05</w:t>
            </w:r>
          </w:p>
        </w:tc>
        <w:tc>
          <w:tcPr>
            <w:tcW w:type="dxa" w:w="2381"/>
          </w:tcPr>
          <w:p>
            <w:pPr>
              <w:spacing w:after="40" w:line="240" w:lineRule="auto"/>
            </w:pPr>
            <w:r/>
            <w:r>
              <w:rPr>
                <w:sz w:val="18"/>
              </w:rPr>
              <w:t>Recertification</w:t>
            </w:r>
          </w:p>
        </w:tc>
        <w:tc>
          <w:tcPr>
            <w:tcW w:type="dxa" w:w="6066"/>
          </w:tcPr>
          <w:p>
            <w:pPr>
              <w:spacing w:after="40" w:line="240" w:lineRule="auto"/>
            </w:pPr>
            <w:r/>
            <w:r>
              <w:rPr>
                <w:sz w:val="18"/>
              </w:rPr>
              <w:t>Campagne de revue des habilitations tous les 6 mois, avec validation par les managers/propriétaires d’application et traçabilité</w:t>
            </w:r>
          </w:p>
        </w:tc>
      </w:tr>
      <w:tr>
        <w:trPr>
          <w:cantSplit/>
        </w:trPr>
        <w:tc>
          <w:tcPr>
            <w:tcW w:type="dxa" w:w="850"/>
            <w:shd w:val="clear" w:color="auto" w:fill="EAF1F5"/>
          </w:tcPr>
          <w:p>
            <w:pPr>
              <w:spacing w:after="40" w:line="240" w:lineRule="auto"/>
            </w:pPr>
            <w:r/>
            <w:r>
              <w:rPr>
                <w:b/>
                <w:sz w:val="18"/>
              </w:rPr>
              <w:t>BC-06</w:t>
            </w:r>
          </w:p>
        </w:tc>
        <w:tc>
          <w:tcPr>
            <w:tcW w:type="dxa" w:w="2381"/>
            <w:shd w:val="clear" w:color="auto" w:fill="EAF1F5"/>
          </w:tcPr>
          <w:p>
            <w:pPr>
              <w:spacing w:after="40" w:line="240" w:lineRule="auto"/>
            </w:pPr>
            <w:r/>
            <w:r>
              <w:rPr>
                <w:sz w:val="18"/>
              </w:rPr>
              <w:t>Séparation des tâches</w:t>
            </w:r>
          </w:p>
        </w:tc>
        <w:tc>
          <w:tcPr>
            <w:tcW w:type="dxa" w:w="6066"/>
            <w:shd w:val="clear" w:color="auto" w:fill="EAF1F5"/>
          </w:tcPr>
          <w:p>
            <w:pPr>
              <w:spacing w:after="40" w:line="240" w:lineRule="auto"/>
            </w:pPr>
            <w:r/>
            <w:r>
              <w:rPr>
                <w:sz w:val="18"/>
              </w:rPr>
              <w:t>Matrice des incompatibilités de droits (ex. initier et valider un paiement) contrôlée</w:t>
            </w:r>
          </w:p>
        </w:tc>
      </w:tr>
    </w:tbl>
    <w:p>
      <w:pPr>
        <w:spacing w:after="40"/>
      </w:pPr>
    </w:p>
    <w:p>
      <w:pPr>
        <w:pStyle w:val="Heading2"/>
      </w:pPr>
      <w:r>
        <w:t>4.2 EDR et SIEM</w:t>
      </w:r>
    </w:p>
    <w:tbl>
      <w:tblPr>
        <w:tblStyle w:val="TableGrid"/>
        <w:tblW w:type="auto" w:w="0"/>
        <w:jc w:val="center"/>
        <w:tblLayout w:type="fixed"/>
        <w:tblLook w:firstColumn="1" w:firstRow="1" w:lastColumn="0" w:lastRow="0" w:noHBand="0" w:noVBand="1" w:val="04A0"/>
        <w:tblLayout w:type="fixed"/>
      </w:tblPr>
      <w:tblGrid>
        <w:gridCol w:w="850"/>
        <w:gridCol w:w="2381"/>
        <w:gridCol w:w="6066"/>
      </w:tblGrid>
      <w:tr>
        <w:trPr>
          <w:tblHeader w:val="true"/>
          <w:cantSplit/>
        </w:trPr>
        <w:tc>
          <w:tcPr>
            <w:tcW w:type="dxa" w:w="850"/>
            <w:shd w:val="clear" w:color="auto" w:fill="0F4761"/>
          </w:tcPr>
          <w:p>
            <w:pPr>
              <w:spacing w:after="40" w:line="240" w:lineRule="auto"/>
            </w:pPr>
            <w:r/>
            <w:r>
              <w:rPr>
                <w:b/>
                <w:color w:val="FFFFFF"/>
                <w:sz w:val="18"/>
              </w:rPr>
              <w:t>ID</w:t>
            </w:r>
          </w:p>
        </w:tc>
        <w:tc>
          <w:tcPr>
            <w:tcW w:type="dxa" w:w="2381"/>
            <w:shd w:val="clear" w:color="auto" w:fill="0F4761"/>
          </w:tcPr>
          <w:p>
            <w:pPr>
              <w:spacing w:after="40" w:line="240" w:lineRule="auto"/>
            </w:pPr>
            <w:r/>
            <w:r>
              <w:rPr>
                <w:b/>
                <w:color w:val="FFFFFF"/>
                <w:sz w:val="18"/>
              </w:rPr>
              <w:t>Besoin</w:t>
            </w:r>
          </w:p>
        </w:tc>
        <w:tc>
          <w:tcPr>
            <w:tcW w:type="dxa" w:w="6066"/>
            <w:shd w:val="clear" w:color="auto" w:fill="0F4761"/>
          </w:tcPr>
          <w:p>
            <w:pPr>
              <w:spacing w:after="40" w:line="240" w:lineRule="auto"/>
            </w:pPr>
            <w:r/>
            <w:r>
              <w:rPr>
                <w:b/>
                <w:color w:val="FFFFFF"/>
                <w:sz w:val="18"/>
              </w:rPr>
              <w:t>Exigence</w:t>
            </w:r>
          </w:p>
        </w:tc>
      </w:tr>
      <w:tr>
        <w:trPr>
          <w:cantSplit/>
        </w:trPr>
        <w:tc>
          <w:tcPr>
            <w:tcW w:type="dxa" w:w="850"/>
          </w:tcPr>
          <w:p>
            <w:pPr>
              <w:spacing w:after="40" w:line="240" w:lineRule="auto"/>
            </w:pPr>
            <w:r/>
            <w:r>
              <w:rPr>
                <w:b/>
                <w:sz w:val="18"/>
              </w:rPr>
              <w:t>BC-07</w:t>
            </w:r>
          </w:p>
        </w:tc>
        <w:tc>
          <w:tcPr>
            <w:tcW w:type="dxa" w:w="2381"/>
          </w:tcPr>
          <w:p>
            <w:pPr>
              <w:spacing w:after="40" w:line="240" w:lineRule="auto"/>
            </w:pPr>
            <w:r/>
            <w:r>
              <w:rPr>
                <w:sz w:val="18"/>
              </w:rPr>
              <w:t>EDR sur postes et serveurs</w:t>
            </w:r>
          </w:p>
        </w:tc>
        <w:tc>
          <w:tcPr>
            <w:tcW w:type="dxa" w:w="6066"/>
          </w:tcPr>
          <w:p>
            <w:pPr>
              <w:spacing w:after="40" w:line="240" w:lineRule="auto"/>
            </w:pPr>
            <w:r/>
            <w:r>
              <w:rPr>
                <w:sz w:val="18"/>
              </w:rPr>
              <w:t>Agent EDR déployé sur ≥ 98 % des postes et serveurs ; blocage automatique des comportements malveillants ; isolement à distance d’un poste</w:t>
            </w:r>
          </w:p>
        </w:tc>
      </w:tr>
      <w:tr>
        <w:trPr>
          <w:cantSplit/>
        </w:trPr>
        <w:tc>
          <w:tcPr>
            <w:tcW w:type="dxa" w:w="850"/>
            <w:shd w:val="clear" w:color="auto" w:fill="EAF1F5"/>
          </w:tcPr>
          <w:p>
            <w:pPr>
              <w:spacing w:after="40" w:line="240" w:lineRule="auto"/>
            </w:pPr>
            <w:r/>
            <w:r>
              <w:rPr>
                <w:b/>
                <w:sz w:val="18"/>
              </w:rPr>
              <w:t>BC-08</w:t>
            </w:r>
          </w:p>
        </w:tc>
        <w:tc>
          <w:tcPr>
            <w:tcW w:type="dxa" w:w="2381"/>
            <w:shd w:val="clear" w:color="auto" w:fill="EAF1F5"/>
          </w:tcPr>
          <w:p>
            <w:pPr>
              <w:spacing w:after="40" w:line="240" w:lineRule="auto"/>
            </w:pPr>
            <w:r/>
            <w:r>
              <w:rPr>
                <w:sz w:val="18"/>
              </w:rPr>
              <w:t>Collecte centralisée des logs (SIEM)</w:t>
            </w:r>
          </w:p>
        </w:tc>
        <w:tc>
          <w:tcPr>
            <w:tcW w:type="dxa" w:w="6066"/>
            <w:shd w:val="clear" w:color="auto" w:fill="EAF1F5"/>
          </w:tcPr>
          <w:p>
            <w:pPr>
              <w:spacing w:after="40" w:line="240" w:lineRule="auto"/>
            </w:pPr>
            <w:r/>
            <w:r>
              <w:rPr>
                <w:sz w:val="18"/>
              </w:rPr>
              <w:t>Collecte des journaux : pare-feu, annuaire, serveurs, EDR, IAM/PAM, VPN, messagerie et applications bancaires critiques</w:t>
            </w:r>
          </w:p>
        </w:tc>
      </w:tr>
      <w:tr>
        <w:trPr>
          <w:cantSplit/>
        </w:trPr>
        <w:tc>
          <w:tcPr>
            <w:tcW w:type="dxa" w:w="850"/>
          </w:tcPr>
          <w:p>
            <w:pPr>
              <w:spacing w:after="40" w:line="240" w:lineRule="auto"/>
            </w:pPr>
            <w:r/>
            <w:r>
              <w:rPr>
                <w:b/>
                <w:sz w:val="18"/>
              </w:rPr>
              <w:t>BC-09</w:t>
            </w:r>
          </w:p>
        </w:tc>
        <w:tc>
          <w:tcPr>
            <w:tcW w:type="dxa" w:w="2381"/>
          </w:tcPr>
          <w:p>
            <w:pPr>
              <w:spacing w:after="40" w:line="240" w:lineRule="auto"/>
            </w:pPr>
            <w:r/>
            <w:r>
              <w:rPr>
                <w:sz w:val="18"/>
              </w:rPr>
              <w:t>Corrélation et détection</w:t>
            </w:r>
          </w:p>
        </w:tc>
        <w:tc>
          <w:tcPr>
            <w:tcW w:type="dxa" w:w="6066"/>
          </w:tcPr>
          <w:p>
            <w:pPr>
              <w:spacing w:after="40" w:line="240" w:lineRule="auto"/>
            </w:pPr>
            <w:r/>
            <w:r>
              <w:rPr>
                <w:sz w:val="18"/>
              </w:rPr>
              <w:t>Cas d’usage de détection (≥ 30 à la mise en service), alignés sur MITRE ATT&amp;CK : brute force, élévation de privilèges, mouvement latéral, exfiltration</w:t>
            </w:r>
          </w:p>
        </w:tc>
      </w:tr>
      <w:tr>
        <w:trPr>
          <w:cantSplit/>
        </w:trPr>
        <w:tc>
          <w:tcPr>
            <w:tcW w:type="dxa" w:w="850"/>
            <w:shd w:val="clear" w:color="auto" w:fill="EAF1F5"/>
          </w:tcPr>
          <w:p>
            <w:pPr>
              <w:spacing w:after="40" w:line="240" w:lineRule="auto"/>
            </w:pPr>
            <w:r/>
            <w:r>
              <w:rPr>
                <w:b/>
                <w:sz w:val="18"/>
              </w:rPr>
              <w:t>BC-10</w:t>
            </w:r>
          </w:p>
        </w:tc>
        <w:tc>
          <w:tcPr>
            <w:tcW w:type="dxa" w:w="2381"/>
            <w:shd w:val="clear" w:color="auto" w:fill="EAF1F5"/>
          </w:tcPr>
          <w:p>
            <w:pPr>
              <w:spacing w:after="40" w:line="240" w:lineRule="auto"/>
            </w:pPr>
            <w:r/>
            <w:r>
              <w:rPr>
                <w:sz w:val="18"/>
              </w:rPr>
              <w:t>Horodatage et intégrité</w:t>
            </w:r>
          </w:p>
        </w:tc>
        <w:tc>
          <w:tcPr>
            <w:tcW w:type="dxa" w:w="6066"/>
            <w:shd w:val="clear" w:color="auto" w:fill="EAF1F5"/>
          </w:tcPr>
          <w:p>
            <w:pPr>
              <w:spacing w:after="40" w:line="240" w:lineRule="auto"/>
            </w:pPr>
            <w:r/>
            <w:r>
              <w:rPr>
                <w:sz w:val="18"/>
              </w:rPr>
              <w:t>Sources synchronisées (NTP) ; journaux protégés contre la modification ; rétention conforme (§5.4)</w:t>
            </w:r>
          </w:p>
        </w:tc>
      </w:tr>
      <w:tr>
        <w:trPr>
          <w:cantSplit/>
        </w:trPr>
        <w:tc>
          <w:tcPr>
            <w:tcW w:type="dxa" w:w="850"/>
          </w:tcPr>
          <w:p>
            <w:pPr>
              <w:spacing w:after="40" w:line="240" w:lineRule="auto"/>
            </w:pPr>
            <w:r/>
            <w:r>
              <w:rPr>
                <w:b/>
                <w:sz w:val="18"/>
              </w:rPr>
              <w:t>BC-11</w:t>
            </w:r>
          </w:p>
        </w:tc>
        <w:tc>
          <w:tcPr>
            <w:tcW w:type="dxa" w:w="2381"/>
          </w:tcPr>
          <w:p>
            <w:pPr>
              <w:spacing w:after="40" w:line="240" w:lineRule="auto"/>
            </w:pPr>
            <w:r/>
            <w:r>
              <w:rPr>
                <w:sz w:val="18"/>
              </w:rPr>
              <w:t>Tableaux de bord</w:t>
            </w:r>
          </w:p>
        </w:tc>
        <w:tc>
          <w:tcPr>
            <w:tcW w:type="dxa" w:w="6066"/>
          </w:tcPr>
          <w:p>
            <w:pPr>
              <w:spacing w:after="40" w:line="240" w:lineRule="auto"/>
            </w:pPr>
            <w:r/>
            <w:r>
              <w:rPr>
                <w:sz w:val="18"/>
              </w:rPr>
              <w:t>Tableaux de bord de suivi des KPI (MTTD, MTTR, couverture MFA/EDR/PAM) pour la direction et le RSSI</w:t>
            </w:r>
          </w:p>
        </w:tc>
      </w:tr>
    </w:tbl>
    <w:p>
      <w:pPr>
        <w:spacing w:after="40"/>
      </w:pPr>
    </w:p>
    <w:p>
      <w:pPr>
        <w:pStyle w:val="Heading2"/>
      </w:pPr>
      <w:r>
        <w:t>4.3 SOC</w:t>
      </w:r>
    </w:p>
    <w:tbl>
      <w:tblPr>
        <w:tblStyle w:val="TableGrid"/>
        <w:tblW w:type="auto" w:w="0"/>
        <w:jc w:val="center"/>
        <w:tblLayout w:type="fixed"/>
        <w:tblLook w:firstColumn="1" w:firstRow="1" w:lastColumn="0" w:lastRow="0" w:noHBand="0" w:noVBand="1" w:val="04A0"/>
        <w:tblLayout w:type="fixed"/>
      </w:tblPr>
      <w:tblGrid>
        <w:gridCol w:w="850"/>
        <w:gridCol w:w="2381"/>
        <w:gridCol w:w="6066"/>
      </w:tblGrid>
      <w:tr>
        <w:trPr>
          <w:tblHeader w:val="true"/>
          <w:cantSplit/>
        </w:trPr>
        <w:tc>
          <w:tcPr>
            <w:tcW w:type="dxa" w:w="850"/>
            <w:shd w:val="clear" w:color="auto" w:fill="0F4761"/>
          </w:tcPr>
          <w:p>
            <w:pPr>
              <w:spacing w:after="40" w:line="240" w:lineRule="auto"/>
            </w:pPr>
            <w:r/>
            <w:r>
              <w:rPr>
                <w:b/>
                <w:color w:val="FFFFFF"/>
                <w:sz w:val="18"/>
              </w:rPr>
              <w:t>ID</w:t>
            </w:r>
          </w:p>
        </w:tc>
        <w:tc>
          <w:tcPr>
            <w:tcW w:type="dxa" w:w="2381"/>
            <w:shd w:val="clear" w:color="auto" w:fill="0F4761"/>
          </w:tcPr>
          <w:p>
            <w:pPr>
              <w:spacing w:after="40" w:line="240" w:lineRule="auto"/>
            </w:pPr>
            <w:r/>
            <w:r>
              <w:rPr>
                <w:b/>
                <w:color w:val="FFFFFF"/>
                <w:sz w:val="18"/>
              </w:rPr>
              <w:t>Besoin</w:t>
            </w:r>
          </w:p>
        </w:tc>
        <w:tc>
          <w:tcPr>
            <w:tcW w:type="dxa" w:w="6066"/>
            <w:shd w:val="clear" w:color="auto" w:fill="0F4761"/>
          </w:tcPr>
          <w:p>
            <w:pPr>
              <w:spacing w:after="40" w:line="240" w:lineRule="auto"/>
            </w:pPr>
            <w:r/>
            <w:r>
              <w:rPr>
                <w:b/>
                <w:color w:val="FFFFFF"/>
                <w:sz w:val="18"/>
              </w:rPr>
              <w:t>Exigence</w:t>
            </w:r>
          </w:p>
        </w:tc>
      </w:tr>
      <w:tr>
        <w:trPr>
          <w:cantSplit/>
        </w:trPr>
        <w:tc>
          <w:tcPr>
            <w:tcW w:type="dxa" w:w="850"/>
          </w:tcPr>
          <w:p>
            <w:pPr>
              <w:spacing w:after="40" w:line="240" w:lineRule="auto"/>
            </w:pPr>
            <w:r/>
            <w:r>
              <w:rPr>
                <w:b/>
                <w:sz w:val="18"/>
              </w:rPr>
              <w:t>BC-12</w:t>
            </w:r>
          </w:p>
        </w:tc>
        <w:tc>
          <w:tcPr>
            <w:tcW w:type="dxa" w:w="2381"/>
          </w:tcPr>
          <w:p>
            <w:pPr>
              <w:spacing w:after="40" w:line="240" w:lineRule="auto"/>
            </w:pPr>
            <w:r/>
            <w:r>
              <w:rPr>
                <w:sz w:val="18"/>
              </w:rPr>
              <w:t>Modèle d’exploitation</w:t>
            </w:r>
          </w:p>
        </w:tc>
        <w:tc>
          <w:tcPr>
            <w:tcW w:type="dxa" w:w="6066"/>
          </w:tcPr>
          <w:p>
            <w:pPr>
              <w:spacing w:after="40" w:line="240" w:lineRule="auto"/>
            </w:pPr>
            <w:r/>
            <w:r>
              <w:rPr>
                <w:sz w:val="18"/>
              </w:rPr>
              <w:t>SOC mutualisé ou externalisé (MSSP) en phase 1, avec option d’internalisation progressive ; choix à arbitrer (voir §5.1)</w:t>
            </w:r>
          </w:p>
        </w:tc>
      </w:tr>
      <w:tr>
        <w:trPr>
          <w:cantSplit/>
        </w:trPr>
        <w:tc>
          <w:tcPr>
            <w:tcW w:type="dxa" w:w="850"/>
            <w:shd w:val="clear" w:color="auto" w:fill="EAF1F5"/>
          </w:tcPr>
          <w:p>
            <w:pPr>
              <w:spacing w:after="40" w:line="240" w:lineRule="auto"/>
            </w:pPr>
            <w:r/>
            <w:r>
              <w:rPr>
                <w:b/>
                <w:sz w:val="18"/>
              </w:rPr>
              <w:t>BC-13</w:t>
            </w:r>
          </w:p>
        </w:tc>
        <w:tc>
          <w:tcPr>
            <w:tcW w:type="dxa" w:w="2381"/>
            <w:shd w:val="clear" w:color="auto" w:fill="EAF1F5"/>
          </w:tcPr>
          <w:p>
            <w:pPr>
              <w:spacing w:after="40" w:line="240" w:lineRule="auto"/>
            </w:pPr>
            <w:r/>
            <w:r>
              <w:rPr>
                <w:sz w:val="18"/>
              </w:rPr>
              <w:t>Couverture horaire</w:t>
            </w:r>
          </w:p>
        </w:tc>
        <w:tc>
          <w:tcPr>
            <w:tcW w:type="dxa" w:w="6066"/>
            <w:shd w:val="clear" w:color="auto" w:fill="EAF1F5"/>
          </w:tcPr>
          <w:p>
            <w:pPr>
              <w:spacing w:after="40" w:line="240" w:lineRule="auto"/>
            </w:pPr>
            <w:r/>
            <w:r>
              <w:rPr>
                <w:sz w:val="18"/>
              </w:rPr>
              <w:t>Cible 24/7 pour la qualification des alertes critiques ; à défaut, plage définie contractuellement et astreinte</w:t>
            </w:r>
          </w:p>
        </w:tc>
      </w:tr>
      <w:tr>
        <w:trPr>
          <w:cantSplit/>
        </w:trPr>
        <w:tc>
          <w:tcPr>
            <w:tcW w:type="dxa" w:w="850"/>
          </w:tcPr>
          <w:p>
            <w:pPr>
              <w:spacing w:after="40" w:line="240" w:lineRule="auto"/>
            </w:pPr>
            <w:r/>
            <w:r>
              <w:rPr>
                <w:b/>
                <w:sz w:val="18"/>
              </w:rPr>
              <w:t>BC-14</w:t>
            </w:r>
          </w:p>
        </w:tc>
        <w:tc>
          <w:tcPr>
            <w:tcW w:type="dxa" w:w="2381"/>
          </w:tcPr>
          <w:p>
            <w:pPr>
              <w:spacing w:after="40" w:line="240" w:lineRule="auto"/>
            </w:pPr>
            <w:r/>
            <w:r>
              <w:rPr>
                <w:sz w:val="18"/>
              </w:rPr>
              <w:t>Niveaux de service</w:t>
            </w:r>
          </w:p>
        </w:tc>
        <w:tc>
          <w:tcPr>
            <w:tcW w:type="dxa" w:w="6066"/>
          </w:tcPr>
          <w:p>
            <w:pPr>
              <w:spacing w:after="40" w:line="240" w:lineRule="auto"/>
            </w:pPr>
            <w:r/>
            <w:r>
              <w:rPr>
                <w:sz w:val="18"/>
              </w:rPr>
              <w:t>MTTD &lt; 30 min ; MTTR &lt; 4 h pour incidents critiques ; accusé de réception d’alerte critique &lt; 15 min</w:t>
            </w:r>
          </w:p>
        </w:tc>
      </w:tr>
      <w:tr>
        <w:trPr>
          <w:cantSplit/>
        </w:trPr>
        <w:tc>
          <w:tcPr>
            <w:tcW w:type="dxa" w:w="850"/>
            <w:shd w:val="clear" w:color="auto" w:fill="EAF1F5"/>
          </w:tcPr>
          <w:p>
            <w:pPr>
              <w:spacing w:after="40" w:line="240" w:lineRule="auto"/>
            </w:pPr>
            <w:r/>
            <w:r>
              <w:rPr>
                <w:b/>
                <w:sz w:val="18"/>
              </w:rPr>
              <w:t>BC-15</w:t>
            </w:r>
          </w:p>
        </w:tc>
        <w:tc>
          <w:tcPr>
            <w:tcW w:type="dxa" w:w="2381"/>
            <w:shd w:val="clear" w:color="auto" w:fill="EAF1F5"/>
          </w:tcPr>
          <w:p>
            <w:pPr>
              <w:spacing w:after="40" w:line="240" w:lineRule="auto"/>
            </w:pPr>
            <w:r/>
            <w:r>
              <w:rPr>
                <w:sz w:val="18"/>
              </w:rPr>
              <w:t>Processus de réponse à incident</w:t>
            </w:r>
          </w:p>
        </w:tc>
        <w:tc>
          <w:tcPr>
            <w:tcW w:type="dxa" w:w="6066"/>
            <w:shd w:val="clear" w:color="auto" w:fill="EAF1F5"/>
          </w:tcPr>
          <w:p>
            <w:pPr>
              <w:spacing w:after="40" w:line="240" w:lineRule="auto"/>
            </w:pPr>
            <w:r/>
            <w:r>
              <w:rPr>
                <w:sz w:val="18"/>
              </w:rPr>
              <w:t>Playbooks documentés (rançongiciel, compte compromis, fuite de données) ; matrice d’escalade ; exercice de crise annuel</w:t>
            </w:r>
          </w:p>
        </w:tc>
      </w:tr>
      <w:tr>
        <w:trPr>
          <w:cantSplit/>
        </w:trPr>
        <w:tc>
          <w:tcPr>
            <w:tcW w:type="dxa" w:w="850"/>
          </w:tcPr>
          <w:p>
            <w:pPr>
              <w:spacing w:after="40" w:line="240" w:lineRule="auto"/>
            </w:pPr>
            <w:r/>
            <w:r>
              <w:rPr>
                <w:b/>
                <w:sz w:val="18"/>
              </w:rPr>
              <w:t>BC-16</w:t>
            </w:r>
          </w:p>
        </w:tc>
        <w:tc>
          <w:tcPr>
            <w:tcW w:type="dxa" w:w="2381"/>
          </w:tcPr>
          <w:p>
            <w:pPr>
              <w:spacing w:after="40" w:line="240" w:lineRule="auto"/>
            </w:pPr>
            <w:r/>
            <w:r>
              <w:rPr>
                <w:sz w:val="18"/>
              </w:rPr>
              <w:t>Obligations de notification</w:t>
            </w:r>
          </w:p>
        </w:tc>
        <w:tc>
          <w:tcPr>
            <w:tcW w:type="dxa" w:w="6066"/>
          </w:tcPr>
          <w:p>
            <w:pPr>
              <w:spacing w:after="40" w:line="240" w:lineRule="auto"/>
            </w:pPr>
            <w:r/>
            <w:r>
              <w:rPr>
                <w:sz w:val="18"/>
              </w:rPr>
              <w:t>Procédure de notification des incidents majeurs (ACPR/autorités compétentes sous DORA, CNIL en cas de violation de données)</w:t>
            </w:r>
          </w:p>
        </w:tc>
      </w:tr>
    </w:tbl>
    <w:p>
      <w:pPr>
        <w:spacing w:after="40"/>
      </w:pPr>
    </w:p>
    <w:p>
      <w:pPr>
        <w:pStyle w:val="Heading2"/>
      </w:pPr>
      <w:r>
        <w:t>4.4 Segmentation réseau</w:t>
      </w:r>
    </w:p>
    <w:tbl>
      <w:tblPr>
        <w:tblStyle w:val="TableGrid"/>
        <w:tblW w:type="auto" w:w="0"/>
        <w:jc w:val="center"/>
        <w:tblLayout w:type="fixed"/>
        <w:tblLook w:firstColumn="1" w:firstRow="1" w:lastColumn="0" w:lastRow="0" w:noHBand="0" w:noVBand="1" w:val="04A0"/>
        <w:tblLayout w:type="fixed"/>
      </w:tblPr>
      <w:tblGrid>
        <w:gridCol w:w="850"/>
        <w:gridCol w:w="2381"/>
        <w:gridCol w:w="6066"/>
      </w:tblGrid>
      <w:tr>
        <w:trPr>
          <w:tblHeader w:val="true"/>
          <w:cantSplit/>
        </w:trPr>
        <w:tc>
          <w:tcPr>
            <w:tcW w:type="dxa" w:w="850"/>
            <w:shd w:val="clear" w:color="auto" w:fill="0F4761"/>
          </w:tcPr>
          <w:p>
            <w:pPr>
              <w:spacing w:after="40" w:line="240" w:lineRule="auto"/>
            </w:pPr>
            <w:r/>
            <w:r>
              <w:rPr>
                <w:b/>
                <w:color w:val="FFFFFF"/>
                <w:sz w:val="18"/>
              </w:rPr>
              <w:t>ID</w:t>
            </w:r>
          </w:p>
        </w:tc>
        <w:tc>
          <w:tcPr>
            <w:tcW w:type="dxa" w:w="2381"/>
            <w:shd w:val="clear" w:color="auto" w:fill="0F4761"/>
          </w:tcPr>
          <w:p>
            <w:pPr>
              <w:spacing w:after="40" w:line="240" w:lineRule="auto"/>
            </w:pPr>
            <w:r/>
            <w:r>
              <w:rPr>
                <w:b/>
                <w:color w:val="FFFFFF"/>
                <w:sz w:val="18"/>
              </w:rPr>
              <w:t>Besoin</w:t>
            </w:r>
          </w:p>
        </w:tc>
        <w:tc>
          <w:tcPr>
            <w:tcW w:type="dxa" w:w="6066"/>
            <w:shd w:val="clear" w:color="auto" w:fill="0F4761"/>
          </w:tcPr>
          <w:p>
            <w:pPr>
              <w:spacing w:after="40" w:line="240" w:lineRule="auto"/>
            </w:pPr>
            <w:r/>
            <w:r>
              <w:rPr>
                <w:b/>
                <w:color w:val="FFFFFF"/>
                <w:sz w:val="18"/>
              </w:rPr>
              <w:t>Exigence</w:t>
            </w:r>
          </w:p>
        </w:tc>
      </w:tr>
      <w:tr>
        <w:trPr>
          <w:cantSplit/>
        </w:trPr>
        <w:tc>
          <w:tcPr>
            <w:tcW w:type="dxa" w:w="850"/>
          </w:tcPr>
          <w:p>
            <w:pPr>
              <w:spacing w:after="40" w:line="240" w:lineRule="auto"/>
            </w:pPr>
            <w:r/>
            <w:r>
              <w:rPr>
                <w:b/>
                <w:sz w:val="18"/>
              </w:rPr>
              <w:t>BC-17</w:t>
            </w:r>
          </w:p>
        </w:tc>
        <w:tc>
          <w:tcPr>
            <w:tcW w:type="dxa" w:w="2381"/>
          </w:tcPr>
          <w:p>
            <w:pPr>
              <w:spacing w:after="40" w:line="240" w:lineRule="auto"/>
            </w:pPr>
            <w:r/>
            <w:r>
              <w:rPr>
                <w:sz w:val="18"/>
              </w:rPr>
              <w:t>Isolement des actifs critiques</w:t>
            </w:r>
          </w:p>
        </w:tc>
        <w:tc>
          <w:tcPr>
            <w:tcW w:type="dxa" w:w="6066"/>
          </w:tcPr>
          <w:p>
            <w:pPr>
              <w:spacing w:after="40" w:line="240" w:lineRule="auto"/>
            </w:pPr>
            <w:r/>
            <w:r>
              <w:rPr>
                <w:sz w:val="18"/>
              </w:rPr>
              <w:t>Zone dédiée aux serveurs bancaires et aux bases de données ; accès uniquement via bastion PAM</w:t>
            </w:r>
          </w:p>
        </w:tc>
      </w:tr>
      <w:tr>
        <w:trPr>
          <w:cantSplit/>
        </w:trPr>
        <w:tc>
          <w:tcPr>
            <w:tcW w:type="dxa" w:w="850"/>
            <w:shd w:val="clear" w:color="auto" w:fill="EAF1F5"/>
          </w:tcPr>
          <w:p>
            <w:pPr>
              <w:spacing w:after="40" w:line="240" w:lineRule="auto"/>
            </w:pPr>
            <w:r/>
            <w:r>
              <w:rPr>
                <w:b/>
                <w:sz w:val="18"/>
              </w:rPr>
              <w:t>BC-18</w:t>
            </w:r>
          </w:p>
        </w:tc>
        <w:tc>
          <w:tcPr>
            <w:tcW w:type="dxa" w:w="2381"/>
            <w:shd w:val="clear" w:color="auto" w:fill="EAF1F5"/>
          </w:tcPr>
          <w:p>
            <w:pPr>
              <w:spacing w:after="40" w:line="240" w:lineRule="auto"/>
            </w:pPr>
            <w:r/>
            <w:r>
              <w:rPr>
                <w:sz w:val="18"/>
              </w:rPr>
              <w:t>Cloisonnement de l’administration</w:t>
            </w:r>
          </w:p>
        </w:tc>
        <w:tc>
          <w:tcPr>
            <w:tcW w:type="dxa" w:w="6066"/>
            <w:shd w:val="clear" w:color="auto" w:fill="EAF1F5"/>
          </w:tcPr>
          <w:p>
            <w:pPr>
              <w:spacing w:after="40" w:line="240" w:lineRule="auto"/>
            </w:pPr>
            <w:r/>
            <w:r>
              <w:rPr>
                <w:sz w:val="18"/>
              </w:rPr>
              <w:t>Réseau d’administration séparé du réseau utilisateur ; postes d’administration dédiés</w:t>
            </w:r>
          </w:p>
        </w:tc>
      </w:tr>
      <w:tr>
        <w:trPr>
          <w:cantSplit/>
        </w:trPr>
        <w:tc>
          <w:tcPr>
            <w:tcW w:type="dxa" w:w="850"/>
          </w:tcPr>
          <w:p>
            <w:pPr>
              <w:spacing w:after="40" w:line="240" w:lineRule="auto"/>
            </w:pPr>
            <w:r/>
            <w:r>
              <w:rPr>
                <w:b/>
                <w:sz w:val="18"/>
              </w:rPr>
              <w:t>BC-19</w:t>
            </w:r>
          </w:p>
        </w:tc>
        <w:tc>
          <w:tcPr>
            <w:tcW w:type="dxa" w:w="2381"/>
          </w:tcPr>
          <w:p>
            <w:pPr>
              <w:spacing w:after="40" w:line="240" w:lineRule="auto"/>
            </w:pPr>
            <w:r/>
            <w:r>
              <w:rPr>
                <w:sz w:val="18"/>
              </w:rPr>
              <w:t>Micro-segmentation progressive</w:t>
            </w:r>
          </w:p>
        </w:tc>
        <w:tc>
          <w:tcPr>
            <w:tcW w:type="dxa" w:w="6066"/>
          </w:tcPr>
          <w:p>
            <w:pPr>
              <w:spacing w:after="40" w:line="240" w:lineRule="auto"/>
            </w:pPr>
            <w:r/>
            <w:r>
              <w:rPr>
                <w:sz w:val="18"/>
              </w:rPr>
              <w:t>Démarrage par les applications les plus sensibles ; mode « observation » avant blocage pour éviter les ruptures de service</w:t>
            </w:r>
          </w:p>
        </w:tc>
      </w:tr>
      <w:tr>
        <w:trPr>
          <w:cantSplit/>
        </w:trPr>
        <w:tc>
          <w:tcPr>
            <w:tcW w:type="dxa" w:w="850"/>
            <w:shd w:val="clear" w:color="auto" w:fill="EAF1F5"/>
          </w:tcPr>
          <w:p>
            <w:pPr>
              <w:spacing w:after="40" w:line="240" w:lineRule="auto"/>
            </w:pPr>
            <w:r/>
            <w:r>
              <w:rPr>
                <w:b/>
                <w:sz w:val="18"/>
              </w:rPr>
              <w:t>BC-20</w:t>
            </w:r>
          </w:p>
        </w:tc>
        <w:tc>
          <w:tcPr>
            <w:tcW w:type="dxa" w:w="2381"/>
            <w:shd w:val="clear" w:color="auto" w:fill="EAF1F5"/>
          </w:tcPr>
          <w:p>
            <w:pPr>
              <w:spacing w:after="40" w:line="240" w:lineRule="auto"/>
            </w:pPr>
            <w:r/>
            <w:r>
              <w:rPr>
                <w:sz w:val="18"/>
              </w:rPr>
              <w:t>Contrôle des accès tiers</w:t>
            </w:r>
          </w:p>
        </w:tc>
        <w:tc>
          <w:tcPr>
            <w:tcW w:type="dxa" w:w="6066"/>
            <w:shd w:val="clear" w:color="auto" w:fill="EAF1F5"/>
          </w:tcPr>
          <w:p>
            <w:pPr>
              <w:spacing w:after="40" w:line="240" w:lineRule="auto"/>
            </w:pPr>
            <w:r/>
            <w:r>
              <w:rPr>
                <w:sz w:val="18"/>
              </w:rPr>
              <w:t>Prestataires isolés en zone dédiée, accès temporaires et supervisés</w:t>
            </w:r>
          </w:p>
        </w:tc>
      </w:tr>
    </w:tbl>
    <w:p>
      <w:pPr>
        <w:spacing w:after="40"/>
      </w:pPr>
    </w:p>
    <w:p>
      <w:pPr>
        <w:pStyle w:val="Heading1"/>
      </w:pPr>
      <w:r>
        <w:t>5. Contraintes</w:t>
      </w:r>
    </w:p>
    <w:p>
      <w:pPr>
        <w:pStyle w:val="Heading2"/>
      </w:pPr>
      <w:r>
        <w:t>5.1 Budget</w:t>
      </w:r>
    </w:p>
    <w:p>
      <w:pPr>
        <w:spacing w:after="80"/>
      </w:pPr>
      <w:r>
        <w:rPr>
          <w:b w:val="0"/>
          <w:i w:val="0"/>
        </w:rPr>
        <w:t>Le budget n’a pas été communiqué dans la charte. L’enveloppe ci-dessous est une estimation d’ordre de grandeur (hypothèse) destinée à cadrer les arbitrages ; elle sera affinée après consultation des fournisseurs.</w:t>
      </w:r>
    </w:p>
    <w:tbl>
      <w:tblPr>
        <w:tblStyle w:val="TableGrid"/>
        <w:tblW w:type="auto" w:w="0"/>
        <w:jc w:val="center"/>
        <w:tblLayout w:type="fixed"/>
        <w:tblLook w:firstColumn="1" w:firstRow="1" w:lastColumn="0" w:lastRow="0" w:noHBand="0" w:noVBand="1" w:val="04A0"/>
        <w:tblLayout w:type="fixed"/>
      </w:tblPr>
      <w:tblGrid>
        <w:gridCol w:w="4309"/>
        <w:gridCol w:w="2608"/>
        <w:gridCol w:w="2381"/>
      </w:tblGrid>
      <w:tr>
        <w:trPr>
          <w:tblHeader w:val="true"/>
          <w:cantSplit/>
        </w:trPr>
        <w:tc>
          <w:tcPr>
            <w:tcW w:type="dxa" w:w="4309"/>
            <w:shd w:val="clear" w:color="auto" w:fill="0F4761"/>
          </w:tcPr>
          <w:p>
            <w:pPr>
              <w:spacing w:after="40" w:line="240" w:lineRule="auto"/>
            </w:pPr>
            <w:r/>
            <w:r>
              <w:rPr>
                <w:b/>
                <w:color w:val="FFFFFF"/>
                <w:sz w:val="18"/>
              </w:rPr>
              <w:t>Poste</w:t>
            </w:r>
          </w:p>
        </w:tc>
        <w:tc>
          <w:tcPr>
            <w:tcW w:type="dxa" w:w="2608"/>
            <w:shd w:val="clear" w:color="auto" w:fill="0F4761"/>
          </w:tcPr>
          <w:p>
            <w:pPr>
              <w:spacing w:after="40" w:line="240" w:lineRule="auto"/>
            </w:pPr>
            <w:r/>
            <w:r>
              <w:rPr>
                <w:b/>
                <w:color w:val="FFFFFF"/>
                <w:sz w:val="18"/>
              </w:rPr>
              <w:t>Estimation (hypothèse)</w:t>
            </w:r>
          </w:p>
        </w:tc>
        <w:tc>
          <w:tcPr>
            <w:tcW w:type="dxa" w:w="2381"/>
            <w:shd w:val="clear" w:color="auto" w:fill="0F4761"/>
          </w:tcPr>
          <w:p>
            <w:pPr>
              <w:spacing w:after="40" w:line="240" w:lineRule="auto"/>
            </w:pPr>
            <w:r/>
            <w:r>
              <w:rPr>
                <w:b/>
                <w:color w:val="FFFFFF"/>
                <w:sz w:val="18"/>
              </w:rPr>
              <w:t>Nature</w:t>
            </w:r>
          </w:p>
        </w:tc>
      </w:tr>
      <w:tr>
        <w:trPr>
          <w:cantSplit/>
        </w:trPr>
        <w:tc>
          <w:tcPr>
            <w:tcW w:type="dxa" w:w="4309"/>
          </w:tcPr>
          <w:p>
            <w:pPr>
              <w:spacing w:after="40" w:line="240" w:lineRule="auto"/>
            </w:pPr>
            <w:r/>
            <w:r>
              <w:rPr>
                <w:b/>
                <w:sz w:val="18"/>
              </w:rPr>
              <w:t>IAM / MFA / PAM (licences et intégration)</w:t>
            </w:r>
          </w:p>
        </w:tc>
        <w:tc>
          <w:tcPr>
            <w:tcW w:type="dxa" w:w="2608"/>
          </w:tcPr>
          <w:p>
            <w:pPr>
              <w:spacing w:after="40" w:line="240" w:lineRule="auto"/>
            </w:pPr>
            <w:r/>
            <w:r>
              <w:rPr>
                <w:sz w:val="18"/>
              </w:rPr>
              <w:t>250 – 350 k€</w:t>
            </w:r>
          </w:p>
        </w:tc>
        <w:tc>
          <w:tcPr>
            <w:tcW w:type="dxa" w:w="2381"/>
          </w:tcPr>
          <w:p>
            <w:pPr>
              <w:spacing w:after="40" w:line="240" w:lineRule="auto"/>
            </w:pPr>
            <w:r/>
            <w:r>
              <w:rPr>
                <w:sz w:val="18"/>
              </w:rPr>
              <w:t>Investissement + abonnement</w:t>
            </w:r>
          </w:p>
        </w:tc>
      </w:tr>
      <w:tr>
        <w:trPr>
          <w:cantSplit/>
        </w:trPr>
        <w:tc>
          <w:tcPr>
            <w:tcW w:type="dxa" w:w="4309"/>
            <w:shd w:val="clear" w:color="auto" w:fill="EAF1F5"/>
          </w:tcPr>
          <w:p>
            <w:pPr>
              <w:spacing w:after="40" w:line="240" w:lineRule="auto"/>
            </w:pPr>
            <w:r/>
            <w:r>
              <w:rPr>
                <w:b/>
                <w:sz w:val="18"/>
              </w:rPr>
              <w:t>SIEM et plate-forme de collecte</w:t>
            </w:r>
          </w:p>
        </w:tc>
        <w:tc>
          <w:tcPr>
            <w:tcW w:type="dxa" w:w="2608"/>
            <w:shd w:val="clear" w:color="auto" w:fill="EAF1F5"/>
          </w:tcPr>
          <w:p>
            <w:pPr>
              <w:spacing w:after="40" w:line="240" w:lineRule="auto"/>
            </w:pPr>
            <w:r/>
            <w:r>
              <w:rPr>
                <w:sz w:val="18"/>
              </w:rPr>
              <w:t>150 – 250 k€</w:t>
            </w:r>
          </w:p>
        </w:tc>
        <w:tc>
          <w:tcPr>
            <w:tcW w:type="dxa" w:w="2381"/>
            <w:shd w:val="clear" w:color="auto" w:fill="EAF1F5"/>
          </w:tcPr>
          <w:p>
            <w:pPr>
              <w:spacing w:after="40" w:line="240" w:lineRule="auto"/>
            </w:pPr>
            <w:r/>
            <w:r>
              <w:rPr>
                <w:sz w:val="18"/>
              </w:rPr>
              <w:t>Investissement + abonnement</w:t>
            </w:r>
          </w:p>
        </w:tc>
      </w:tr>
      <w:tr>
        <w:trPr>
          <w:cantSplit/>
        </w:trPr>
        <w:tc>
          <w:tcPr>
            <w:tcW w:type="dxa" w:w="4309"/>
          </w:tcPr>
          <w:p>
            <w:pPr>
              <w:spacing w:after="40" w:line="240" w:lineRule="auto"/>
            </w:pPr>
            <w:r/>
            <w:r>
              <w:rPr>
                <w:b/>
                <w:sz w:val="18"/>
              </w:rPr>
              <w:t>EDR (≈ 1 550 agents)</w:t>
            </w:r>
          </w:p>
        </w:tc>
        <w:tc>
          <w:tcPr>
            <w:tcW w:type="dxa" w:w="2608"/>
          </w:tcPr>
          <w:p>
            <w:pPr>
              <w:spacing w:after="40" w:line="240" w:lineRule="auto"/>
            </w:pPr>
            <w:r/>
            <w:r>
              <w:rPr>
                <w:sz w:val="18"/>
              </w:rPr>
              <w:t>80 – 120 k€ / an</w:t>
            </w:r>
          </w:p>
        </w:tc>
        <w:tc>
          <w:tcPr>
            <w:tcW w:type="dxa" w:w="2381"/>
          </w:tcPr>
          <w:p>
            <w:pPr>
              <w:spacing w:after="40" w:line="240" w:lineRule="auto"/>
            </w:pPr>
            <w:r/>
            <w:r>
              <w:rPr>
                <w:sz w:val="18"/>
              </w:rPr>
              <w:t>Abonnement</w:t>
            </w:r>
          </w:p>
        </w:tc>
      </w:tr>
      <w:tr>
        <w:trPr>
          <w:cantSplit/>
        </w:trPr>
        <w:tc>
          <w:tcPr>
            <w:tcW w:type="dxa" w:w="4309"/>
            <w:shd w:val="clear" w:color="auto" w:fill="EAF1F5"/>
          </w:tcPr>
          <w:p>
            <w:pPr>
              <w:spacing w:after="40" w:line="240" w:lineRule="auto"/>
            </w:pPr>
            <w:r/>
            <w:r>
              <w:rPr>
                <w:b/>
                <w:sz w:val="18"/>
              </w:rPr>
              <w:t>SOC externalisé (niveau 1, plage cible 24/7)</w:t>
            </w:r>
          </w:p>
        </w:tc>
        <w:tc>
          <w:tcPr>
            <w:tcW w:type="dxa" w:w="2608"/>
            <w:shd w:val="clear" w:color="auto" w:fill="EAF1F5"/>
          </w:tcPr>
          <w:p>
            <w:pPr>
              <w:spacing w:after="40" w:line="240" w:lineRule="auto"/>
            </w:pPr>
            <w:r/>
            <w:r>
              <w:rPr>
                <w:sz w:val="18"/>
              </w:rPr>
              <w:t>200 – 350 k€ / an</w:t>
            </w:r>
          </w:p>
        </w:tc>
        <w:tc>
          <w:tcPr>
            <w:tcW w:type="dxa" w:w="2381"/>
            <w:shd w:val="clear" w:color="auto" w:fill="EAF1F5"/>
          </w:tcPr>
          <w:p>
            <w:pPr>
              <w:spacing w:after="40" w:line="240" w:lineRule="auto"/>
            </w:pPr>
            <w:r/>
            <w:r>
              <w:rPr>
                <w:sz w:val="18"/>
              </w:rPr>
              <w:t>Fonctionnement</w:t>
            </w:r>
          </w:p>
        </w:tc>
      </w:tr>
      <w:tr>
        <w:trPr>
          <w:cantSplit/>
        </w:trPr>
        <w:tc>
          <w:tcPr>
            <w:tcW w:type="dxa" w:w="4309"/>
          </w:tcPr>
          <w:p>
            <w:pPr>
              <w:spacing w:after="40" w:line="240" w:lineRule="auto"/>
            </w:pPr>
            <w:r/>
            <w:r>
              <w:rPr>
                <w:b/>
                <w:sz w:val="18"/>
              </w:rPr>
              <w:t>Segmentation réseau et pare-feu</w:t>
            </w:r>
          </w:p>
        </w:tc>
        <w:tc>
          <w:tcPr>
            <w:tcW w:type="dxa" w:w="2608"/>
          </w:tcPr>
          <w:p>
            <w:pPr>
              <w:spacing w:after="40" w:line="240" w:lineRule="auto"/>
            </w:pPr>
            <w:r/>
            <w:r>
              <w:rPr>
                <w:sz w:val="18"/>
              </w:rPr>
              <w:t>150 – 250 k€</w:t>
            </w:r>
          </w:p>
        </w:tc>
        <w:tc>
          <w:tcPr>
            <w:tcW w:type="dxa" w:w="2381"/>
          </w:tcPr>
          <w:p>
            <w:pPr>
              <w:spacing w:after="40" w:line="240" w:lineRule="auto"/>
            </w:pPr>
            <w:r/>
            <w:r>
              <w:rPr>
                <w:sz w:val="18"/>
              </w:rPr>
              <w:t>Investissement</w:t>
            </w:r>
          </w:p>
        </w:tc>
      </w:tr>
      <w:tr>
        <w:trPr>
          <w:cantSplit/>
        </w:trPr>
        <w:tc>
          <w:tcPr>
            <w:tcW w:type="dxa" w:w="4309"/>
            <w:shd w:val="clear" w:color="auto" w:fill="EAF1F5"/>
          </w:tcPr>
          <w:p>
            <w:pPr>
              <w:spacing w:after="40" w:line="240" w:lineRule="auto"/>
            </w:pPr>
            <w:r/>
            <w:r>
              <w:rPr>
                <w:b/>
                <w:sz w:val="18"/>
              </w:rPr>
              <w:t>Prestations de projet (conseil, intégration, recette)</w:t>
            </w:r>
          </w:p>
        </w:tc>
        <w:tc>
          <w:tcPr>
            <w:tcW w:type="dxa" w:w="2608"/>
            <w:shd w:val="clear" w:color="auto" w:fill="EAF1F5"/>
          </w:tcPr>
          <w:p>
            <w:pPr>
              <w:spacing w:after="40" w:line="240" w:lineRule="auto"/>
            </w:pPr>
            <w:r/>
            <w:r>
              <w:rPr>
                <w:sz w:val="18"/>
              </w:rPr>
              <w:t>250 – 350 k€</w:t>
            </w:r>
          </w:p>
        </w:tc>
        <w:tc>
          <w:tcPr>
            <w:tcW w:type="dxa" w:w="2381"/>
            <w:shd w:val="clear" w:color="auto" w:fill="EAF1F5"/>
          </w:tcPr>
          <w:p>
            <w:pPr>
              <w:spacing w:after="40" w:line="240" w:lineRule="auto"/>
            </w:pPr>
            <w:r/>
            <w:r>
              <w:rPr>
                <w:sz w:val="18"/>
              </w:rPr>
              <w:t>Prestation</w:t>
            </w:r>
          </w:p>
        </w:tc>
      </w:tr>
      <w:tr>
        <w:trPr>
          <w:cantSplit/>
        </w:trPr>
        <w:tc>
          <w:tcPr>
            <w:tcW w:type="dxa" w:w="4309"/>
          </w:tcPr>
          <w:p>
            <w:pPr>
              <w:spacing w:after="40" w:line="240" w:lineRule="auto"/>
            </w:pPr>
            <w:r/>
            <w:r>
              <w:rPr>
                <w:b/>
                <w:sz w:val="18"/>
              </w:rPr>
              <w:t>Formation et conduite du changement</w:t>
            </w:r>
          </w:p>
        </w:tc>
        <w:tc>
          <w:tcPr>
            <w:tcW w:type="dxa" w:w="2608"/>
          </w:tcPr>
          <w:p>
            <w:pPr>
              <w:spacing w:after="40" w:line="240" w:lineRule="auto"/>
            </w:pPr>
            <w:r/>
            <w:r>
              <w:rPr>
                <w:sz w:val="18"/>
              </w:rPr>
              <w:t>30 – 50 k€</w:t>
            </w:r>
          </w:p>
        </w:tc>
        <w:tc>
          <w:tcPr>
            <w:tcW w:type="dxa" w:w="2381"/>
          </w:tcPr>
          <w:p>
            <w:pPr>
              <w:spacing w:after="40" w:line="240" w:lineRule="auto"/>
            </w:pPr>
            <w:r/>
            <w:r>
              <w:rPr>
                <w:sz w:val="18"/>
              </w:rPr>
              <w:t>Prestation</w:t>
            </w:r>
          </w:p>
        </w:tc>
      </w:tr>
      <w:tr>
        <w:trPr>
          <w:cantSplit/>
        </w:trPr>
        <w:tc>
          <w:tcPr>
            <w:tcW w:type="dxa" w:w="4309"/>
            <w:shd w:val="clear" w:color="auto" w:fill="EAF1F5"/>
          </w:tcPr>
          <w:p>
            <w:pPr>
              <w:spacing w:after="40" w:line="240" w:lineRule="auto"/>
            </w:pPr>
            <w:r/>
            <w:r>
              <w:rPr>
                <w:b/>
                <w:sz w:val="18"/>
              </w:rPr>
              <w:t>Provision pour aléas (10 – 15 %)</w:t>
            </w:r>
          </w:p>
        </w:tc>
        <w:tc>
          <w:tcPr>
            <w:tcW w:type="dxa" w:w="2608"/>
            <w:shd w:val="clear" w:color="auto" w:fill="EAF1F5"/>
          </w:tcPr>
          <w:p>
            <w:pPr>
              <w:spacing w:after="40" w:line="240" w:lineRule="auto"/>
            </w:pPr>
            <w:r/>
            <w:r>
              <w:rPr>
                <w:sz w:val="18"/>
              </w:rPr>
              <w:t>≈ 150 k€</w:t>
            </w:r>
          </w:p>
        </w:tc>
        <w:tc>
          <w:tcPr>
            <w:tcW w:type="dxa" w:w="2381"/>
            <w:shd w:val="clear" w:color="auto" w:fill="EAF1F5"/>
          </w:tcPr>
          <w:p>
            <w:pPr>
              <w:spacing w:after="40" w:line="240" w:lineRule="auto"/>
            </w:pPr>
            <w:r/>
            <w:r>
              <w:rPr>
                <w:sz w:val="18"/>
              </w:rPr>
              <w:t>Réserve</w:t>
            </w:r>
          </w:p>
        </w:tc>
      </w:tr>
      <w:tr>
        <w:trPr>
          <w:cantSplit/>
        </w:trPr>
        <w:tc>
          <w:tcPr>
            <w:tcW w:type="dxa" w:w="4309"/>
          </w:tcPr>
          <w:p>
            <w:pPr>
              <w:spacing w:after="40" w:line="240" w:lineRule="auto"/>
            </w:pPr>
            <w:r/>
            <w:r>
              <w:rPr>
                <w:b/>
                <w:sz w:val="18"/>
              </w:rPr>
              <w:t>Total indicatif première année</w:t>
            </w:r>
          </w:p>
        </w:tc>
        <w:tc>
          <w:tcPr>
            <w:tcW w:type="dxa" w:w="2608"/>
          </w:tcPr>
          <w:p>
            <w:pPr>
              <w:spacing w:after="40" w:line="240" w:lineRule="auto"/>
            </w:pPr>
            <w:r/>
            <w:r>
              <w:rPr>
                <w:sz w:val="18"/>
              </w:rPr>
              <w:t>≈ 1,3 – 1,9 M€</w:t>
            </w:r>
          </w:p>
        </w:tc>
        <w:tc>
          <w:tcPr>
            <w:tcW w:type="dxa" w:w="2381"/>
          </w:tcPr>
          <w:p>
            <w:pPr>
              <w:spacing w:after="40" w:line="240" w:lineRule="auto"/>
            </w:pPr>
            <w:r/>
            <w:r>
              <w:rPr>
                <w:sz w:val="18"/>
              </w:rPr>
            </w:r>
          </w:p>
        </w:tc>
      </w:tr>
    </w:tbl>
    <w:p>
      <w:pPr>
        <w:spacing w:after="40"/>
      </w:pPr>
    </w:p>
    <w:p>
      <w:r>
        <w:rPr>
          <w:b w:val="0"/>
          <w:i w:val="0"/>
        </w:rPr>
        <w:t>Contrainte de pilotage : tout dépassement supérieur à 10 % de l’enveloppe validée doit être arbitré en comité de pilotage. Les arbitrages SOC externalisé / internalisé et solution SaaS / hébergée sont les principaux leviers de coût.</w:t>
      </w:r>
    </w:p>
    <w:p>
      <w:pPr>
        <w:pStyle w:val="Heading2"/>
      </w:pPr>
      <w:r>
        <w:t>5.2 Planning</w:t>
      </w:r>
    </w:p>
    <w:p>
      <w:r>
        <w:rPr>
          <w:b w:val="0"/>
          <w:i w:val="0"/>
        </w:rPr>
        <w:t>Le projet dure 12 mois et doit respecter les jalons de la charte. Le déploiement évite les périodes de forte activité (clôtures trimestrielles, fin d’année).</w:t>
      </w:r>
    </w:p>
    <w:tbl>
      <w:tblPr>
        <w:tblStyle w:val="TableGrid"/>
        <w:tblW w:type="auto" w:w="0"/>
        <w:jc w:val="center"/>
        <w:tblLayout w:type="fixed"/>
        <w:tblLook w:firstColumn="1" w:firstRow="1" w:lastColumn="0" w:lastRow="0" w:noHBand="0" w:noVBand="1" w:val="04A0"/>
        <w:tblLayout w:type="fixed"/>
      </w:tblPr>
      <w:tblGrid>
        <w:gridCol w:w="1927"/>
        <w:gridCol w:w="1247"/>
        <w:gridCol w:w="4195"/>
        <w:gridCol w:w="1927"/>
      </w:tblGrid>
      <w:tr>
        <w:trPr>
          <w:tblHeader w:val="true"/>
          <w:cantSplit/>
        </w:trPr>
        <w:tc>
          <w:tcPr>
            <w:tcW w:type="dxa" w:w="1928"/>
            <w:shd w:val="clear" w:color="auto" w:fill="0F4761"/>
          </w:tcPr>
          <w:p>
            <w:pPr>
              <w:spacing w:after="40" w:line="240" w:lineRule="auto"/>
            </w:pPr>
            <w:r/>
            <w:r>
              <w:rPr>
                <w:b/>
                <w:color w:val="FFFFFF"/>
                <w:sz w:val="17"/>
              </w:rPr>
              <w:t>Phase</w:t>
            </w:r>
          </w:p>
        </w:tc>
        <w:tc>
          <w:tcPr>
            <w:tcW w:type="dxa" w:w="1247"/>
            <w:shd w:val="clear" w:color="auto" w:fill="0F4761"/>
          </w:tcPr>
          <w:p>
            <w:pPr>
              <w:spacing w:after="40" w:line="240" w:lineRule="auto"/>
            </w:pPr>
            <w:r/>
            <w:r>
              <w:rPr>
                <w:b/>
                <w:color w:val="FFFFFF"/>
                <w:sz w:val="17"/>
              </w:rPr>
              <w:t>Période</w:t>
            </w:r>
          </w:p>
        </w:tc>
        <w:tc>
          <w:tcPr>
            <w:tcW w:type="dxa" w:w="4195"/>
            <w:shd w:val="clear" w:color="auto" w:fill="0F4761"/>
          </w:tcPr>
          <w:p>
            <w:pPr>
              <w:spacing w:after="40" w:line="240" w:lineRule="auto"/>
            </w:pPr>
            <w:r/>
            <w:r>
              <w:rPr>
                <w:b/>
                <w:color w:val="FFFFFF"/>
                <w:sz w:val="17"/>
              </w:rPr>
              <w:t>Contenu principal</w:t>
            </w:r>
          </w:p>
        </w:tc>
        <w:tc>
          <w:tcPr>
            <w:tcW w:type="dxa" w:w="1928"/>
            <w:shd w:val="clear" w:color="auto" w:fill="0F4761"/>
          </w:tcPr>
          <w:p>
            <w:pPr>
              <w:spacing w:after="40" w:line="240" w:lineRule="auto"/>
            </w:pPr>
            <w:r/>
            <w:r>
              <w:rPr>
                <w:b/>
                <w:color w:val="FFFFFF"/>
                <w:sz w:val="17"/>
              </w:rPr>
              <w:t>Jalon</w:t>
            </w:r>
          </w:p>
        </w:tc>
      </w:tr>
      <w:tr>
        <w:trPr>
          <w:cantSplit/>
        </w:trPr>
        <w:tc>
          <w:tcPr>
            <w:tcW w:type="dxa" w:w="1928"/>
          </w:tcPr>
          <w:p>
            <w:pPr>
              <w:spacing w:after="40" w:line="240" w:lineRule="auto"/>
            </w:pPr>
            <w:r/>
            <w:r>
              <w:rPr>
                <w:b/>
                <w:sz w:val="17"/>
              </w:rPr>
              <w:t>0. Initialisation</w:t>
            </w:r>
          </w:p>
        </w:tc>
        <w:tc>
          <w:tcPr>
            <w:tcW w:type="dxa" w:w="1247"/>
          </w:tcPr>
          <w:p>
            <w:pPr>
              <w:spacing w:after="40" w:line="240" w:lineRule="auto"/>
            </w:pPr>
            <w:r/>
            <w:r>
              <w:rPr>
                <w:sz w:val="17"/>
              </w:rPr>
              <w:t>M1</w:t>
            </w:r>
          </w:p>
        </w:tc>
        <w:tc>
          <w:tcPr>
            <w:tcW w:type="dxa" w:w="4195"/>
          </w:tcPr>
          <w:p>
            <w:pPr>
              <w:spacing w:after="40" w:line="240" w:lineRule="auto"/>
            </w:pPr>
            <w:r/>
            <w:r>
              <w:rPr>
                <w:sz w:val="17"/>
              </w:rPr>
              <w:t>Comité de lancement, validation des hypothèses, inventaires, cartographie des flux</w:t>
            </w:r>
          </w:p>
        </w:tc>
        <w:tc>
          <w:tcPr>
            <w:tcW w:type="dxa" w:w="1928"/>
          </w:tcPr>
          <w:p>
            <w:pPr>
              <w:spacing w:after="40" w:line="240" w:lineRule="auto"/>
            </w:pPr>
            <w:r/>
            <w:r>
              <w:rPr>
                <w:sz w:val="17"/>
              </w:rPr>
              <w:t>Validation du cadrage</w:t>
            </w:r>
          </w:p>
        </w:tc>
      </w:tr>
      <w:tr>
        <w:trPr>
          <w:cantSplit/>
        </w:trPr>
        <w:tc>
          <w:tcPr>
            <w:tcW w:type="dxa" w:w="1928"/>
            <w:shd w:val="clear" w:color="auto" w:fill="EAF1F5"/>
          </w:tcPr>
          <w:p>
            <w:pPr>
              <w:spacing w:after="40" w:line="240" w:lineRule="auto"/>
            </w:pPr>
            <w:r/>
            <w:r>
              <w:rPr>
                <w:b/>
                <w:sz w:val="17"/>
              </w:rPr>
              <w:t>1. Fondations IAM</w:t>
            </w:r>
          </w:p>
        </w:tc>
        <w:tc>
          <w:tcPr>
            <w:tcW w:type="dxa" w:w="1247"/>
            <w:shd w:val="clear" w:color="auto" w:fill="EAF1F5"/>
          </w:tcPr>
          <w:p>
            <w:pPr>
              <w:spacing w:after="40" w:line="240" w:lineRule="auto"/>
            </w:pPr>
            <w:r/>
            <w:r>
              <w:rPr>
                <w:sz w:val="17"/>
              </w:rPr>
              <w:t>M1 – M3</w:t>
            </w:r>
          </w:p>
        </w:tc>
        <w:tc>
          <w:tcPr>
            <w:tcW w:type="dxa" w:w="4195"/>
            <w:shd w:val="clear" w:color="auto" w:fill="EAF1F5"/>
          </w:tcPr>
          <w:p>
            <w:pPr>
              <w:spacing w:after="40" w:line="240" w:lineRule="auto"/>
            </w:pPr>
            <w:r/>
            <w:r>
              <w:rPr>
                <w:sz w:val="17"/>
              </w:rPr>
              <w:t>Assainissement de l’annuaire, choix de la solution IAM/PAM, pilote MFA sur les populations à risque (administrateurs)</w:t>
            </w:r>
          </w:p>
        </w:tc>
        <w:tc>
          <w:tcPr>
            <w:tcW w:type="dxa" w:w="1928"/>
            <w:shd w:val="clear" w:color="auto" w:fill="EAF1F5"/>
          </w:tcPr>
          <w:p>
            <w:pPr>
              <w:spacing w:after="40" w:line="240" w:lineRule="auto"/>
            </w:pPr>
            <w:r/>
            <w:r>
              <w:rPr>
                <w:sz w:val="17"/>
              </w:rPr>
              <w:t>Pilote MFA validé</w:t>
            </w:r>
          </w:p>
        </w:tc>
      </w:tr>
      <w:tr>
        <w:trPr>
          <w:cantSplit/>
        </w:trPr>
        <w:tc>
          <w:tcPr>
            <w:tcW w:type="dxa" w:w="1928"/>
          </w:tcPr>
          <w:p>
            <w:pPr>
              <w:spacing w:after="40" w:line="240" w:lineRule="auto"/>
            </w:pPr>
            <w:r/>
            <w:r>
              <w:rPr>
                <w:b/>
                <w:sz w:val="17"/>
              </w:rPr>
              <w:t>2. Réduction des privilèges</w:t>
            </w:r>
          </w:p>
        </w:tc>
        <w:tc>
          <w:tcPr>
            <w:tcW w:type="dxa" w:w="1247"/>
          </w:tcPr>
          <w:p>
            <w:pPr>
              <w:spacing w:after="40" w:line="240" w:lineRule="auto"/>
            </w:pPr>
            <w:r/>
            <w:r>
              <w:rPr>
                <w:sz w:val="17"/>
              </w:rPr>
              <w:t>M2 – M6</w:t>
            </w:r>
          </w:p>
        </w:tc>
        <w:tc>
          <w:tcPr>
            <w:tcW w:type="dxa" w:w="4195"/>
          </w:tcPr>
          <w:p>
            <w:pPr>
              <w:spacing w:after="40" w:line="240" w:lineRule="auto"/>
            </w:pPr>
            <w:r/>
            <w:r>
              <w:rPr>
                <w:sz w:val="17"/>
              </w:rPr>
              <w:t>Retrait des droits admin locaux, coffre PAM, premiers comptes à privilèges couverts</w:t>
            </w:r>
          </w:p>
        </w:tc>
        <w:tc>
          <w:tcPr>
            <w:tcW w:type="dxa" w:w="1928"/>
          </w:tcPr>
          <w:p>
            <w:pPr>
              <w:spacing w:after="40" w:line="240" w:lineRule="auto"/>
            </w:pPr>
            <w:r/>
            <w:r>
              <w:rPr>
                <w:sz w:val="17"/>
              </w:rPr>
              <w:t>O1 : -80 % au M6</w:t>
            </w:r>
          </w:p>
        </w:tc>
      </w:tr>
      <w:tr>
        <w:trPr>
          <w:cantSplit/>
        </w:trPr>
        <w:tc>
          <w:tcPr>
            <w:tcW w:type="dxa" w:w="1928"/>
            <w:shd w:val="clear" w:color="auto" w:fill="EAF1F5"/>
          </w:tcPr>
          <w:p>
            <w:pPr>
              <w:spacing w:after="40" w:line="240" w:lineRule="auto"/>
            </w:pPr>
            <w:r/>
            <w:r>
              <w:rPr>
                <w:b/>
                <w:sz w:val="17"/>
              </w:rPr>
              <w:t>3. Supervision</w:t>
            </w:r>
          </w:p>
        </w:tc>
        <w:tc>
          <w:tcPr>
            <w:tcW w:type="dxa" w:w="1247"/>
            <w:shd w:val="clear" w:color="auto" w:fill="EAF1F5"/>
          </w:tcPr>
          <w:p>
            <w:pPr>
              <w:spacing w:after="40" w:line="240" w:lineRule="auto"/>
            </w:pPr>
            <w:r/>
            <w:r>
              <w:rPr>
                <w:sz w:val="17"/>
              </w:rPr>
              <w:t>M3 – M9</w:t>
            </w:r>
          </w:p>
        </w:tc>
        <w:tc>
          <w:tcPr>
            <w:tcW w:type="dxa" w:w="4195"/>
            <w:shd w:val="clear" w:color="auto" w:fill="EAF1F5"/>
          </w:tcPr>
          <w:p>
            <w:pPr>
              <w:spacing w:after="40" w:line="240" w:lineRule="auto"/>
            </w:pPr>
            <w:r/>
            <w:r>
              <w:rPr>
                <w:sz w:val="17"/>
              </w:rPr>
              <w:t>Choix SIEM et SOC, collecte des logs, cas d’usage, EDR, mise en service SOC</w:t>
            </w:r>
          </w:p>
        </w:tc>
        <w:tc>
          <w:tcPr>
            <w:tcW w:type="dxa" w:w="1928"/>
            <w:shd w:val="clear" w:color="auto" w:fill="EAF1F5"/>
          </w:tcPr>
          <w:p>
            <w:pPr>
              <w:spacing w:after="40" w:line="240" w:lineRule="auto"/>
            </w:pPr>
            <w:r/>
            <w:r>
              <w:rPr>
                <w:sz w:val="17"/>
              </w:rPr>
              <w:t>O3 : SOC niveau 1 au M9</w:t>
            </w:r>
          </w:p>
        </w:tc>
      </w:tr>
      <w:tr>
        <w:trPr>
          <w:cantSplit/>
        </w:trPr>
        <w:tc>
          <w:tcPr>
            <w:tcW w:type="dxa" w:w="1928"/>
          </w:tcPr>
          <w:p>
            <w:pPr>
              <w:spacing w:after="40" w:line="240" w:lineRule="auto"/>
            </w:pPr>
            <w:r/>
            <w:r>
              <w:rPr>
                <w:b/>
                <w:sz w:val="17"/>
              </w:rPr>
              <w:t>4. Généralisation MFA et segmentation</w:t>
            </w:r>
          </w:p>
        </w:tc>
        <w:tc>
          <w:tcPr>
            <w:tcW w:type="dxa" w:w="1247"/>
          </w:tcPr>
          <w:p>
            <w:pPr>
              <w:spacing w:after="40" w:line="240" w:lineRule="auto"/>
            </w:pPr>
            <w:r/>
            <w:r>
              <w:rPr>
                <w:sz w:val="17"/>
              </w:rPr>
              <w:t>M5 – M11</w:t>
            </w:r>
          </w:p>
        </w:tc>
        <w:tc>
          <w:tcPr>
            <w:tcW w:type="dxa" w:w="4195"/>
          </w:tcPr>
          <w:p>
            <w:pPr>
              <w:spacing w:after="40" w:line="240" w:lineRule="auto"/>
            </w:pPr>
            <w:r/>
            <w:r>
              <w:rPr>
                <w:sz w:val="17"/>
              </w:rPr>
              <w:t>MFA par vagues, segmentation des zones sensibles, première campagne de recertification</w:t>
            </w:r>
          </w:p>
        </w:tc>
        <w:tc>
          <w:tcPr>
            <w:tcW w:type="dxa" w:w="1928"/>
          </w:tcPr>
          <w:p>
            <w:pPr>
              <w:spacing w:after="40" w:line="240" w:lineRule="auto"/>
            </w:pPr>
            <w:r/>
            <w:r>
              <w:rPr>
                <w:sz w:val="17"/>
              </w:rPr>
              <w:t>O5 : recertification dès M6</w:t>
            </w:r>
          </w:p>
        </w:tc>
      </w:tr>
      <w:tr>
        <w:trPr>
          <w:cantSplit/>
        </w:trPr>
        <w:tc>
          <w:tcPr>
            <w:tcW w:type="dxa" w:w="1928"/>
            <w:shd w:val="clear" w:color="auto" w:fill="EAF1F5"/>
          </w:tcPr>
          <w:p>
            <w:pPr>
              <w:spacing w:after="40" w:line="240" w:lineRule="auto"/>
            </w:pPr>
            <w:r/>
            <w:r>
              <w:rPr>
                <w:b/>
                <w:sz w:val="17"/>
              </w:rPr>
              <w:t>5. Recette et audit</w:t>
            </w:r>
          </w:p>
        </w:tc>
        <w:tc>
          <w:tcPr>
            <w:tcW w:type="dxa" w:w="1247"/>
            <w:shd w:val="clear" w:color="auto" w:fill="EAF1F5"/>
          </w:tcPr>
          <w:p>
            <w:pPr>
              <w:spacing w:after="40" w:line="240" w:lineRule="auto"/>
            </w:pPr>
            <w:r/>
            <w:r>
              <w:rPr>
                <w:sz w:val="17"/>
              </w:rPr>
              <w:t>M10 – M12</w:t>
            </w:r>
          </w:p>
        </w:tc>
        <w:tc>
          <w:tcPr>
            <w:tcW w:type="dxa" w:w="4195"/>
            <w:shd w:val="clear" w:color="auto" w:fill="EAF1F5"/>
          </w:tcPr>
          <w:p>
            <w:pPr>
              <w:spacing w:after="40" w:line="240" w:lineRule="auto"/>
            </w:pPr>
            <w:r/>
            <w:r>
              <w:rPr>
                <w:sz w:val="17"/>
              </w:rPr>
              <w:t>Tests, exercices de crise, mesure des KPI, préparation à l’audit ACPR</w:t>
            </w:r>
          </w:p>
        </w:tc>
        <w:tc>
          <w:tcPr>
            <w:tcW w:type="dxa" w:w="1928"/>
            <w:shd w:val="clear" w:color="auto" w:fill="EAF1F5"/>
          </w:tcPr>
          <w:p>
            <w:pPr>
              <w:spacing w:after="40" w:line="240" w:lineRule="auto"/>
            </w:pPr>
            <w:r/>
            <w:r>
              <w:rPr>
                <w:sz w:val="17"/>
              </w:rPr>
              <w:t>O2 : MFA 100 % au M12</w:t>
            </w:r>
          </w:p>
        </w:tc>
      </w:tr>
    </w:tbl>
    <w:p>
      <w:pPr>
        <w:spacing w:after="40"/>
      </w:pPr>
    </w:p>
    <w:p>
      <w:pPr>
        <w:pStyle w:val="Heading2"/>
      </w:pPr>
      <w:r>
        <w:t>5.3 Effectifs</w:t>
      </w:r>
    </w:p>
    <w:tbl>
      <w:tblPr>
        <w:tblStyle w:val="TableGrid"/>
        <w:tblW w:type="auto" w:w="0"/>
        <w:jc w:val="center"/>
        <w:tblLayout w:type="fixed"/>
        <w:tblLook w:firstColumn="1" w:firstRow="1" w:lastColumn="0" w:lastRow="0" w:noHBand="0" w:noVBand="1" w:val="04A0"/>
        <w:tblLayout w:type="fixed"/>
      </w:tblPr>
      <w:tblGrid>
        <w:gridCol w:w="3061"/>
        <w:gridCol w:w="3515"/>
        <w:gridCol w:w="2721"/>
      </w:tblGrid>
      <w:tr>
        <w:trPr>
          <w:tblHeader w:val="true"/>
          <w:cantSplit/>
        </w:trPr>
        <w:tc>
          <w:tcPr>
            <w:tcW w:type="dxa" w:w="3061"/>
            <w:shd w:val="clear" w:color="auto" w:fill="0F4761"/>
          </w:tcPr>
          <w:p>
            <w:pPr>
              <w:spacing w:after="40" w:line="240" w:lineRule="auto"/>
            </w:pPr>
            <w:r/>
            <w:r>
              <w:rPr>
                <w:b/>
                <w:color w:val="FFFFFF"/>
                <w:sz w:val="18"/>
              </w:rPr>
              <w:t>Rôle</w:t>
            </w:r>
          </w:p>
        </w:tc>
        <w:tc>
          <w:tcPr>
            <w:tcW w:type="dxa" w:w="3515"/>
            <w:shd w:val="clear" w:color="auto" w:fill="0F4761"/>
          </w:tcPr>
          <w:p>
            <w:pPr>
              <w:spacing w:after="40" w:line="240" w:lineRule="auto"/>
            </w:pPr>
            <w:r/>
            <w:r>
              <w:rPr>
                <w:b/>
                <w:color w:val="FFFFFF"/>
                <w:sz w:val="18"/>
              </w:rPr>
              <w:t>Équipe</w:t>
            </w:r>
          </w:p>
        </w:tc>
        <w:tc>
          <w:tcPr>
            <w:tcW w:type="dxa" w:w="2721"/>
            <w:shd w:val="clear" w:color="auto" w:fill="0F4761"/>
          </w:tcPr>
          <w:p>
            <w:pPr>
              <w:spacing w:after="40" w:line="240" w:lineRule="auto"/>
            </w:pPr>
            <w:r/>
            <w:r>
              <w:rPr>
                <w:b/>
                <w:color w:val="FFFFFF"/>
                <w:sz w:val="18"/>
              </w:rPr>
              <w:t>Charge indicative</w:t>
            </w:r>
          </w:p>
        </w:tc>
      </w:tr>
      <w:tr>
        <w:trPr>
          <w:cantSplit/>
        </w:trPr>
        <w:tc>
          <w:tcPr>
            <w:tcW w:type="dxa" w:w="3061"/>
          </w:tcPr>
          <w:p>
            <w:pPr>
              <w:spacing w:after="40" w:line="240" w:lineRule="auto"/>
            </w:pPr>
            <w:r/>
            <w:r>
              <w:rPr>
                <w:b/>
                <w:sz w:val="18"/>
              </w:rPr>
              <w:t>Pilotage projet (DA Consulting)</w:t>
            </w:r>
          </w:p>
        </w:tc>
        <w:tc>
          <w:tcPr>
            <w:tcW w:type="dxa" w:w="3515"/>
          </w:tcPr>
          <w:p>
            <w:pPr>
              <w:spacing w:after="40" w:line="240" w:lineRule="auto"/>
            </w:pPr>
            <w:r/>
            <w:r>
              <w:rPr>
                <w:sz w:val="18"/>
              </w:rPr>
              <w:t>Chef de projet</w:t>
            </w:r>
          </w:p>
        </w:tc>
        <w:tc>
          <w:tcPr>
            <w:tcW w:type="dxa" w:w="2721"/>
          </w:tcPr>
          <w:p>
            <w:pPr>
              <w:spacing w:after="40" w:line="240" w:lineRule="auto"/>
            </w:pPr>
            <w:r/>
            <w:r>
              <w:rPr>
                <w:sz w:val="18"/>
              </w:rPr>
              <w:t>100 % sur 12 mois</w:t>
            </w:r>
          </w:p>
        </w:tc>
      </w:tr>
      <w:tr>
        <w:trPr>
          <w:cantSplit/>
        </w:trPr>
        <w:tc>
          <w:tcPr>
            <w:tcW w:type="dxa" w:w="3061"/>
            <w:shd w:val="clear" w:color="auto" w:fill="EAF1F5"/>
          </w:tcPr>
          <w:p>
            <w:pPr>
              <w:spacing w:after="40" w:line="240" w:lineRule="auto"/>
            </w:pPr>
            <w:r/>
            <w:r>
              <w:rPr>
                <w:b/>
                <w:sz w:val="18"/>
              </w:rPr>
              <w:t>Architecture et sécurité (DA Consulting)</w:t>
            </w:r>
          </w:p>
        </w:tc>
        <w:tc>
          <w:tcPr>
            <w:tcW w:type="dxa" w:w="3515"/>
            <w:shd w:val="clear" w:color="auto" w:fill="EAF1F5"/>
          </w:tcPr>
          <w:p>
            <w:pPr>
              <w:spacing w:after="40" w:line="240" w:lineRule="auto"/>
            </w:pPr>
            <w:r/>
            <w:r>
              <w:rPr>
                <w:sz w:val="18"/>
              </w:rPr>
              <w:t>Consultants IAM / SOC / réseau (2 à 3)</w:t>
            </w:r>
          </w:p>
        </w:tc>
        <w:tc>
          <w:tcPr>
            <w:tcW w:type="dxa" w:w="2721"/>
            <w:shd w:val="clear" w:color="auto" w:fill="EAF1F5"/>
          </w:tcPr>
          <w:p>
            <w:pPr>
              <w:spacing w:after="40" w:line="240" w:lineRule="auto"/>
            </w:pPr>
            <w:r/>
            <w:r>
              <w:rPr>
                <w:sz w:val="18"/>
              </w:rPr>
              <w:t>100 % selon phases</w:t>
            </w:r>
          </w:p>
        </w:tc>
      </w:tr>
      <w:tr>
        <w:trPr>
          <w:cantSplit/>
        </w:trPr>
        <w:tc>
          <w:tcPr>
            <w:tcW w:type="dxa" w:w="3061"/>
          </w:tcPr>
          <w:p>
            <w:pPr>
              <w:spacing w:after="40" w:line="240" w:lineRule="auto"/>
            </w:pPr>
            <w:r/>
            <w:r>
              <w:rPr>
                <w:b/>
                <w:sz w:val="18"/>
              </w:rPr>
              <w:t>Sponsor et gouvernance (Financia)</w:t>
            </w:r>
          </w:p>
        </w:tc>
        <w:tc>
          <w:tcPr>
            <w:tcW w:type="dxa" w:w="3515"/>
          </w:tcPr>
          <w:p>
            <w:pPr>
              <w:spacing w:after="40" w:line="240" w:lineRule="auto"/>
            </w:pPr>
            <w:r/>
            <w:r>
              <w:rPr>
                <w:sz w:val="18"/>
              </w:rPr>
              <w:t>Direction Générale, RSSI</w:t>
            </w:r>
          </w:p>
        </w:tc>
        <w:tc>
          <w:tcPr>
            <w:tcW w:type="dxa" w:w="2721"/>
          </w:tcPr>
          <w:p>
            <w:pPr>
              <w:spacing w:after="40" w:line="240" w:lineRule="auto"/>
            </w:pPr>
            <w:r/>
            <w:r>
              <w:rPr>
                <w:sz w:val="18"/>
              </w:rPr>
              <w:t>Comités mensuels ; RSSI ≈ 40 %</w:t>
            </w:r>
          </w:p>
        </w:tc>
      </w:tr>
      <w:tr>
        <w:trPr>
          <w:cantSplit/>
        </w:trPr>
        <w:tc>
          <w:tcPr>
            <w:tcW w:type="dxa" w:w="3061"/>
            <w:shd w:val="clear" w:color="auto" w:fill="EAF1F5"/>
          </w:tcPr>
          <w:p>
            <w:pPr>
              <w:spacing w:after="40" w:line="240" w:lineRule="auto"/>
            </w:pPr>
            <w:r/>
            <w:r>
              <w:rPr>
                <w:b/>
                <w:sz w:val="18"/>
              </w:rPr>
              <w:t>Exploitation et intégration (Financia)</w:t>
            </w:r>
          </w:p>
        </w:tc>
        <w:tc>
          <w:tcPr>
            <w:tcW w:type="dxa" w:w="3515"/>
            <w:shd w:val="clear" w:color="auto" w:fill="EAF1F5"/>
          </w:tcPr>
          <w:p>
            <w:pPr>
              <w:spacing w:after="40" w:line="240" w:lineRule="auto"/>
            </w:pPr>
            <w:r/>
            <w:r>
              <w:rPr>
                <w:sz w:val="18"/>
              </w:rPr>
              <w:t>DSI : équipes systèmes, réseau, support</w:t>
            </w:r>
          </w:p>
        </w:tc>
        <w:tc>
          <w:tcPr>
            <w:tcW w:type="dxa" w:w="2721"/>
            <w:shd w:val="clear" w:color="auto" w:fill="EAF1F5"/>
          </w:tcPr>
          <w:p>
            <w:pPr>
              <w:spacing w:after="40" w:line="240" w:lineRule="auto"/>
            </w:pPr>
            <w:r/>
            <w:r>
              <w:rPr>
                <w:sz w:val="18"/>
              </w:rPr>
              <w:t>≈ 3 à 4 ETP à temps partiel</w:t>
            </w:r>
          </w:p>
        </w:tc>
      </w:tr>
      <w:tr>
        <w:trPr>
          <w:cantSplit/>
        </w:trPr>
        <w:tc>
          <w:tcPr>
            <w:tcW w:type="dxa" w:w="3061"/>
          </w:tcPr>
          <w:p>
            <w:pPr>
              <w:spacing w:after="40" w:line="240" w:lineRule="auto"/>
            </w:pPr>
            <w:r/>
            <w:r>
              <w:rPr>
                <w:b/>
                <w:sz w:val="18"/>
              </w:rPr>
              <w:t>Conformité et risques (Financia)</w:t>
            </w:r>
          </w:p>
        </w:tc>
        <w:tc>
          <w:tcPr>
            <w:tcW w:type="dxa" w:w="3515"/>
          </w:tcPr>
          <w:p>
            <w:pPr>
              <w:spacing w:after="40" w:line="240" w:lineRule="auto"/>
            </w:pPr>
            <w:r/>
            <w:r>
              <w:rPr>
                <w:sz w:val="18"/>
              </w:rPr>
              <w:t>Conformité, DPO, Risques</w:t>
            </w:r>
          </w:p>
        </w:tc>
        <w:tc>
          <w:tcPr>
            <w:tcW w:type="dxa" w:w="2721"/>
          </w:tcPr>
          <w:p>
            <w:pPr>
              <w:spacing w:after="40" w:line="240" w:lineRule="auto"/>
            </w:pPr>
            <w:r/>
            <w:r>
              <w:rPr>
                <w:sz w:val="18"/>
              </w:rPr>
              <w:t>Revues ponctuelles</w:t>
            </w:r>
          </w:p>
        </w:tc>
      </w:tr>
      <w:tr>
        <w:trPr>
          <w:cantSplit/>
        </w:trPr>
        <w:tc>
          <w:tcPr>
            <w:tcW w:type="dxa" w:w="3061"/>
            <w:shd w:val="clear" w:color="auto" w:fill="EAF1F5"/>
          </w:tcPr>
          <w:p>
            <w:pPr>
              <w:spacing w:after="40" w:line="240" w:lineRule="auto"/>
            </w:pPr>
            <w:r/>
            <w:r>
              <w:rPr>
                <w:b/>
                <w:sz w:val="18"/>
              </w:rPr>
              <w:t>Métiers</w:t>
            </w:r>
          </w:p>
        </w:tc>
        <w:tc>
          <w:tcPr>
            <w:tcW w:type="dxa" w:w="3515"/>
            <w:shd w:val="clear" w:color="auto" w:fill="EAF1F5"/>
          </w:tcPr>
          <w:p>
            <w:pPr>
              <w:spacing w:after="40" w:line="240" w:lineRule="auto"/>
            </w:pPr>
            <w:r/>
            <w:r>
              <w:rPr>
                <w:sz w:val="18"/>
              </w:rPr>
              <w:t>Référents de chaque direction</w:t>
            </w:r>
          </w:p>
        </w:tc>
        <w:tc>
          <w:tcPr>
            <w:tcW w:type="dxa" w:w="2721"/>
            <w:shd w:val="clear" w:color="auto" w:fill="EAF1F5"/>
          </w:tcPr>
          <w:p>
            <w:pPr>
              <w:spacing w:after="40" w:line="240" w:lineRule="auto"/>
            </w:pPr>
            <w:r/>
            <w:r>
              <w:rPr>
                <w:sz w:val="18"/>
              </w:rPr>
              <w:t>Tests, recertification, relais du changement</w:t>
            </w:r>
          </w:p>
        </w:tc>
      </w:tr>
    </w:tbl>
    <w:p>
      <w:pPr>
        <w:spacing w:after="40"/>
      </w:pPr>
    </w:p>
    <w:p>
      <w:r>
        <w:rPr>
          <w:b w:val="0"/>
          <w:i w:val="0"/>
        </w:rPr>
        <w:t>Risque principal : la disponibilité de la DSI, déjà sollicitée par l’exploitation courante. Un référent DSI nommé et un engagement de temps formalisé en comité de pilotage sont des conditions de démarrage.</w:t>
      </w:r>
    </w:p>
    <w:p>
      <w:pPr>
        <w:pStyle w:val="Heading2"/>
      </w:pPr>
      <w:r>
        <w:t>5.4 Réglementations et normes</w:t>
      </w:r>
    </w:p>
    <w:tbl>
      <w:tblPr>
        <w:tblStyle w:val="TableGrid"/>
        <w:tblW w:type="auto" w:w="0"/>
        <w:jc w:val="center"/>
        <w:tblLayout w:type="fixed"/>
        <w:tblLook w:firstColumn="1" w:firstRow="1" w:lastColumn="0" w:lastRow="0" w:noHBand="0" w:noVBand="1" w:val="04A0"/>
        <w:tblLayout w:type="fixed"/>
      </w:tblPr>
      <w:tblGrid>
        <w:gridCol w:w="2494"/>
        <w:gridCol w:w="6804"/>
      </w:tblGrid>
      <w:tr>
        <w:trPr>
          <w:tblHeader w:val="true"/>
          <w:cantSplit/>
        </w:trPr>
        <w:tc>
          <w:tcPr>
            <w:tcW w:type="dxa" w:w="2494"/>
            <w:shd w:val="clear" w:color="auto" w:fill="0F4761"/>
          </w:tcPr>
          <w:p>
            <w:pPr>
              <w:spacing w:after="40" w:line="240" w:lineRule="auto"/>
            </w:pPr>
            <w:r/>
            <w:r>
              <w:rPr>
                <w:b/>
                <w:color w:val="FFFFFF"/>
                <w:sz w:val="18"/>
              </w:rPr>
              <w:t>Cadre</w:t>
            </w:r>
          </w:p>
        </w:tc>
        <w:tc>
          <w:tcPr>
            <w:tcW w:type="dxa" w:w="6803"/>
            <w:shd w:val="clear" w:color="auto" w:fill="0F4761"/>
          </w:tcPr>
          <w:p>
            <w:pPr>
              <w:spacing w:after="40" w:line="240" w:lineRule="auto"/>
            </w:pPr>
            <w:r/>
            <w:r>
              <w:rPr>
                <w:b/>
                <w:color w:val="FFFFFF"/>
                <w:sz w:val="18"/>
              </w:rPr>
              <w:t>Exigences structurantes pour le projet</w:t>
            </w:r>
          </w:p>
        </w:tc>
      </w:tr>
      <w:tr>
        <w:trPr>
          <w:cantSplit/>
        </w:trPr>
        <w:tc>
          <w:tcPr>
            <w:tcW w:type="dxa" w:w="2494"/>
          </w:tcPr>
          <w:p>
            <w:pPr>
              <w:spacing w:after="40" w:line="240" w:lineRule="auto"/>
            </w:pPr>
            <w:r/>
            <w:r>
              <w:rPr>
                <w:b/>
                <w:sz w:val="18"/>
              </w:rPr>
              <w:t>DORA</w:t>
            </w:r>
          </w:p>
        </w:tc>
        <w:tc>
          <w:tcPr>
            <w:tcW w:type="dxa" w:w="6803"/>
          </w:tcPr>
          <w:p>
            <w:pPr>
              <w:spacing w:after="40" w:line="240" w:lineRule="auto"/>
            </w:pPr>
            <w:r/>
            <w:r>
              <w:rPr>
                <w:sz w:val="18"/>
              </w:rPr>
              <w:t>Gestion des risques TIC, notification des incidents majeurs, tests de résilience, maîtrise des prestataires TIC tiers (cloud, SOC)</w:t>
            </w:r>
          </w:p>
        </w:tc>
      </w:tr>
      <w:tr>
        <w:trPr>
          <w:cantSplit/>
        </w:trPr>
        <w:tc>
          <w:tcPr>
            <w:tcW w:type="dxa" w:w="2494"/>
            <w:shd w:val="clear" w:color="auto" w:fill="EAF1F5"/>
          </w:tcPr>
          <w:p>
            <w:pPr>
              <w:spacing w:after="40" w:line="240" w:lineRule="auto"/>
            </w:pPr>
            <w:r/>
            <w:r>
              <w:rPr>
                <w:b/>
                <w:sz w:val="18"/>
              </w:rPr>
              <w:t>RGPD</w:t>
            </w:r>
          </w:p>
        </w:tc>
        <w:tc>
          <w:tcPr>
            <w:tcW w:type="dxa" w:w="6803"/>
            <w:shd w:val="clear" w:color="auto" w:fill="EAF1F5"/>
          </w:tcPr>
          <w:p>
            <w:pPr>
              <w:spacing w:after="40" w:line="240" w:lineRule="auto"/>
            </w:pPr>
            <w:r/>
            <w:r>
              <w:rPr>
                <w:sz w:val="18"/>
              </w:rPr>
              <w:t>Minimisation et sécurité des données, notification des violations sous 72 h, analyse d’impact pour la supervision des utilisateurs, information du personnel</w:t>
            </w:r>
          </w:p>
        </w:tc>
      </w:tr>
      <w:tr>
        <w:trPr>
          <w:cantSplit/>
        </w:trPr>
        <w:tc>
          <w:tcPr>
            <w:tcW w:type="dxa" w:w="2494"/>
          </w:tcPr>
          <w:p>
            <w:pPr>
              <w:spacing w:after="40" w:line="240" w:lineRule="auto"/>
            </w:pPr>
            <w:r/>
            <w:r>
              <w:rPr>
                <w:b/>
                <w:sz w:val="18"/>
              </w:rPr>
              <w:t>Recommandations ANSSI</w:t>
            </w:r>
          </w:p>
        </w:tc>
        <w:tc>
          <w:tcPr>
            <w:tcW w:type="dxa" w:w="6803"/>
          </w:tcPr>
          <w:p>
            <w:pPr>
              <w:spacing w:after="40" w:line="240" w:lineRule="auto"/>
            </w:pPr>
            <w:r/>
            <w:r>
              <w:rPr>
                <w:sz w:val="18"/>
              </w:rPr>
              <w:t>Hygiène informatique, administration sécurisée, journalisation, cloisonnement</w:t>
            </w:r>
          </w:p>
        </w:tc>
      </w:tr>
      <w:tr>
        <w:trPr>
          <w:cantSplit/>
        </w:trPr>
        <w:tc>
          <w:tcPr>
            <w:tcW w:type="dxa" w:w="2494"/>
            <w:shd w:val="clear" w:color="auto" w:fill="EAF1F5"/>
          </w:tcPr>
          <w:p>
            <w:pPr>
              <w:spacing w:after="40" w:line="240" w:lineRule="auto"/>
            </w:pPr>
            <w:r/>
            <w:r>
              <w:rPr>
                <w:b/>
                <w:sz w:val="18"/>
              </w:rPr>
              <w:t>ISO 27001</w:t>
            </w:r>
          </w:p>
        </w:tc>
        <w:tc>
          <w:tcPr>
            <w:tcW w:type="dxa" w:w="6803"/>
            <w:shd w:val="clear" w:color="auto" w:fill="EAF1F5"/>
          </w:tcPr>
          <w:p>
            <w:pPr>
              <w:spacing w:after="40" w:line="240" w:lineRule="auto"/>
            </w:pPr>
            <w:r/>
            <w:r>
              <w:rPr>
                <w:sz w:val="18"/>
              </w:rPr>
              <w:t>Gestion des accès, journalisation, gestion des incidents, amélioration continue</w:t>
            </w:r>
          </w:p>
        </w:tc>
      </w:tr>
      <w:tr>
        <w:trPr>
          <w:cantSplit/>
        </w:trPr>
        <w:tc>
          <w:tcPr>
            <w:tcW w:type="dxa" w:w="2494"/>
          </w:tcPr>
          <w:p>
            <w:pPr>
              <w:spacing w:after="40" w:line="240" w:lineRule="auto"/>
            </w:pPr>
            <w:r/>
            <w:r>
              <w:rPr>
                <w:b/>
                <w:sz w:val="18"/>
              </w:rPr>
              <w:t>Contrôle ACPR / audit interne</w:t>
            </w:r>
          </w:p>
        </w:tc>
        <w:tc>
          <w:tcPr>
            <w:tcW w:type="dxa" w:w="6803"/>
          </w:tcPr>
          <w:p>
            <w:pPr>
              <w:spacing w:after="40" w:line="240" w:lineRule="auto"/>
            </w:pPr>
            <w:r/>
            <w:r>
              <w:rPr>
                <w:sz w:val="18"/>
              </w:rPr>
              <w:t>Preuves de mise en œuvre : politiques, journaux, comptes rendus de recertification, résultats de tests</w:t>
            </w:r>
          </w:p>
        </w:tc>
      </w:tr>
      <w:tr>
        <w:trPr>
          <w:cantSplit/>
        </w:trPr>
        <w:tc>
          <w:tcPr>
            <w:tcW w:type="dxa" w:w="2494"/>
            <w:shd w:val="clear" w:color="auto" w:fill="EAF1F5"/>
          </w:tcPr>
          <w:p>
            <w:pPr>
              <w:spacing w:after="40" w:line="240" w:lineRule="auto"/>
            </w:pPr>
            <w:r/>
            <w:r>
              <w:rPr>
                <w:b/>
                <w:sz w:val="18"/>
              </w:rPr>
              <w:t>Droit du travail</w:t>
            </w:r>
          </w:p>
        </w:tc>
        <w:tc>
          <w:tcPr>
            <w:tcW w:type="dxa" w:w="6803"/>
            <w:shd w:val="clear" w:color="auto" w:fill="EAF1F5"/>
          </w:tcPr>
          <w:p>
            <w:pPr>
              <w:spacing w:after="40" w:line="240" w:lineRule="auto"/>
            </w:pPr>
            <w:r/>
            <w:r>
              <w:rPr>
                <w:sz w:val="18"/>
              </w:rPr>
              <w:t>Information-consultation des représentants du personnel avant la mise en place d’outils de supervision (SIEM, EDR)</w:t>
            </w:r>
          </w:p>
        </w:tc>
      </w:tr>
    </w:tbl>
    <w:p>
      <w:pPr>
        <w:spacing w:after="40"/>
      </w:pPr>
    </w:p>
    <w:p>
      <w:pPr>
        <w:pStyle w:val="Heading1"/>
      </w:pPr>
      <w:r>
        <w:t>6. Gouvernance, livrables et recette</w:t>
      </w:r>
    </w:p>
    <w:p>
      <w:pPr>
        <w:pStyle w:val="Heading2"/>
      </w:pPr>
      <w:r>
        <w:t>6.1 Gouvernance</w:t>
      </w:r>
    </w:p>
    <w:p>
      <w:pPr>
        <w:pStyle w:val="ListBullet"/>
        <w:spacing w:after="60"/>
      </w:pPr>
      <w:r>
        <w:rPr>
          <w:b/>
        </w:rPr>
        <w:t>Comité de pilotage :</w:t>
      </w:r>
      <w:r>
        <w:t xml:space="preserve"> mensuel, Direction Générale, RSSI, DSI, Conformité/Risques, DA Consulting : arbitrages, budget, jalons.</w:t>
      </w:r>
    </w:p>
    <w:p>
      <w:pPr>
        <w:pStyle w:val="ListBullet"/>
        <w:spacing w:after="60"/>
      </w:pPr>
      <w:r>
        <w:rPr>
          <w:b/>
        </w:rPr>
        <w:t>Point de suivi opérationnel :</w:t>
      </w:r>
      <w:r>
        <w:t xml:space="preserve"> hebdomadaire, RSSI, DSI, chef de projet : avancement, risques, décisions techniques.</w:t>
      </w:r>
    </w:p>
    <w:p>
      <w:pPr>
        <w:pStyle w:val="ListBullet"/>
        <w:spacing w:after="60"/>
      </w:pPr>
      <w:r>
        <w:rPr>
          <w:b/>
        </w:rPr>
        <w:t>Reporting :</w:t>
      </w:r>
      <w:r>
        <w:t xml:space="preserve"> revue des KPI, des écarts et des plans d’action ; tableau de bord partagé.</w:t>
      </w:r>
    </w:p>
    <w:p>
      <w:pPr>
        <w:pStyle w:val="Heading2"/>
      </w:pPr>
      <w:r>
        <w:t>6.2 Livrables attendus</w:t>
      </w:r>
    </w:p>
    <w:tbl>
      <w:tblPr>
        <w:tblStyle w:val="TableGrid"/>
        <w:tblW w:type="auto" w:w="0"/>
        <w:jc w:val="center"/>
        <w:tblLayout w:type="fixed"/>
        <w:tblLook w:firstColumn="1" w:firstRow="1" w:lastColumn="0" w:lastRow="0" w:noHBand="0" w:noVBand="1" w:val="04A0"/>
        <w:tblLayout w:type="fixed"/>
      </w:tblPr>
      <w:tblGrid>
        <w:gridCol w:w="6804"/>
        <w:gridCol w:w="2494"/>
      </w:tblGrid>
      <w:tr>
        <w:trPr>
          <w:tblHeader w:val="true"/>
          <w:cantSplit/>
        </w:trPr>
        <w:tc>
          <w:tcPr>
            <w:tcW w:type="dxa" w:w="6803"/>
            <w:shd w:val="clear" w:color="auto" w:fill="0F4761"/>
          </w:tcPr>
          <w:p>
            <w:pPr>
              <w:spacing w:after="40" w:line="240" w:lineRule="auto"/>
            </w:pPr>
            <w:r/>
            <w:r>
              <w:rPr>
                <w:b/>
                <w:color w:val="FFFFFF"/>
                <w:sz w:val="18"/>
              </w:rPr>
              <w:t>Livrable</w:t>
            </w:r>
          </w:p>
        </w:tc>
        <w:tc>
          <w:tcPr>
            <w:tcW w:type="dxa" w:w="2494"/>
            <w:shd w:val="clear" w:color="auto" w:fill="0F4761"/>
          </w:tcPr>
          <w:p>
            <w:pPr>
              <w:spacing w:after="40" w:line="240" w:lineRule="auto"/>
            </w:pPr>
            <w:r/>
            <w:r>
              <w:rPr>
                <w:b/>
                <w:color w:val="FFFFFF"/>
                <w:sz w:val="18"/>
              </w:rPr>
              <w:t>Échéance</w:t>
            </w:r>
          </w:p>
        </w:tc>
      </w:tr>
      <w:tr>
        <w:trPr>
          <w:cantSplit/>
        </w:trPr>
        <w:tc>
          <w:tcPr>
            <w:tcW w:type="dxa" w:w="6803"/>
          </w:tcPr>
          <w:p>
            <w:pPr>
              <w:spacing w:after="40" w:line="240" w:lineRule="auto"/>
            </w:pPr>
            <w:r/>
            <w:r>
              <w:rPr>
                <w:b/>
                <w:sz w:val="18"/>
              </w:rPr>
              <w:t>Cahier des charges (ce document) et plan de projet détaillé</w:t>
            </w:r>
          </w:p>
        </w:tc>
        <w:tc>
          <w:tcPr>
            <w:tcW w:type="dxa" w:w="2494"/>
          </w:tcPr>
          <w:p>
            <w:pPr>
              <w:spacing w:after="40" w:line="240" w:lineRule="auto"/>
            </w:pPr>
            <w:r/>
            <w:r>
              <w:rPr>
                <w:sz w:val="18"/>
              </w:rPr>
              <w:t>M1</w:t>
            </w:r>
          </w:p>
        </w:tc>
      </w:tr>
      <w:tr>
        <w:trPr>
          <w:cantSplit/>
        </w:trPr>
        <w:tc>
          <w:tcPr>
            <w:tcW w:type="dxa" w:w="6803"/>
            <w:shd w:val="clear" w:color="auto" w:fill="EAF1F5"/>
          </w:tcPr>
          <w:p>
            <w:pPr>
              <w:spacing w:after="40" w:line="240" w:lineRule="auto"/>
            </w:pPr>
            <w:r/>
            <w:r>
              <w:rPr>
                <w:b/>
                <w:sz w:val="18"/>
              </w:rPr>
              <w:t>Dossier d’architecture cible (IAM, PAM, SIEM, segmentation) et matrice de flux</w:t>
            </w:r>
          </w:p>
        </w:tc>
        <w:tc>
          <w:tcPr>
            <w:tcW w:type="dxa" w:w="2494"/>
            <w:shd w:val="clear" w:color="auto" w:fill="EAF1F5"/>
          </w:tcPr>
          <w:p>
            <w:pPr>
              <w:spacing w:after="40" w:line="240" w:lineRule="auto"/>
            </w:pPr>
            <w:r/>
            <w:r>
              <w:rPr>
                <w:sz w:val="18"/>
              </w:rPr>
              <w:t>M2</w:t>
            </w:r>
          </w:p>
        </w:tc>
      </w:tr>
      <w:tr>
        <w:trPr>
          <w:cantSplit/>
        </w:trPr>
        <w:tc>
          <w:tcPr>
            <w:tcW w:type="dxa" w:w="6803"/>
          </w:tcPr>
          <w:p>
            <w:pPr>
              <w:spacing w:after="40" w:line="240" w:lineRule="auto"/>
            </w:pPr>
            <w:r/>
            <w:r>
              <w:rPr>
                <w:b/>
                <w:sz w:val="18"/>
              </w:rPr>
              <w:t>Politiques : gestion des accès, mots de passe/MFA, journalisation, gestion des incidents</w:t>
            </w:r>
          </w:p>
        </w:tc>
        <w:tc>
          <w:tcPr>
            <w:tcW w:type="dxa" w:w="2494"/>
          </w:tcPr>
          <w:p>
            <w:pPr>
              <w:spacing w:after="40" w:line="240" w:lineRule="auto"/>
            </w:pPr>
            <w:r/>
            <w:r>
              <w:rPr>
                <w:sz w:val="18"/>
              </w:rPr>
              <w:t>M3</w:t>
            </w:r>
          </w:p>
        </w:tc>
      </w:tr>
      <w:tr>
        <w:trPr>
          <w:cantSplit/>
        </w:trPr>
        <w:tc>
          <w:tcPr>
            <w:tcW w:type="dxa" w:w="6803"/>
            <w:shd w:val="clear" w:color="auto" w:fill="EAF1F5"/>
          </w:tcPr>
          <w:p>
            <w:pPr>
              <w:spacing w:after="40" w:line="240" w:lineRule="auto"/>
            </w:pPr>
            <w:r/>
            <w:r>
              <w:rPr>
                <w:b/>
                <w:sz w:val="18"/>
              </w:rPr>
              <w:t>Plateforme SIEM/SOC en service, playbooks, cas d’usage de détection</w:t>
            </w:r>
          </w:p>
        </w:tc>
        <w:tc>
          <w:tcPr>
            <w:tcW w:type="dxa" w:w="2494"/>
            <w:shd w:val="clear" w:color="auto" w:fill="EAF1F5"/>
          </w:tcPr>
          <w:p>
            <w:pPr>
              <w:spacing w:after="40" w:line="240" w:lineRule="auto"/>
            </w:pPr>
            <w:r/>
            <w:r>
              <w:rPr>
                <w:sz w:val="18"/>
              </w:rPr>
              <w:t>M9</w:t>
            </w:r>
          </w:p>
        </w:tc>
      </w:tr>
      <w:tr>
        <w:trPr>
          <w:cantSplit/>
        </w:trPr>
        <w:tc>
          <w:tcPr>
            <w:tcW w:type="dxa" w:w="6803"/>
          </w:tcPr>
          <w:p>
            <w:pPr>
              <w:spacing w:after="40" w:line="240" w:lineRule="auto"/>
            </w:pPr>
            <w:r/>
            <w:r>
              <w:rPr>
                <w:b/>
                <w:sz w:val="18"/>
              </w:rPr>
              <w:t>Rapports de recertification, de tests PRA et d’exercice de crise</w:t>
            </w:r>
          </w:p>
        </w:tc>
        <w:tc>
          <w:tcPr>
            <w:tcW w:type="dxa" w:w="2494"/>
          </w:tcPr>
          <w:p>
            <w:pPr>
              <w:spacing w:after="40" w:line="240" w:lineRule="auto"/>
            </w:pPr>
            <w:r/>
            <w:r>
              <w:rPr>
                <w:sz w:val="18"/>
              </w:rPr>
              <w:t>M6 à M12</w:t>
            </w:r>
          </w:p>
        </w:tc>
      </w:tr>
      <w:tr>
        <w:trPr>
          <w:cantSplit/>
        </w:trPr>
        <w:tc>
          <w:tcPr>
            <w:tcW w:type="dxa" w:w="6803"/>
            <w:shd w:val="clear" w:color="auto" w:fill="EAF1F5"/>
          </w:tcPr>
          <w:p>
            <w:pPr>
              <w:spacing w:after="40" w:line="240" w:lineRule="auto"/>
            </w:pPr>
            <w:r/>
            <w:r>
              <w:rPr>
                <w:b/>
                <w:sz w:val="18"/>
              </w:rPr>
              <w:t>Dossier de preuves d’audit et rapport final de projet avec mesure des KPI</w:t>
            </w:r>
          </w:p>
        </w:tc>
        <w:tc>
          <w:tcPr>
            <w:tcW w:type="dxa" w:w="2494"/>
            <w:shd w:val="clear" w:color="auto" w:fill="EAF1F5"/>
          </w:tcPr>
          <w:p>
            <w:pPr>
              <w:spacing w:after="40" w:line="240" w:lineRule="auto"/>
            </w:pPr>
            <w:r/>
            <w:r>
              <w:rPr>
                <w:sz w:val="18"/>
              </w:rPr>
              <w:t>M12</w:t>
            </w:r>
          </w:p>
        </w:tc>
      </w:tr>
    </w:tbl>
    <w:p>
      <w:pPr>
        <w:spacing w:after="40"/>
      </w:pPr>
    </w:p>
    <w:p>
      <w:pPr>
        <w:pStyle w:val="Heading2"/>
      </w:pPr>
      <w:r>
        <w:t>6.3 Critères de recette</w:t>
      </w:r>
    </w:p>
    <w:p>
      <w:r>
        <w:rPr>
          <w:b w:val="0"/>
          <w:i w:val="0"/>
        </w:rPr>
        <w:t>La recette s’appuie sur les KPI de la charte, mesurés selon des modalités définies à l’avance :</w:t>
      </w:r>
    </w:p>
    <w:tbl>
      <w:tblPr>
        <w:tblStyle w:val="TableGrid"/>
        <w:tblW w:type="auto" w:w="0"/>
        <w:jc w:val="center"/>
        <w:tblLayout w:type="fixed"/>
        <w:tblLook w:firstColumn="1" w:firstRow="1" w:lastColumn="0" w:lastRow="0" w:noHBand="0" w:noVBand="1" w:val="04A0"/>
        <w:tblLayout w:type="fixed"/>
      </w:tblPr>
      <w:tblGrid>
        <w:gridCol w:w="2835"/>
        <w:gridCol w:w="1360"/>
        <w:gridCol w:w="1587"/>
        <w:gridCol w:w="3515"/>
      </w:tblGrid>
      <w:tr>
        <w:trPr>
          <w:tblHeader w:val="true"/>
          <w:cantSplit/>
        </w:trPr>
        <w:tc>
          <w:tcPr>
            <w:tcW w:type="dxa" w:w="2835"/>
            <w:shd w:val="clear" w:color="auto" w:fill="0F4761"/>
          </w:tcPr>
          <w:p>
            <w:pPr>
              <w:spacing w:after="40" w:line="240" w:lineRule="auto"/>
            </w:pPr>
            <w:r/>
            <w:r>
              <w:rPr>
                <w:b/>
                <w:color w:val="FFFFFF"/>
                <w:sz w:val="17"/>
              </w:rPr>
              <w:t>KPI (charte)</w:t>
            </w:r>
          </w:p>
        </w:tc>
        <w:tc>
          <w:tcPr>
            <w:tcW w:type="dxa" w:w="1361"/>
            <w:shd w:val="clear" w:color="auto" w:fill="0F4761"/>
          </w:tcPr>
          <w:p>
            <w:pPr>
              <w:spacing w:after="40" w:line="240" w:lineRule="auto"/>
            </w:pPr>
            <w:r/>
            <w:r>
              <w:rPr>
                <w:b/>
                <w:color w:val="FFFFFF"/>
                <w:sz w:val="17"/>
              </w:rPr>
              <w:t>Cible</w:t>
            </w:r>
          </w:p>
        </w:tc>
        <w:tc>
          <w:tcPr>
            <w:tcW w:type="dxa" w:w="1587"/>
            <w:shd w:val="clear" w:color="auto" w:fill="0F4761"/>
          </w:tcPr>
          <w:p>
            <w:pPr>
              <w:spacing w:after="40" w:line="240" w:lineRule="auto"/>
            </w:pPr>
            <w:r/>
            <w:r>
              <w:rPr>
                <w:b/>
                <w:color w:val="FFFFFF"/>
                <w:sz w:val="17"/>
              </w:rPr>
              <w:t>Exigence liée</w:t>
            </w:r>
          </w:p>
        </w:tc>
        <w:tc>
          <w:tcPr>
            <w:tcW w:type="dxa" w:w="3515"/>
            <w:shd w:val="clear" w:color="auto" w:fill="0F4761"/>
          </w:tcPr>
          <w:p>
            <w:pPr>
              <w:spacing w:after="40" w:line="240" w:lineRule="auto"/>
            </w:pPr>
            <w:r/>
            <w:r>
              <w:rPr>
                <w:b/>
                <w:color w:val="FFFFFF"/>
                <w:sz w:val="17"/>
              </w:rPr>
              <w:t>Méthode de vérification</w:t>
            </w:r>
          </w:p>
        </w:tc>
      </w:tr>
      <w:tr>
        <w:trPr>
          <w:cantSplit/>
        </w:trPr>
        <w:tc>
          <w:tcPr>
            <w:tcW w:type="dxa" w:w="2835"/>
          </w:tcPr>
          <w:p>
            <w:pPr>
              <w:spacing w:after="40" w:line="240" w:lineRule="auto"/>
            </w:pPr>
            <w:r/>
            <w:r>
              <w:rPr>
                <w:b/>
                <w:sz w:val="17"/>
              </w:rPr>
              <w:t>Couverture MFA – applications critiques</w:t>
            </w:r>
          </w:p>
        </w:tc>
        <w:tc>
          <w:tcPr>
            <w:tcW w:type="dxa" w:w="1361"/>
          </w:tcPr>
          <w:p>
            <w:pPr>
              <w:spacing w:after="40" w:line="240" w:lineRule="auto"/>
            </w:pPr>
            <w:r/>
            <w:r>
              <w:rPr>
                <w:sz w:val="17"/>
              </w:rPr>
              <w:t>100 %</w:t>
            </w:r>
          </w:p>
        </w:tc>
        <w:tc>
          <w:tcPr>
            <w:tcW w:type="dxa" w:w="1587"/>
          </w:tcPr>
          <w:p>
            <w:pPr>
              <w:spacing w:after="40" w:line="240" w:lineRule="auto"/>
            </w:pPr>
            <w:r/>
            <w:r>
              <w:rPr>
                <w:sz w:val="17"/>
              </w:rPr>
              <w:t>BC-01</w:t>
            </w:r>
          </w:p>
        </w:tc>
        <w:tc>
          <w:tcPr>
            <w:tcW w:type="dxa" w:w="3515"/>
          </w:tcPr>
          <w:p>
            <w:pPr>
              <w:spacing w:after="40" w:line="240" w:lineRule="auto"/>
            </w:pPr>
            <w:r/>
            <w:r>
              <w:rPr>
                <w:sz w:val="17"/>
              </w:rPr>
              <w:t>Extraction IAM : utilisateurs MFA actif / total</w:t>
            </w:r>
          </w:p>
        </w:tc>
      </w:tr>
      <w:tr>
        <w:trPr>
          <w:cantSplit/>
        </w:trPr>
        <w:tc>
          <w:tcPr>
            <w:tcW w:type="dxa" w:w="2835"/>
            <w:shd w:val="clear" w:color="auto" w:fill="EAF1F5"/>
          </w:tcPr>
          <w:p>
            <w:pPr>
              <w:spacing w:after="40" w:line="240" w:lineRule="auto"/>
            </w:pPr>
            <w:r/>
            <w:r>
              <w:rPr>
                <w:b/>
                <w:sz w:val="17"/>
              </w:rPr>
              <w:t>Réduction des comptes admin locaux</w:t>
            </w:r>
          </w:p>
        </w:tc>
        <w:tc>
          <w:tcPr>
            <w:tcW w:type="dxa" w:w="1361"/>
            <w:shd w:val="clear" w:color="auto" w:fill="EAF1F5"/>
          </w:tcPr>
          <w:p>
            <w:pPr>
              <w:spacing w:after="40" w:line="240" w:lineRule="auto"/>
            </w:pPr>
            <w:r/>
            <w:r>
              <w:rPr>
                <w:sz w:val="17"/>
              </w:rPr>
              <w:t>-80 %</w:t>
            </w:r>
          </w:p>
        </w:tc>
        <w:tc>
          <w:tcPr>
            <w:tcW w:type="dxa" w:w="1587"/>
            <w:shd w:val="clear" w:color="auto" w:fill="EAF1F5"/>
          </w:tcPr>
          <w:p>
            <w:pPr>
              <w:spacing w:after="40" w:line="240" w:lineRule="auto"/>
            </w:pPr>
            <w:r/>
            <w:r>
              <w:rPr>
                <w:sz w:val="17"/>
              </w:rPr>
              <w:t>BT-07</w:t>
            </w:r>
          </w:p>
        </w:tc>
        <w:tc>
          <w:tcPr>
            <w:tcW w:type="dxa" w:w="3515"/>
            <w:shd w:val="clear" w:color="auto" w:fill="EAF1F5"/>
          </w:tcPr>
          <w:p>
            <w:pPr>
              <w:spacing w:after="40" w:line="240" w:lineRule="auto"/>
            </w:pPr>
            <w:r/>
            <w:r>
              <w:rPr>
                <w:sz w:val="17"/>
              </w:rPr>
              <w:t>Comparaison audit initial / audit final</w:t>
            </w:r>
          </w:p>
        </w:tc>
      </w:tr>
      <w:tr>
        <w:trPr>
          <w:cantSplit/>
        </w:trPr>
        <w:tc>
          <w:tcPr>
            <w:tcW w:type="dxa" w:w="2835"/>
          </w:tcPr>
          <w:p>
            <w:pPr>
              <w:spacing w:after="40" w:line="240" w:lineRule="auto"/>
            </w:pPr>
            <w:r/>
            <w:r>
              <w:rPr>
                <w:b/>
                <w:sz w:val="17"/>
              </w:rPr>
              <w:t>MTTD</w:t>
            </w:r>
          </w:p>
        </w:tc>
        <w:tc>
          <w:tcPr>
            <w:tcW w:type="dxa" w:w="1361"/>
          </w:tcPr>
          <w:p>
            <w:pPr>
              <w:spacing w:after="40" w:line="240" w:lineRule="auto"/>
            </w:pPr>
            <w:r/>
            <w:r>
              <w:rPr>
                <w:sz w:val="17"/>
              </w:rPr>
              <w:t>&lt; 30 min</w:t>
            </w:r>
          </w:p>
        </w:tc>
        <w:tc>
          <w:tcPr>
            <w:tcW w:type="dxa" w:w="1587"/>
          </w:tcPr>
          <w:p>
            <w:pPr>
              <w:spacing w:after="40" w:line="240" w:lineRule="auto"/>
            </w:pPr>
            <w:r/>
            <w:r>
              <w:rPr>
                <w:sz w:val="17"/>
              </w:rPr>
              <w:t>BC-14</w:t>
            </w:r>
          </w:p>
        </w:tc>
        <w:tc>
          <w:tcPr>
            <w:tcW w:type="dxa" w:w="3515"/>
          </w:tcPr>
          <w:p>
            <w:pPr>
              <w:spacing w:after="40" w:line="240" w:lineRule="auto"/>
            </w:pPr>
            <w:r/>
            <w:r>
              <w:rPr>
                <w:sz w:val="17"/>
              </w:rPr>
              <w:t>Alertes de test (exercices) + statistiques SIEM</w:t>
            </w:r>
          </w:p>
        </w:tc>
      </w:tr>
      <w:tr>
        <w:trPr>
          <w:cantSplit/>
        </w:trPr>
        <w:tc>
          <w:tcPr>
            <w:tcW w:type="dxa" w:w="2835"/>
            <w:shd w:val="clear" w:color="auto" w:fill="EAF1F5"/>
          </w:tcPr>
          <w:p>
            <w:pPr>
              <w:spacing w:after="40" w:line="240" w:lineRule="auto"/>
            </w:pPr>
            <w:r/>
            <w:r>
              <w:rPr>
                <w:b/>
                <w:sz w:val="17"/>
              </w:rPr>
              <w:t>MTTR</w:t>
            </w:r>
          </w:p>
        </w:tc>
        <w:tc>
          <w:tcPr>
            <w:tcW w:type="dxa" w:w="1361"/>
            <w:shd w:val="clear" w:color="auto" w:fill="EAF1F5"/>
          </w:tcPr>
          <w:p>
            <w:pPr>
              <w:spacing w:after="40" w:line="240" w:lineRule="auto"/>
            </w:pPr>
            <w:r/>
            <w:r>
              <w:rPr>
                <w:sz w:val="17"/>
              </w:rPr>
              <w:t>&lt; 4 h</w:t>
            </w:r>
          </w:p>
        </w:tc>
        <w:tc>
          <w:tcPr>
            <w:tcW w:type="dxa" w:w="1587"/>
            <w:shd w:val="clear" w:color="auto" w:fill="EAF1F5"/>
          </w:tcPr>
          <w:p>
            <w:pPr>
              <w:spacing w:after="40" w:line="240" w:lineRule="auto"/>
            </w:pPr>
            <w:r/>
            <w:r>
              <w:rPr>
                <w:sz w:val="17"/>
              </w:rPr>
              <w:t>BC-14, BC-15</w:t>
            </w:r>
          </w:p>
        </w:tc>
        <w:tc>
          <w:tcPr>
            <w:tcW w:type="dxa" w:w="3515"/>
            <w:shd w:val="clear" w:color="auto" w:fill="EAF1F5"/>
          </w:tcPr>
          <w:p>
            <w:pPr>
              <w:spacing w:after="40" w:line="240" w:lineRule="auto"/>
            </w:pPr>
            <w:r/>
            <w:r>
              <w:rPr>
                <w:sz w:val="17"/>
              </w:rPr>
              <w:t>Exercice de crise et incidents réels</w:t>
            </w:r>
          </w:p>
        </w:tc>
      </w:tr>
      <w:tr>
        <w:trPr>
          <w:cantSplit/>
        </w:trPr>
        <w:tc>
          <w:tcPr>
            <w:tcW w:type="dxa" w:w="2835"/>
          </w:tcPr>
          <w:p>
            <w:pPr>
              <w:spacing w:after="40" w:line="240" w:lineRule="auto"/>
            </w:pPr>
            <w:r/>
            <w:r>
              <w:rPr>
                <w:b/>
                <w:sz w:val="17"/>
              </w:rPr>
              <w:t>Couverture PAM</w:t>
            </w:r>
          </w:p>
        </w:tc>
        <w:tc>
          <w:tcPr>
            <w:tcW w:type="dxa" w:w="1361"/>
          </w:tcPr>
          <w:p>
            <w:pPr>
              <w:spacing w:after="40" w:line="240" w:lineRule="auto"/>
            </w:pPr>
            <w:r/>
            <w:r>
              <w:rPr>
                <w:sz w:val="17"/>
              </w:rPr>
              <w:t>100 %</w:t>
            </w:r>
          </w:p>
        </w:tc>
        <w:tc>
          <w:tcPr>
            <w:tcW w:type="dxa" w:w="1587"/>
          </w:tcPr>
          <w:p>
            <w:pPr>
              <w:spacing w:after="40" w:line="240" w:lineRule="auto"/>
            </w:pPr>
            <w:r/>
            <w:r>
              <w:rPr>
                <w:sz w:val="17"/>
              </w:rPr>
              <w:t>BC-04</w:t>
            </w:r>
          </w:p>
        </w:tc>
        <w:tc>
          <w:tcPr>
            <w:tcW w:type="dxa" w:w="3515"/>
          </w:tcPr>
          <w:p>
            <w:pPr>
              <w:spacing w:after="40" w:line="240" w:lineRule="auto"/>
            </w:pPr>
            <w:r/>
            <w:r>
              <w:rPr>
                <w:sz w:val="17"/>
              </w:rPr>
              <w:t>Inventaire des comptes à privilèges / comptes dans le coffre</w:t>
            </w:r>
          </w:p>
        </w:tc>
      </w:tr>
      <w:tr>
        <w:trPr>
          <w:cantSplit/>
        </w:trPr>
        <w:tc>
          <w:tcPr>
            <w:tcW w:type="dxa" w:w="2835"/>
            <w:shd w:val="clear" w:color="auto" w:fill="EAF1F5"/>
          </w:tcPr>
          <w:p>
            <w:pPr>
              <w:spacing w:after="40" w:line="240" w:lineRule="auto"/>
            </w:pPr>
            <w:r/>
            <w:r>
              <w:rPr>
                <w:b/>
                <w:sz w:val="17"/>
              </w:rPr>
              <w:t>Revues d’habilitations</w:t>
            </w:r>
          </w:p>
        </w:tc>
        <w:tc>
          <w:tcPr>
            <w:tcW w:type="dxa" w:w="1361"/>
            <w:shd w:val="clear" w:color="auto" w:fill="EAF1F5"/>
          </w:tcPr>
          <w:p>
            <w:pPr>
              <w:spacing w:after="40" w:line="240" w:lineRule="auto"/>
            </w:pPr>
            <w:r/>
            <w:r>
              <w:rPr>
                <w:sz w:val="17"/>
              </w:rPr>
              <w:t>Tous les 6 mois</w:t>
            </w:r>
          </w:p>
        </w:tc>
        <w:tc>
          <w:tcPr>
            <w:tcW w:type="dxa" w:w="1587"/>
            <w:shd w:val="clear" w:color="auto" w:fill="EAF1F5"/>
          </w:tcPr>
          <w:p>
            <w:pPr>
              <w:spacing w:after="40" w:line="240" w:lineRule="auto"/>
            </w:pPr>
            <w:r/>
            <w:r>
              <w:rPr>
                <w:sz w:val="17"/>
              </w:rPr>
              <w:t>BC-05</w:t>
            </w:r>
          </w:p>
        </w:tc>
        <w:tc>
          <w:tcPr>
            <w:tcW w:type="dxa" w:w="3515"/>
            <w:shd w:val="clear" w:color="auto" w:fill="EAF1F5"/>
          </w:tcPr>
          <w:p>
            <w:pPr>
              <w:spacing w:after="40" w:line="240" w:lineRule="auto"/>
            </w:pPr>
            <w:r/>
            <w:r>
              <w:rPr>
                <w:sz w:val="17"/>
              </w:rPr>
              <w:t>Comptes rendus de campagnes signés</w:t>
            </w:r>
          </w:p>
        </w:tc>
      </w:tr>
      <w:tr>
        <w:trPr>
          <w:cantSplit/>
        </w:trPr>
        <w:tc>
          <w:tcPr>
            <w:tcW w:type="dxa" w:w="2835"/>
          </w:tcPr>
          <w:p>
            <w:pPr>
              <w:spacing w:after="40" w:line="240" w:lineRule="auto"/>
            </w:pPr>
            <w:r/>
            <w:r>
              <w:rPr>
                <w:b/>
                <w:sz w:val="17"/>
              </w:rPr>
              <w:t>Incidents critiques non détectés</w:t>
            </w:r>
          </w:p>
        </w:tc>
        <w:tc>
          <w:tcPr>
            <w:tcW w:type="dxa" w:w="1361"/>
          </w:tcPr>
          <w:p>
            <w:pPr>
              <w:spacing w:after="40" w:line="240" w:lineRule="auto"/>
            </w:pPr>
            <w:r/>
            <w:r>
              <w:rPr>
                <w:sz w:val="17"/>
              </w:rPr>
              <w:t>0</w:t>
            </w:r>
          </w:p>
        </w:tc>
        <w:tc>
          <w:tcPr>
            <w:tcW w:type="dxa" w:w="1587"/>
          </w:tcPr>
          <w:p>
            <w:pPr>
              <w:spacing w:after="40" w:line="240" w:lineRule="auto"/>
            </w:pPr>
            <w:r/>
            <w:r>
              <w:rPr>
                <w:sz w:val="17"/>
              </w:rPr>
              <w:t>BC-08, BC-09</w:t>
            </w:r>
          </w:p>
        </w:tc>
        <w:tc>
          <w:tcPr>
            <w:tcW w:type="dxa" w:w="3515"/>
          </w:tcPr>
          <w:p>
            <w:pPr>
              <w:spacing w:after="40" w:line="240" w:lineRule="auto"/>
            </w:pPr>
            <w:r/>
            <w:r>
              <w:rPr>
                <w:sz w:val="17"/>
              </w:rPr>
              <w:t>Tests d’intrusion / simulation d’attaque (purple team)</w:t>
            </w:r>
          </w:p>
        </w:tc>
      </w:tr>
      <w:tr>
        <w:trPr>
          <w:cantSplit/>
        </w:trPr>
        <w:tc>
          <w:tcPr>
            <w:tcW w:type="dxa" w:w="2835"/>
            <w:shd w:val="clear" w:color="auto" w:fill="EAF1F5"/>
          </w:tcPr>
          <w:p>
            <w:pPr>
              <w:spacing w:after="40" w:line="240" w:lineRule="auto"/>
            </w:pPr>
            <w:r/>
            <w:r>
              <w:rPr>
                <w:b/>
                <w:sz w:val="17"/>
              </w:rPr>
              <w:t>Disponibilité du SOC</w:t>
            </w:r>
          </w:p>
        </w:tc>
        <w:tc>
          <w:tcPr>
            <w:tcW w:type="dxa" w:w="1361"/>
            <w:shd w:val="clear" w:color="auto" w:fill="EAF1F5"/>
          </w:tcPr>
          <w:p>
            <w:pPr>
              <w:spacing w:after="40" w:line="240" w:lineRule="auto"/>
            </w:pPr>
            <w:r/>
            <w:r>
              <w:rPr>
                <w:sz w:val="17"/>
              </w:rPr>
              <w:t>24/7 ou plage contractuelle</w:t>
            </w:r>
          </w:p>
        </w:tc>
        <w:tc>
          <w:tcPr>
            <w:tcW w:type="dxa" w:w="1587"/>
            <w:shd w:val="clear" w:color="auto" w:fill="EAF1F5"/>
          </w:tcPr>
          <w:p>
            <w:pPr>
              <w:spacing w:after="40" w:line="240" w:lineRule="auto"/>
            </w:pPr>
            <w:r/>
            <w:r>
              <w:rPr>
                <w:sz w:val="17"/>
              </w:rPr>
              <w:t>BC-13</w:t>
            </w:r>
          </w:p>
        </w:tc>
        <w:tc>
          <w:tcPr>
            <w:tcW w:type="dxa" w:w="3515"/>
            <w:shd w:val="clear" w:color="auto" w:fill="EAF1F5"/>
          </w:tcPr>
          <w:p>
            <w:pPr>
              <w:spacing w:after="40" w:line="240" w:lineRule="auto"/>
            </w:pPr>
            <w:r/>
            <w:r>
              <w:rPr>
                <w:sz w:val="17"/>
              </w:rPr>
              <w:t>Rapports d’activité du prestataire</w:t>
            </w:r>
          </w:p>
        </w:tc>
      </w:tr>
      <w:tr>
        <w:trPr>
          <w:cantSplit/>
        </w:trPr>
        <w:tc>
          <w:tcPr>
            <w:tcW w:type="dxa" w:w="2835"/>
          </w:tcPr>
          <w:p>
            <w:pPr>
              <w:spacing w:after="40" w:line="240" w:lineRule="auto"/>
            </w:pPr>
            <w:r/>
            <w:r>
              <w:rPr>
                <w:b/>
                <w:sz w:val="17"/>
              </w:rPr>
              <w:t>Réserves majeures ACPR</w:t>
            </w:r>
          </w:p>
        </w:tc>
        <w:tc>
          <w:tcPr>
            <w:tcW w:type="dxa" w:w="1361"/>
          </w:tcPr>
          <w:p>
            <w:pPr>
              <w:spacing w:after="40" w:line="240" w:lineRule="auto"/>
            </w:pPr>
            <w:r/>
            <w:r>
              <w:rPr>
                <w:sz w:val="17"/>
              </w:rPr>
              <w:t>0</w:t>
            </w:r>
          </w:p>
        </w:tc>
        <w:tc>
          <w:tcPr>
            <w:tcW w:type="dxa" w:w="1587"/>
          </w:tcPr>
          <w:p>
            <w:pPr>
              <w:spacing w:after="40" w:line="240" w:lineRule="auto"/>
            </w:pPr>
            <w:r/>
            <w:r>
              <w:rPr>
                <w:sz w:val="17"/>
              </w:rPr>
              <w:t>Ensemble</w:t>
            </w:r>
          </w:p>
        </w:tc>
        <w:tc>
          <w:tcPr>
            <w:tcW w:type="dxa" w:w="3515"/>
          </w:tcPr>
          <w:p>
            <w:pPr>
              <w:spacing w:after="40" w:line="240" w:lineRule="auto"/>
            </w:pPr>
            <w:r/>
            <w:r>
              <w:rPr>
                <w:sz w:val="17"/>
              </w:rPr>
              <w:t>Rapport d’audit</w:t>
            </w:r>
          </w:p>
        </w:tc>
      </w:tr>
      <w:tr>
        <w:trPr>
          <w:cantSplit/>
        </w:trPr>
        <w:tc>
          <w:tcPr>
            <w:tcW w:type="dxa" w:w="2835"/>
            <w:shd w:val="clear" w:color="auto" w:fill="EAF1F5"/>
          </w:tcPr>
          <w:p>
            <w:pPr>
              <w:spacing w:after="40" w:line="240" w:lineRule="auto"/>
            </w:pPr>
            <w:r/>
            <w:r>
              <w:rPr>
                <w:b/>
                <w:sz w:val="17"/>
              </w:rPr>
              <w:t>Satisfaction utilisateurs MFA</w:t>
            </w:r>
          </w:p>
        </w:tc>
        <w:tc>
          <w:tcPr>
            <w:tcW w:type="dxa" w:w="1361"/>
            <w:shd w:val="clear" w:color="auto" w:fill="EAF1F5"/>
          </w:tcPr>
          <w:p>
            <w:pPr>
              <w:spacing w:after="40" w:line="240" w:lineRule="auto"/>
            </w:pPr>
            <w:r/>
            <w:r>
              <w:rPr>
                <w:sz w:val="17"/>
              </w:rPr>
              <w:t>&gt; 80 %</w:t>
            </w:r>
          </w:p>
        </w:tc>
        <w:tc>
          <w:tcPr>
            <w:tcW w:type="dxa" w:w="1587"/>
            <w:shd w:val="clear" w:color="auto" w:fill="EAF1F5"/>
          </w:tcPr>
          <w:p>
            <w:pPr>
              <w:spacing w:after="40" w:line="240" w:lineRule="auto"/>
            </w:pPr>
            <w:r/>
            <w:r>
              <w:rPr>
                <w:sz w:val="17"/>
              </w:rPr>
              <w:t>BM-07</w:t>
            </w:r>
          </w:p>
        </w:tc>
        <w:tc>
          <w:tcPr>
            <w:tcW w:type="dxa" w:w="3515"/>
            <w:shd w:val="clear" w:color="auto" w:fill="EAF1F5"/>
          </w:tcPr>
          <w:p>
            <w:pPr>
              <w:spacing w:after="40" w:line="240" w:lineRule="auto"/>
            </w:pPr>
            <w:r/>
            <w:r>
              <w:rPr>
                <w:sz w:val="17"/>
              </w:rPr>
              <w:t>Enquête post-déploiement</w:t>
            </w:r>
          </w:p>
        </w:tc>
      </w:tr>
    </w:tbl>
    <w:p>
      <w:pPr>
        <w:spacing w:after="40"/>
      </w:pPr>
    </w:p>
    <w:p>
      <w:pPr>
        <w:pStyle w:val="Heading1"/>
      </w:pPr>
      <w:r>
        <w:t>7. Risques projet et mesures</w:t>
      </w:r>
    </w:p>
    <w:tbl>
      <w:tblPr>
        <w:tblStyle w:val="TableGrid"/>
        <w:tblW w:type="auto" w:w="0"/>
        <w:jc w:val="center"/>
        <w:tblLayout w:type="fixed"/>
        <w:tblLook w:firstColumn="1" w:firstRow="1" w:lastColumn="0" w:lastRow="0" w:noHBand="0" w:noVBand="1" w:val="04A0"/>
        <w:tblLayout w:type="fixed"/>
      </w:tblPr>
      <w:tblGrid>
        <w:gridCol w:w="2948"/>
        <w:gridCol w:w="1247"/>
        <w:gridCol w:w="1020"/>
        <w:gridCol w:w="4082"/>
      </w:tblGrid>
      <w:tr>
        <w:trPr>
          <w:tblHeader w:val="true"/>
          <w:cantSplit/>
        </w:trPr>
        <w:tc>
          <w:tcPr>
            <w:tcW w:type="dxa" w:w="2948"/>
            <w:shd w:val="clear" w:color="auto" w:fill="0F4761"/>
          </w:tcPr>
          <w:p>
            <w:pPr>
              <w:spacing w:after="40" w:line="240" w:lineRule="auto"/>
            </w:pPr>
            <w:r/>
            <w:r>
              <w:rPr>
                <w:b/>
                <w:color w:val="FFFFFF"/>
                <w:sz w:val="17"/>
              </w:rPr>
              <w:t>Risque</w:t>
            </w:r>
          </w:p>
        </w:tc>
        <w:tc>
          <w:tcPr>
            <w:tcW w:type="dxa" w:w="1247"/>
            <w:shd w:val="clear" w:color="auto" w:fill="0F4761"/>
          </w:tcPr>
          <w:p>
            <w:pPr>
              <w:spacing w:after="40" w:line="240" w:lineRule="auto"/>
            </w:pPr>
            <w:r/>
            <w:r>
              <w:rPr>
                <w:b/>
                <w:color w:val="FFFFFF"/>
                <w:sz w:val="17"/>
              </w:rPr>
              <w:t>Probabilité</w:t>
            </w:r>
          </w:p>
        </w:tc>
        <w:tc>
          <w:tcPr>
            <w:tcW w:type="dxa" w:w="1020"/>
            <w:shd w:val="clear" w:color="auto" w:fill="0F4761"/>
          </w:tcPr>
          <w:p>
            <w:pPr>
              <w:spacing w:after="40" w:line="240" w:lineRule="auto"/>
            </w:pPr>
            <w:r/>
            <w:r>
              <w:rPr>
                <w:b/>
                <w:color w:val="FFFFFF"/>
                <w:sz w:val="17"/>
              </w:rPr>
              <w:t>Impact</w:t>
            </w:r>
          </w:p>
        </w:tc>
        <w:tc>
          <w:tcPr>
            <w:tcW w:type="dxa" w:w="4082"/>
            <w:shd w:val="clear" w:color="auto" w:fill="0F4761"/>
          </w:tcPr>
          <w:p>
            <w:pPr>
              <w:spacing w:after="40" w:line="240" w:lineRule="auto"/>
            </w:pPr>
            <w:r/>
            <w:r>
              <w:rPr>
                <w:b/>
                <w:color w:val="FFFFFF"/>
                <w:sz w:val="17"/>
              </w:rPr>
              <w:t>Mesure de maîtrise</w:t>
            </w:r>
          </w:p>
        </w:tc>
      </w:tr>
      <w:tr>
        <w:trPr>
          <w:cantSplit/>
        </w:trPr>
        <w:tc>
          <w:tcPr>
            <w:tcW w:type="dxa" w:w="2948"/>
          </w:tcPr>
          <w:p>
            <w:pPr>
              <w:spacing w:after="40" w:line="240" w:lineRule="auto"/>
            </w:pPr>
            <w:r/>
            <w:r>
              <w:rPr>
                <w:b/>
                <w:sz w:val="17"/>
              </w:rPr>
              <w:t>Résistance des utilisateurs au MFA</w:t>
            </w:r>
          </w:p>
        </w:tc>
        <w:tc>
          <w:tcPr>
            <w:tcW w:type="dxa" w:w="1247"/>
          </w:tcPr>
          <w:p>
            <w:pPr>
              <w:spacing w:after="40" w:line="240" w:lineRule="auto"/>
            </w:pPr>
            <w:r/>
            <w:r>
              <w:rPr>
                <w:sz w:val="17"/>
              </w:rPr>
              <w:t>Moyenne</w:t>
            </w:r>
          </w:p>
        </w:tc>
        <w:tc>
          <w:tcPr>
            <w:tcW w:type="dxa" w:w="1020"/>
          </w:tcPr>
          <w:p>
            <w:pPr>
              <w:spacing w:after="40" w:line="240" w:lineRule="auto"/>
            </w:pPr>
            <w:r/>
            <w:r>
              <w:rPr>
                <w:sz w:val="17"/>
              </w:rPr>
              <w:t>Élevé</w:t>
            </w:r>
          </w:p>
        </w:tc>
        <w:tc>
          <w:tcPr>
            <w:tcW w:type="dxa" w:w="4082"/>
          </w:tcPr>
          <w:p>
            <w:pPr>
              <w:spacing w:after="40" w:line="240" w:lineRule="auto"/>
            </w:pPr>
            <w:r/>
            <w:r>
              <w:rPr>
                <w:sz w:val="17"/>
              </w:rPr>
              <w:t>Pilote, communication, formation, support renforcé, MFA sans friction</w:t>
            </w:r>
          </w:p>
        </w:tc>
      </w:tr>
      <w:tr>
        <w:trPr>
          <w:cantSplit/>
        </w:trPr>
        <w:tc>
          <w:tcPr>
            <w:tcW w:type="dxa" w:w="2948"/>
            <w:shd w:val="clear" w:color="auto" w:fill="EAF1F5"/>
          </w:tcPr>
          <w:p>
            <w:pPr>
              <w:spacing w:after="40" w:line="240" w:lineRule="auto"/>
            </w:pPr>
            <w:r/>
            <w:r>
              <w:rPr>
                <w:b/>
                <w:sz w:val="17"/>
              </w:rPr>
              <w:t>Blocage de flux métier lors de la segmentation</w:t>
            </w:r>
          </w:p>
        </w:tc>
        <w:tc>
          <w:tcPr>
            <w:tcW w:type="dxa" w:w="1247"/>
            <w:shd w:val="clear" w:color="auto" w:fill="EAF1F5"/>
          </w:tcPr>
          <w:p>
            <w:pPr>
              <w:spacing w:after="40" w:line="240" w:lineRule="auto"/>
            </w:pPr>
            <w:r/>
            <w:r>
              <w:rPr>
                <w:sz w:val="17"/>
              </w:rPr>
              <w:t>Moyenne</w:t>
            </w:r>
          </w:p>
        </w:tc>
        <w:tc>
          <w:tcPr>
            <w:tcW w:type="dxa" w:w="1020"/>
            <w:shd w:val="clear" w:color="auto" w:fill="EAF1F5"/>
          </w:tcPr>
          <w:p>
            <w:pPr>
              <w:spacing w:after="40" w:line="240" w:lineRule="auto"/>
            </w:pPr>
            <w:r/>
            <w:r>
              <w:rPr>
                <w:sz w:val="17"/>
              </w:rPr>
              <w:t>Élevé</w:t>
            </w:r>
          </w:p>
        </w:tc>
        <w:tc>
          <w:tcPr>
            <w:tcW w:type="dxa" w:w="4082"/>
            <w:shd w:val="clear" w:color="auto" w:fill="EAF1F5"/>
          </w:tcPr>
          <w:p>
            <w:pPr>
              <w:spacing w:after="40" w:line="240" w:lineRule="auto"/>
            </w:pPr>
            <w:r/>
            <w:r>
              <w:rPr>
                <w:sz w:val="17"/>
              </w:rPr>
              <w:t>Mode observation avant blocage, tests en pré-production, retour arrière</w:t>
            </w:r>
          </w:p>
        </w:tc>
      </w:tr>
      <w:tr>
        <w:trPr>
          <w:cantSplit/>
        </w:trPr>
        <w:tc>
          <w:tcPr>
            <w:tcW w:type="dxa" w:w="2948"/>
          </w:tcPr>
          <w:p>
            <w:pPr>
              <w:spacing w:after="40" w:line="240" w:lineRule="auto"/>
            </w:pPr>
            <w:r/>
            <w:r>
              <w:rPr>
                <w:b/>
                <w:sz w:val="17"/>
              </w:rPr>
              <w:t>Indisponibilité des équipes DSI</w:t>
            </w:r>
          </w:p>
        </w:tc>
        <w:tc>
          <w:tcPr>
            <w:tcW w:type="dxa" w:w="1247"/>
          </w:tcPr>
          <w:p>
            <w:pPr>
              <w:spacing w:after="40" w:line="240" w:lineRule="auto"/>
            </w:pPr>
            <w:r/>
            <w:r>
              <w:rPr>
                <w:sz w:val="17"/>
              </w:rPr>
              <w:t>Élevée</w:t>
            </w:r>
          </w:p>
        </w:tc>
        <w:tc>
          <w:tcPr>
            <w:tcW w:type="dxa" w:w="1020"/>
          </w:tcPr>
          <w:p>
            <w:pPr>
              <w:spacing w:after="40" w:line="240" w:lineRule="auto"/>
            </w:pPr>
            <w:r/>
            <w:r>
              <w:rPr>
                <w:sz w:val="17"/>
              </w:rPr>
              <w:t>Moyen</w:t>
            </w:r>
          </w:p>
        </w:tc>
        <w:tc>
          <w:tcPr>
            <w:tcW w:type="dxa" w:w="4082"/>
          </w:tcPr>
          <w:p>
            <w:pPr>
              <w:spacing w:after="40" w:line="240" w:lineRule="auto"/>
            </w:pPr>
            <w:r/>
            <w:r>
              <w:rPr>
                <w:sz w:val="17"/>
              </w:rPr>
              <w:t>Référent nommé, planification des charges, appui DA Consulting</w:t>
            </w:r>
          </w:p>
        </w:tc>
      </w:tr>
      <w:tr>
        <w:trPr>
          <w:cantSplit/>
        </w:trPr>
        <w:tc>
          <w:tcPr>
            <w:tcW w:type="dxa" w:w="2948"/>
            <w:shd w:val="clear" w:color="auto" w:fill="EAF1F5"/>
          </w:tcPr>
          <w:p>
            <w:pPr>
              <w:spacing w:after="40" w:line="240" w:lineRule="auto"/>
            </w:pPr>
            <w:r/>
            <w:r>
              <w:rPr>
                <w:b/>
                <w:sz w:val="17"/>
              </w:rPr>
              <w:t>Volume d’alertes SOC trop élevé (faux positifs)</w:t>
            </w:r>
          </w:p>
        </w:tc>
        <w:tc>
          <w:tcPr>
            <w:tcW w:type="dxa" w:w="1247"/>
            <w:shd w:val="clear" w:color="auto" w:fill="EAF1F5"/>
          </w:tcPr>
          <w:p>
            <w:pPr>
              <w:spacing w:after="40" w:line="240" w:lineRule="auto"/>
            </w:pPr>
            <w:r/>
            <w:r>
              <w:rPr>
                <w:sz w:val="17"/>
              </w:rPr>
              <w:t>Moyenne</w:t>
            </w:r>
          </w:p>
        </w:tc>
        <w:tc>
          <w:tcPr>
            <w:tcW w:type="dxa" w:w="1020"/>
            <w:shd w:val="clear" w:color="auto" w:fill="EAF1F5"/>
          </w:tcPr>
          <w:p>
            <w:pPr>
              <w:spacing w:after="40" w:line="240" w:lineRule="auto"/>
            </w:pPr>
            <w:r/>
            <w:r>
              <w:rPr>
                <w:sz w:val="17"/>
              </w:rPr>
              <w:t>Moyen</w:t>
            </w:r>
          </w:p>
        </w:tc>
        <w:tc>
          <w:tcPr>
            <w:tcW w:type="dxa" w:w="4082"/>
            <w:shd w:val="clear" w:color="auto" w:fill="EAF1F5"/>
          </w:tcPr>
          <w:p>
            <w:pPr>
              <w:spacing w:after="40" w:line="240" w:lineRule="auto"/>
            </w:pPr>
            <w:r/>
            <w:r>
              <w:rPr>
                <w:sz w:val="17"/>
              </w:rPr>
              <w:t>Réglage progressif des règles, montée en charge par sources</w:t>
            </w:r>
          </w:p>
        </w:tc>
      </w:tr>
      <w:tr>
        <w:trPr>
          <w:cantSplit/>
        </w:trPr>
        <w:tc>
          <w:tcPr>
            <w:tcW w:type="dxa" w:w="2948"/>
          </w:tcPr>
          <w:p>
            <w:pPr>
              <w:spacing w:after="40" w:line="240" w:lineRule="auto"/>
            </w:pPr>
            <w:r/>
            <w:r>
              <w:rPr>
                <w:b/>
                <w:sz w:val="17"/>
              </w:rPr>
              <w:t>Dérive du budget ou des délais</w:t>
            </w:r>
          </w:p>
        </w:tc>
        <w:tc>
          <w:tcPr>
            <w:tcW w:type="dxa" w:w="1247"/>
          </w:tcPr>
          <w:p>
            <w:pPr>
              <w:spacing w:after="40" w:line="240" w:lineRule="auto"/>
            </w:pPr>
            <w:r/>
            <w:r>
              <w:rPr>
                <w:sz w:val="17"/>
              </w:rPr>
              <w:t>Moyenne</w:t>
            </w:r>
          </w:p>
        </w:tc>
        <w:tc>
          <w:tcPr>
            <w:tcW w:type="dxa" w:w="1020"/>
          </w:tcPr>
          <w:p>
            <w:pPr>
              <w:spacing w:after="40" w:line="240" w:lineRule="auto"/>
            </w:pPr>
            <w:r/>
            <w:r>
              <w:rPr>
                <w:sz w:val="17"/>
              </w:rPr>
              <w:t>Élevé</w:t>
            </w:r>
          </w:p>
        </w:tc>
        <w:tc>
          <w:tcPr>
            <w:tcW w:type="dxa" w:w="4082"/>
          </w:tcPr>
          <w:p>
            <w:pPr>
              <w:spacing w:after="40" w:line="240" w:lineRule="auto"/>
            </w:pPr>
            <w:r/>
            <w:r>
              <w:rPr>
                <w:sz w:val="17"/>
              </w:rPr>
              <w:t>Lotissement, jalons de décision, provision pour aléas</w:t>
            </w:r>
          </w:p>
        </w:tc>
      </w:tr>
      <w:tr>
        <w:trPr>
          <w:cantSplit/>
        </w:trPr>
        <w:tc>
          <w:tcPr>
            <w:tcW w:type="dxa" w:w="2948"/>
            <w:shd w:val="clear" w:color="auto" w:fill="EAF1F5"/>
          </w:tcPr>
          <w:p>
            <w:pPr>
              <w:spacing w:after="40" w:line="240" w:lineRule="auto"/>
            </w:pPr>
            <w:r/>
            <w:r>
              <w:rPr>
                <w:b/>
                <w:sz w:val="17"/>
              </w:rPr>
              <w:t>Compatibilité d’applications bancaires anciennes avec MFA/SSO</w:t>
            </w:r>
          </w:p>
        </w:tc>
        <w:tc>
          <w:tcPr>
            <w:tcW w:type="dxa" w:w="1247"/>
            <w:shd w:val="clear" w:color="auto" w:fill="EAF1F5"/>
          </w:tcPr>
          <w:p>
            <w:pPr>
              <w:spacing w:after="40" w:line="240" w:lineRule="auto"/>
            </w:pPr>
            <w:r/>
            <w:r>
              <w:rPr>
                <w:sz w:val="17"/>
              </w:rPr>
              <w:t>Élevée</w:t>
            </w:r>
          </w:p>
        </w:tc>
        <w:tc>
          <w:tcPr>
            <w:tcW w:type="dxa" w:w="1020"/>
            <w:shd w:val="clear" w:color="auto" w:fill="EAF1F5"/>
          </w:tcPr>
          <w:p>
            <w:pPr>
              <w:spacing w:after="40" w:line="240" w:lineRule="auto"/>
            </w:pPr>
            <w:r/>
            <w:r>
              <w:rPr>
                <w:sz w:val="17"/>
              </w:rPr>
              <w:t>Moyen</w:t>
            </w:r>
          </w:p>
        </w:tc>
        <w:tc>
          <w:tcPr>
            <w:tcW w:type="dxa" w:w="4082"/>
            <w:shd w:val="clear" w:color="auto" w:fill="EAF1F5"/>
          </w:tcPr>
          <w:p>
            <w:pPr>
              <w:spacing w:after="40" w:line="240" w:lineRule="auto"/>
            </w:pPr>
            <w:r/>
            <w:r>
              <w:rPr>
                <w:sz w:val="17"/>
              </w:rPr>
              <w:t>Inventaire préalable, passerelles, protection par PAM/bastion</w:t>
            </w:r>
          </w:p>
        </w:tc>
      </w:tr>
      <w:tr>
        <w:trPr>
          <w:cantSplit/>
        </w:trPr>
        <w:tc>
          <w:tcPr>
            <w:tcW w:type="dxa" w:w="2948"/>
          </w:tcPr>
          <w:p>
            <w:pPr>
              <w:spacing w:after="40" w:line="240" w:lineRule="auto"/>
            </w:pPr>
            <w:r/>
            <w:r>
              <w:rPr>
                <w:b/>
                <w:sz w:val="17"/>
              </w:rPr>
              <w:t>Dépendance à un prestataire SOC/cloud</w:t>
            </w:r>
          </w:p>
        </w:tc>
        <w:tc>
          <w:tcPr>
            <w:tcW w:type="dxa" w:w="1247"/>
          </w:tcPr>
          <w:p>
            <w:pPr>
              <w:spacing w:after="40" w:line="240" w:lineRule="auto"/>
            </w:pPr>
            <w:r/>
            <w:r>
              <w:rPr>
                <w:sz w:val="17"/>
              </w:rPr>
              <w:t>Faible</w:t>
            </w:r>
          </w:p>
        </w:tc>
        <w:tc>
          <w:tcPr>
            <w:tcW w:type="dxa" w:w="1020"/>
          </w:tcPr>
          <w:p>
            <w:pPr>
              <w:spacing w:after="40" w:line="240" w:lineRule="auto"/>
            </w:pPr>
            <w:r/>
            <w:r>
              <w:rPr>
                <w:sz w:val="17"/>
              </w:rPr>
              <w:t>Élevé</w:t>
            </w:r>
          </w:p>
        </w:tc>
        <w:tc>
          <w:tcPr>
            <w:tcW w:type="dxa" w:w="4082"/>
          </w:tcPr>
          <w:p>
            <w:pPr>
              <w:spacing w:after="40" w:line="240" w:lineRule="auto"/>
            </w:pPr>
            <w:r/>
            <w:r>
              <w:rPr>
                <w:sz w:val="17"/>
              </w:rPr>
              <w:t>Clauses DORA, réversibilité, plan de sortie</w:t>
            </w:r>
          </w:p>
        </w:tc>
      </w:tr>
    </w:tbl>
    <w:p>
      <w:pPr>
        <w:spacing w:after="40"/>
      </w:pPr>
    </w:p>
    <w:p>
      <w:pPr>
        <w:pStyle w:val="Heading1"/>
      </w:pPr>
      <w:r>
        <w:t>8. Conclusion</w:t>
      </w:r>
    </w:p>
    <w:p>
      <w:r>
        <w:rPr>
          <w:b w:val="0"/>
          <w:i w:val="0"/>
        </w:rPr>
        <w:t>Ce cahier des charges définit 13 exigences métier, 19 exigences techniques et 20 exigences de cybersécurité, rattachées aux six objectifs SMART et aux dix KPI de la charte. Il constitue la référence contractuelle de la consultation, du pilotage et de la recette. Les hypothèses de parc, de budget et de RTO/RPO devront être confirmées dès le comité de lancement afin de sécuriser le planning de 12 mois.</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DA Consulting – Cahier des charges – Banque Financia – Confidentiel   |   Page </w:t>
    </w:r>
    <w:r>
      <w:rPr>
        <w:color w:val="595959"/>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F4761"/>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F476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0F476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