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A37A" w14:textId="77777777" w:rsidR="00902FC3" w:rsidRPr="00403B01" w:rsidRDefault="00000000">
      <w:pPr>
        <w:pStyle w:val="Title"/>
        <w:rPr>
          <w:lang w:val="es-PE"/>
        </w:rPr>
      </w:pPr>
      <w:r w:rsidRPr="00403B01">
        <w:rPr>
          <w:lang w:val="es-PE"/>
        </w:rPr>
        <w:t xml:space="preserve">Marco de </w:t>
      </w:r>
      <w:proofErr w:type="spellStart"/>
      <w:r w:rsidRPr="00403B01">
        <w:rPr>
          <w:lang w:val="es-PE"/>
        </w:rPr>
        <w:t>explicabilidad</w:t>
      </w:r>
      <w:proofErr w:type="spellEnd"/>
      <w:r w:rsidRPr="00403B01">
        <w:rPr>
          <w:lang w:val="es-PE"/>
        </w:rPr>
        <w:t xml:space="preserve"> basado en SHAP y LIME para mejorar la interpretabilidad de las alertas de detección de intrusiones en SOC que monitorean redes </w:t>
      </w:r>
      <w:proofErr w:type="spellStart"/>
      <w:r w:rsidRPr="00403B01">
        <w:rPr>
          <w:lang w:val="es-PE"/>
        </w:rPr>
        <w:t>IoT</w:t>
      </w:r>
      <w:proofErr w:type="spellEnd"/>
      <w:r w:rsidRPr="00403B01">
        <w:rPr>
          <w:lang w:val="es-PE"/>
        </w:rPr>
        <w:t xml:space="preserve"> a nivel internacional, 2026</w:t>
      </w:r>
    </w:p>
    <w:p w14:paraId="40E66B11" w14:textId="77777777" w:rsidR="00902FC3" w:rsidRPr="00403B01" w:rsidRDefault="00000000">
      <w:pPr>
        <w:pStyle w:val="Author"/>
        <w:rPr>
          <w:lang w:val="es-PE"/>
        </w:rPr>
      </w:pPr>
      <w:r w:rsidRPr="00403B01">
        <w:rPr>
          <w:lang w:val="es-PE"/>
        </w:rPr>
        <w:t>Jorge Luis Berrocal Barrientos</w:t>
      </w:r>
    </w:p>
    <w:p w14:paraId="62A64CCE" w14:textId="77777777" w:rsidR="00902FC3" w:rsidRPr="00403B01" w:rsidRDefault="00000000">
      <w:pPr>
        <w:pStyle w:val="Author"/>
        <w:rPr>
          <w:lang w:val="es-PE"/>
        </w:rPr>
      </w:pPr>
      <w:r w:rsidRPr="00403B01">
        <w:rPr>
          <w:lang w:val="es-PE"/>
        </w:rPr>
        <w:t>Facultad de Ingeniería Eléctrica y Electrónica, Universidad Nacional de Ingeniería, Lima, Perú</w:t>
      </w:r>
    </w:p>
    <w:p w14:paraId="20DD6EAD" w14:textId="77777777" w:rsidR="00902FC3" w:rsidRPr="00403B01" w:rsidRDefault="00000000">
      <w:pPr>
        <w:pStyle w:val="BodyText"/>
        <w:keepNext/>
        <w:spacing w:before="160"/>
        <w:ind w:firstLine="0"/>
        <w:jc w:val="center"/>
        <w:rPr>
          <w:lang w:val="es-PE"/>
        </w:rPr>
      </w:pPr>
      <w:r w:rsidRPr="00403B01">
        <w:rPr>
          <w:b/>
          <w:bCs/>
          <w:lang w:val="es-PE"/>
        </w:rPr>
        <w:t>Resumen</w:t>
      </w:r>
    </w:p>
    <w:p w14:paraId="69EBB5A4" w14:textId="77777777" w:rsidR="00902FC3" w:rsidRPr="00403B01" w:rsidRDefault="00000000">
      <w:pPr>
        <w:pStyle w:val="BodyText"/>
        <w:rPr>
          <w:lang w:val="es-PE"/>
        </w:rPr>
      </w:pPr>
      <w:r w:rsidRPr="00403B01">
        <w:rPr>
          <w:lang w:val="es-PE"/>
        </w:rPr>
        <w:t>Los Centros de Operaciones de Seguridad (SOC) reciben más alertas de las que pueden revisar, y los detectores basados en aprendizaje automático las emiten sin explicar qué características del tráfico las motivaron. Este estudio propone y evalúa un marco de explicabilidad que integra TreeSHAP y LIME a un detector Random Forest que clasifica ventanas de tráfico de malware IoT por familia (Mirai, DarkNexus y Gafgyt), con datos del dataset internacional CIC-YNU-IoTMal 2026. Con un diseño cuasi-experimental de medidas repetidas, 390 alertas se explicaron bajo tres condiciones: la importancia global del modelo (línea base), TreeSHAP y LIME. La interpretabilidad se midió por la fidelidad, la estabilidad y la parsimonia de las explicaciones, y las hipótesis se contrastaron con las pruebas de Friedman, Q de Cochran y Wilcoxon con corrección de Holm. El detector alcanzó una exactitud de 0,886 y un F1 macro de 0,553. TreeSHAP produjo las explicaciones más concisas (mediana de 7 características para el 80 % de la atribución, frente a 9 de la línea base) y LIME las menos concisas (12). Ningún método superó a la línea base en fidelidad (inversión de la decisión cercana al 41 % en las tres condiciones) ni alcanzó una estabilidad de 0,80. Se acepta parcialmente la hipótesis de parsimonia (solo TreeSHAP) y no se aceptan las de fidelidad y estabilidad. Los resultados aportan evidencia cuantitativa y reproducible para elegir el método de explicación de alertas en un SOC.</w:t>
      </w:r>
    </w:p>
    <w:p w14:paraId="12A449C5" w14:textId="77777777" w:rsidR="00902FC3" w:rsidRPr="00403B01" w:rsidRDefault="00000000">
      <w:pPr>
        <w:pStyle w:val="BodyText"/>
        <w:rPr>
          <w:lang w:val="es-PE"/>
        </w:rPr>
      </w:pPr>
      <w:r w:rsidRPr="00403B01">
        <w:rPr>
          <w:i/>
          <w:iCs/>
          <w:lang w:val="es-PE"/>
        </w:rPr>
        <w:t>Palabras clave:</w:t>
      </w:r>
      <w:r w:rsidRPr="00403B01">
        <w:rPr>
          <w:lang w:val="es-PE"/>
        </w:rPr>
        <w:t xml:space="preserve"> inteligencia artificial explicable, SHAP, LIME, detección de intrusiones, </w:t>
      </w:r>
      <w:proofErr w:type="gramStart"/>
      <w:r w:rsidRPr="00403B01">
        <w:rPr>
          <w:lang w:val="es-PE"/>
        </w:rPr>
        <w:t>malware</w:t>
      </w:r>
      <w:proofErr w:type="gramEnd"/>
      <w:r w:rsidRPr="00403B01">
        <w:rPr>
          <w:lang w:val="es-PE"/>
        </w:rPr>
        <w:t xml:space="preserve"> </w:t>
      </w:r>
      <w:proofErr w:type="spellStart"/>
      <w:r w:rsidRPr="00403B01">
        <w:rPr>
          <w:lang w:val="es-PE"/>
        </w:rPr>
        <w:t>IoT</w:t>
      </w:r>
      <w:proofErr w:type="spellEnd"/>
      <w:r w:rsidRPr="00403B01">
        <w:rPr>
          <w:lang w:val="es-PE"/>
        </w:rPr>
        <w:t>, centro de operaciones de seguridad.</w:t>
      </w:r>
    </w:p>
    <w:p w14:paraId="43AEC157" w14:textId="77777777" w:rsidR="00902FC3" w:rsidRDefault="00000000">
      <w:pPr>
        <w:pStyle w:val="BodyText"/>
        <w:keepNext/>
        <w:spacing w:before="160"/>
        <w:ind w:firstLine="0"/>
        <w:jc w:val="center"/>
      </w:pPr>
      <w:r>
        <w:rPr>
          <w:b/>
          <w:bCs/>
        </w:rPr>
        <w:t xml:space="preserve">Ideas </w:t>
      </w:r>
      <w:proofErr w:type="spellStart"/>
      <w:r>
        <w:rPr>
          <w:b/>
          <w:bCs/>
        </w:rPr>
        <w:t>destacadas</w:t>
      </w:r>
      <w:proofErr w:type="spellEnd"/>
    </w:p>
    <w:p w14:paraId="223BF7FB" w14:textId="77777777" w:rsidR="00902FC3" w:rsidRPr="00403B01" w:rsidRDefault="00000000">
      <w:pPr>
        <w:pStyle w:val="Compact"/>
        <w:numPr>
          <w:ilvl w:val="0"/>
          <w:numId w:val="2"/>
        </w:numPr>
        <w:rPr>
          <w:lang w:val="es-PE"/>
        </w:rPr>
      </w:pPr>
      <w:r w:rsidRPr="00403B01">
        <w:rPr>
          <w:lang w:val="es-PE"/>
        </w:rPr>
        <w:t xml:space="preserve">Se integra </w:t>
      </w:r>
      <w:proofErr w:type="spellStart"/>
      <w:r w:rsidRPr="00403B01">
        <w:rPr>
          <w:lang w:val="es-PE"/>
        </w:rPr>
        <w:t>TreeSHAP</w:t>
      </w:r>
      <w:proofErr w:type="spellEnd"/>
      <w:r w:rsidRPr="00403B01">
        <w:rPr>
          <w:lang w:val="es-PE"/>
        </w:rPr>
        <w:t xml:space="preserve"> y LIME a un detector Random Forest de alertas de </w:t>
      </w:r>
      <w:proofErr w:type="gramStart"/>
      <w:r w:rsidRPr="00403B01">
        <w:rPr>
          <w:lang w:val="es-PE"/>
        </w:rPr>
        <w:t>malware</w:t>
      </w:r>
      <w:proofErr w:type="gramEnd"/>
      <w:r w:rsidRPr="00403B01">
        <w:rPr>
          <w:lang w:val="es-PE"/>
        </w:rPr>
        <w:t xml:space="preserve"> </w:t>
      </w:r>
      <w:proofErr w:type="spellStart"/>
      <w:r w:rsidRPr="00403B01">
        <w:rPr>
          <w:lang w:val="es-PE"/>
        </w:rPr>
        <w:t>IoT</w:t>
      </w:r>
      <w:proofErr w:type="spellEnd"/>
      <w:r w:rsidRPr="00403B01">
        <w:rPr>
          <w:lang w:val="es-PE"/>
        </w:rPr>
        <w:t xml:space="preserve"> y se evalúan contra una línea base global.</w:t>
      </w:r>
    </w:p>
    <w:p w14:paraId="71A515B2" w14:textId="77777777" w:rsidR="00902FC3" w:rsidRPr="00403B01" w:rsidRDefault="00000000">
      <w:pPr>
        <w:pStyle w:val="Compact"/>
        <w:numPr>
          <w:ilvl w:val="0"/>
          <w:numId w:val="2"/>
        </w:numPr>
        <w:rPr>
          <w:lang w:val="es-PE"/>
        </w:rPr>
      </w:pPr>
      <w:r w:rsidRPr="00403B01">
        <w:rPr>
          <w:lang w:val="es-PE"/>
        </w:rPr>
        <w:t>La calidad de cada explicación se mide por su fidelidad, estabilidad y parsimonia con pruebas pareadas no paramétricas.</w:t>
      </w:r>
    </w:p>
    <w:p w14:paraId="653E52BC" w14:textId="77777777" w:rsidR="00902FC3" w:rsidRPr="00403B01" w:rsidRDefault="00000000">
      <w:pPr>
        <w:pStyle w:val="Compact"/>
        <w:numPr>
          <w:ilvl w:val="0"/>
          <w:numId w:val="2"/>
        </w:numPr>
        <w:rPr>
          <w:lang w:val="es-PE"/>
        </w:rPr>
      </w:pPr>
      <w:proofErr w:type="spellStart"/>
      <w:r w:rsidRPr="00403B01">
        <w:rPr>
          <w:lang w:val="es-PE"/>
        </w:rPr>
        <w:t>TreeSHAP</w:t>
      </w:r>
      <w:proofErr w:type="spellEnd"/>
      <w:r w:rsidRPr="00403B01">
        <w:rPr>
          <w:lang w:val="es-PE"/>
        </w:rPr>
        <w:t xml:space="preserve"> es determinista y más conciso que la línea base; LIME es inestable y disperso, y ninguno supera a la línea base en fidelidad.</w:t>
      </w:r>
    </w:p>
    <w:p w14:paraId="22F8E6EB" w14:textId="77777777" w:rsidR="00902FC3" w:rsidRPr="00403B01" w:rsidRDefault="00000000">
      <w:pPr>
        <w:pStyle w:val="Heading1"/>
        <w:rPr>
          <w:lang w:val="es-PE"/>
        </w:rPr>
      </w:pPr>
      <w:bookmarkStart w:id="0" w:name="introducción"/>
      <w:r w:rsidRPr="00403B01">
        <w:rPr>
          <w:lang w:val="es-PE"/>
        </w:rPr>
        <w:t>1. Introducción</w:t>
      </w:r>
    </w:p>
    <w:p w14:paraId="41BF7912" w14:textId="77777777" w:rsidR="00902FC3" w:rsidRPr="00403B01" w:rsidRDefault="00000000">
      <w:pPr>
        <w:pStyle w:val="FirstParagraph"/>
        <w:rPr>
          <w:lang w:val="es-PE"/>
        </w:rPr>
      </w:pPr>
      <w:r w:rsidRPr="00403B01">
        <w:rPr>
          <w:lang w:val="es-PE"/>
        </w:rPr>
        <w:t>Los Centros de Operaciones de Seguridad (SOC) dependen de sistemas de detección de intrusiones que emiten alertas a un ritmo mayor del que sus analistas pueden atender. En una encuesta a 2 000 profesionales de diez países, los equipos SOC declararon recibir en promedio 4 484 alertas diarias y dejar sin atender el 67 % de ellas (</w:t>
      </w:r>
      <w:proofErr w:type="spellStart"/>
      <w:r w:rsidRPr="00403B01">
        <w:rPr>
          <w:lang w:val="es-PE"/>
        </w:rPr>
        <w:t>Vectra</w:t>
      </w:r>
      <w:proofErr w:type="spellEnd"/>
      <w:r w:rsidRPr="00403B01">
        <w:rPr>
          <w:lang w:val="es-PE"/>
        </w:rPr>
        <w:t xml:space="preserve"> AI, 2023); otro estudio con 1 000 miembros de SOC encontró que solo llegan a revisar el 49 % de las alertas de una jornada (IBM Security, 2023). La validación manual de alertas, muchas de ellas falsos </w:t>
      </w:r>
      <w:r w:rsidRPr="00403B01">
        <w:rPr>
          <w:lang w:val="es-PE"/>
        </w:rPr>
        <w:lastRenderedPageBreak/>
        <w:t>positivos, conduce al agotamiento y a la desensibilización de los analistas, un efecto que se agrava cuando las alertas no explican su origen (Alahmadi et al., 2022).</w:t>
      </w:r>
    </w:p>
    <w:p w14:paraId="69948E1D" w14:textId="77777777" w:rsidR="00902FC3" w:rsidRPr="00403B01" w:rsidRDefault="00000000">
      <w:pPr>
        <w:pStyle w:val="BodyText"/>
        <w:rPr>
          <w:lang w:val="es-PE"/>
        </w:rPr>
      </w:pPr>
      <w:r w:rsidRPr="00403B01">
        <w:rPr>
          <w:lang w:val="es-PE"/>
        </w:rPr>
        <w:t>La presión es mayor en las redes del Internet de las cosas (</w:t>
      </w:r>
      <w:proofErr w:type="spellStart"/>
      <w:r w:rsidRPr="00403B01">
        <w:rPr>
          <w:lang w:val="es-PE"/>
        </w:rPr>
        <w:t>IoT</w:t>
      </w:r>
      <w:proofErr w:type="spellEnd"/>
      <w:r w:rsidRPr="00403B01">
        <w:rPr>
          <w:lang w:val="es-PE"/>
        </w:rPr>
        <w:t xml:space="preserve">), formadas por dispositivos heterogéneos, con recursos limitados y a menudo expuestos con credenciales por defecto. La </w:t>
      </w:r>
      <w:proofErr w:type="spellStart"/>
      <w:r w:rsidRPr="00403B01">
        <w:rPr>
          <w:lang w:val="es-PE"/>
        </w:rPr>
        <w:t>botnet</w:t>
      </w:r>
      <w:proofErr w:type="spellEnd"/>
      <w:r w:rsidRPr="00403B01">
        <w:rPr>
          <w:lang w:val="es-PE"/>
        </w:rPr>
        <w:t xml:space="preserve"> Mirai llegó a infectar cerca de 600 000 dispositivos y demostró la capacidad de estos equipos para lanzar ataques de denegación de servicio a gran escala (Antonakakis et al., 2017), mientras que </w:t>
      </w:r>
      <w:proofErr w:type="spellStart"/>
      <w:r w:rsidRPr="00403B01">
        <w:rPr>
          <w:lang w:val="es-PE"/>
        </w:rPr>
        <w:t>honeypots</w:t>
      </w:r>
      <w:proofErr w:type="spellEnd"/>
      <w:r w:rsidRPr="00403B01">
        <w:rPr>
          <w:lang w:val="es-PE"/>
        </w:rPr>
        <w:t xml:space="preserve"> como </w:t>
      </w:r>
      <w:proofErr w:type="spellStart"/>
      <w:r w:rsidRPr="00403B01">
        <w:rPr>
          <w:lang w:val="es-PE"/>
        </w:rPr>
        <w:t>IoTPOT</w:t>
      </w:r>
      <w:proofErr w:type="spellEnd"/>
      <w:r w:rsidRPr="00403B01">
        <w:rPr>
          <w:lang w:val="es-PE"/>
        </w:rPr>
        <w:t xml:space="preserve"> siguen capturando muestras de </w:t>
      </w:r>
      <w:proofErr w:type="gramStart"/>
      <w:r w:rsidRPr="00403B01">
        <w:rPr>
          <w:lang w:val="es-PE"/>
        </w:rPr>
        <w:t>malware</w:t>
      </w:r>
      <w:proofErr w:type="gramEnd"/>
      <w:r w:rsidRPr="00403B01">
        <w:rPr>
          <w:lang w:val="es-PE"/>
        </w:rPr>
        <w:t xml:space="preserve"> </w:t>
      </w:r>
      <w:proofErr w:type="spellStart"/>
      <w:r w:rsidRPr="00403B01">
        <w:rPr>
          <w:lang w:val="es-PE"/>
        </w:rPr>
        <w:t>IoT</w:t>
      </w:r>
      <w:proofErr w:type="spellEnd"/>
      <w:r w:rsidRPr="00403B01">
        <w:rPr>
          <w:lang w:val="es-PE"/>
        </w:rPr>
        <w:t xml:space="preserve"> procedentes de todo el mundo (</w:t>
      </w:r>
      <w:proofErr w:type="spellStart"/>
      <w:r w:rsidRPr="00403B01">
        <w:rPr>
          <w:lang w:val="es-PE"/>
        </w:rPr>
        <w:t>Pa</w:t>
      </w:r>
      <w:proofErr w:type="spellEnd"/>
      <w:r w:rsidRPr="00403B01">
        <w:rPr>
          <w:lang w:val="es-PE"/>
        </w:rPr>
        <w:t xml:space="preserve"> et al., 2016). Los detectores basados en aprendizaje automático alcanzan una alta exactitud frente a estas amenazas, pero los modelos de ensamble y las redes profundas que emplean son opacos para el usuario (Barredo Arrieta et al., 2020).</w:t>
      </w:r>
    </w:p>
    <w:p w14:paraId="031CE1EE" w14:textId="77777777" w:rsidR="00902FC3" w:rsidRPr="00403B01" w:rsidRDefault="00000000">
      <w:pPr>
        <w:pStyle w:val="BodyText"/>
        <w:rPr>
          <w:lang w:val="es-PE"/>
        </w:rPr>
      </w:pPr>
      <w:r w:rsidRPr="00403B01">
        <w:rPr>
          <w:lang w:val="es-PE"/>
        </w:rPr>
        <w:t>El problema que aborda este estudio es la baja interpretabilidad de las alertas, entendida como el grado en que un observador puede comprender la causa de una decisión (Miller, 2019). Una alerta que solo informa una etiqueta o una probabilidad obliga al analista a reconstruir la evidencia por su cuenta. Los métodos de explicación locales post hoc, como SHAP (Lundberg &amp; Lee, 2017) y LIME (Ribeiro et al., 2016), asocian a cada predicción las características que más contribuyeron a ella; sin embargo, la calidad de sus explicaciones varía según la métrica, el modelo y los datos, y ningún método resulta superior en todos los criterios (Arreche et al., 2024; Hermosilla et al., 2025; Munilla &amp; Khammas, 2026).</w:t>
      </w:r>
    </w:p>
    <w:p w14:paraId="06141073" w14:textId="77777777" w:rsidR="00902FC3" w:rsidRPr="00403B01" w:rsidRDefault="00000000">
      <w:pPr>
        <w:pStyle w:val="BodyText"/>
        <w:rPr>
          <w:lang w:val="es-PE"/>
        </w:rPr>
      </w:pPr>
      <w:r w:rsidRPr="00403B01">
        <w:rPr>
          <w:lang w:val="es-PE"/>
        </w:rPr>
        <w:t>La mayoría de estas comparaciones usa conjuntos de datos de laboratorio de una sola institución, no contrasta las explicaciones locales con la información global de la que el analista ya dispone y rara vez aplica pruebas estadísticas sobre las mismas alertas. En la búsqueda realizada no se encontró ningún estudio que compare SHAP y LIME con métricas cuantitativas de fidelidad, estabilidad y parsimonia sobre CIC-YNU-</w:t>
      </w:r>
      <w:proofErr w:type="spellStart"/>
      <w:r w:rsidRPr="00403B01">
        <w:rPr>
          <w:lang w:val="es-PE"/>
        </w:rPr>
        <w:t>IoTMal</w:t>
      </w:r>
      <w:proofErr w:type="spellEnd"/>
      <w:r w:rsidRPr="00403B01">
        <w:rPr>
          <w:lang w:val="es-PE"/>
        </w:rPr>
        <w:t xml:space="preserve"> 2026, un </w:t>
      </w:r>
      <w:proofErr w:type="spellStart"/>
      <w:r w:rsidRPr="00403B01">
        <w:rPr>
          <w:lang w:val="es-PE"/>
        </w:rPr>
        <w:t>dataset</w:t>
      </w:r>
      <w:proofErr w:type="spellEnd"/>
      <w:r w:rsidRPr="00403B01">
        <w:rPr>
          <w:lang w:val="es-PE"/>
        </w:rPr>
        <w:t xml:space="preserve"> internacional de tráfico de </w:t>
      </w:r>
      <w:proofErr w:type="gramStart"/>
      <w:r w:rsidRPr="00403B01">
        <w:rPr>
          <w:lang w:val="es-PE"/>
        </w:rPr>
        <w:t>malware</w:t>
      </w:r>
      <w:proofErr w:type="gramEnd"/>
      <w:r w:rsidRPr="00403B01">
        <w:rPr>
          <w:lang w:val="es-PE"/>
        </w:rPr>
        <w:t xml:space="preserve"> </w:t>
      </w:r>
      <w:proofErr w:type="spellStart"/>
      <w:r w:rsidRPr="00403B01">
        <w:rPr>
          <w:lang w:val="es-PE"/>
        </w:rPr>
        <w:t>IoT</w:t>
      </w:r>
      <w:proofErr w:type="spellEnd"/>
      <w:r w:rsidRPr="00403B01">
        <w:rPr>
          <w:lang w:val="es-PE"/>
        </w:rPr>
        <w:t xml:space="preserve"> capturado en cuatro arquitecturas (Dadkhah et al., 2026). El aporte de este trabajo es triple: (a) un marco que integra </w:t>
      </w:r>
      <w:proofErr w:type="spellStart"/>
      <w:r w:rsidRPr="00403B01">
        <w:rPr>
          <w:lang w:val="es-PE"/>
        </w:rPr>
        <w:t>TreeSHAP</w:t>
      </w:r>
      <w:proofErr w:type="spellEnd"/>
      <w:r w:rsidRPr="00403B01">
        <w:rPr>
          <w:lang w:val="es-PE"/>
        </w:rPr>
        <w:t xml:space="preserve"> y LIME a un detector Random Forest de alertas por familia de </w:t>
      </w:r>
      <w:proofErr w:type="gramStart"/>
      <w:r w:rsidRPr="00403B01">
        <w:rPr>
          <w:lang w:val="es-PE"/>
        </w:rPr>
        <w:t>malware</w:t>
      </w:r>
      <w:proofErr w:type="gramEnd"/>
      <w:r w:rsidRPr="00403B01">
        <w:rPr>
          <w:lang w:val="es-PE"/>
        </w:rPr>
        <w:t>; (b) un protocolo de evaluación con línea base global, tres dimensiones de calidad y contrastes pareados; y (c) un experimento reproducible con código y datos públicos.</w:t>
      </w:r>
    </w:p>
    <w:p w14:paraId="4AC7CCF8" w14:textId="77777777" w:rsidR="00902FC3" w:rsidRPr="00403B01" w:rsidRDefault="00000000">
      <w:pPr>
        <w:pStyle w:val="BodyText"/>
        <w:rPr>
          <w:lang w:val="es-PE"/>
        </w:rPr>
      </w:pPr>
      <w:r w:rsidRPr="00403B01">
        <w:rPr>
          <w:lang w:val="es-PE"/>
        </w:rPr>
        <w:t xml:space="preserve">El objetivo general es desarrollar un marco de </w:t>
      </w:r>
      <w:proofErr w:type="spellStart"/>
      <w:r w:rsidRPr="00403B01">
        <w:rPr>
          <w:lang w:val="es-PE"/>
        </w:rPr>
        <w:t>explicabilidad</w:t>
      </w:r>
      <w:proofErr w:type="spellEnd"/>
      <w:r w:rsidRPr="00403B01">
        <w:rPr>
          <w:lang w:val="es-PE"/>
        </w:rPr>
        <w:t xml:space="preserve"> basado en SHAP y LIME que mejore la interpretabilidad de las alertas de detección de intrusiones en SOC que monitorean redes </w:t>
      </w:r>
      <w:proofErr w:type="spellStart"/>
      <w:r w:rsidRPr="00403B01">
        <w:rPr>
          <w:lang w:val="es-PE"/>
        </w:rPr>
        <w:t>IoT</w:t>
      </w:r>
      <w:proofErr w:type="spellEnd"/>
      <w:r w:rsidRPr="00403B01">
        <w:rPr>
          <w:lang w:val="es-PE"/>
        </w:rPr>
        <w:t xml:space="preserve"> a nivel internacional. Los objetivos específicos son analizar en qué medida el marco mejora la fidelidad de las explicaciones (O.E.1), evaluar en qué medida asegura su estabilidad (O.E.2) y determinar en qué medida mejora su parsimonia (O.E.3). Se busca que cada alerta llegue con una justificación verificable que reduzca el esfuerzo de </w:t>
      </w:r>
      <w:proofErr w:type="spellStart"/>
      <w:r w:rsidRPr="00403B01">
        <w:rPr>
          <w:lang w:val="es-PE"/>
        </w:rPr>
        <w:t>triaje</w:t>
      </w:r>
      <w:proofErr w:type="spellEnd"/>
      <w:r w:rsidRPr="00403B01">
        <w:rPr>
          <w:lang w:val="es-PE"/>
        </w:rPr>
        <w:t>.</w:t>
      </w:r>
    </w:p>
    <w:p w14:paraId="6E0F119C" w14:textId="77777777" w:rsidR="00902FC3" w:rsidRPr="00403B01" w:rsidRDefault="00000000">
      <w:pPr>
        <w:pStyle w:val="Heading1"/>
        <w:rPr>
          <w:lang w:val="es-PE"/>
        </w:rPr>
      </w:pPr>
      <w:bookmarkStart w:id="1" w:name="revisión-de-la-literatura"/>
      <w:bookmarkEnd w:id="0"/>
      <w:r w:rsidRPr="00403B01">
        <w:rPr>
          <w:lang w:val="es-PE"/>
        </w:rPr>
        <w:t>2. Revisión de la literatura</w:t>
      </w:r>
    </w:p>
    <w:p w14:paraId="5323822F" w14:textId="77777777" w:rsidR="00902FC3" w:rsidRPr="00403B01" w:rsidRDefault="00000000">
      <w:pPr>
        <w:pStyle w:val="FirstParagraph"/>
        <w:rPr>
          <w:lang w:val="es-PE"/>
        </w:rPr>
      </w:pPr>
      <w:r w:rsidRPr="00403B01">
        <w:rPr>
          <w:lang w:val="es-PE"/>
        </w:rPr>
        <w:t xml:space="preserve">Los trabajos que explican detectores de intrusiones </w:t>
      </w:r>
      <w:proofErr w:type="spellStart"/>
      <w:r w:rsidRPr="00403B01">
        <w:rPr>
          <w:lang w:val="es-PE"/>
        </w:rPr>
        <w:t>IoT</w:t>
      </w:r>
      <w:proofErr w:type="spellEnd"/>
      <w:r w:rsidRPr="00403B01">
        <w:rPr>
          <w:lang w:val="es-PE"/>
        </w:rPr>
        <w:t xml:space="preserve"> basados en árboles muestran la utilidad de SHAP, aunque sin medir la calidad de sus explicaciones. Le et al. (2022) entrenaron árboles de decisión y Random Forest sobre tres conjuntos </w:t>
      </w:r>
      <w:proofErr w:type="spellStart"/>
      <w:r w:rsidRPr="00403B01">
        <w:rPr>
          <w:lang w:val="es-PE"/>
        </w:rPr>
        <w:t>IoT</w:t>
      </w:r>
      <w:proofErr w:type="spellEnd"/>
      <w:r w:rsidRPr="00403B01">
        <w:rPr>
          <w:lang w:val="es-PE"/>
        </w:rPr>
        <w:t xml:space="preserve"> y los explicaron con </w:t>
      </w:r>
      <w:proofErr w:type="spellStart"/>
      <w:r w:rsidRPr="00403B01">
        <w:rPr>
          <w:lang w:val="es-PE"/>
        </w:rPr>
        <w:t>TreeSHAP</w:t>
      </w:r>
      <w:proofErr w:type="spellEnd"/>
      <w:r w:rsidRPr="00403B01">
        <w:rPr>
          <w:lang w:val="es-PE"/>
        </w:rPr>
        <w:t xml:space="preserve"> mediante mapas de calor globales y gráficos de decisión locales, sin métricas cuantitativas de calidad. Alani y Miri (2022) emplearon SHAP con </w:t>
      </w:r>
      <w:proofErr w:type="spellStart"/>
      <w:r w:rsidRPr="00403B01">
        <w:rPr>
          <w:lang w:val="es-PE"/>
        </w:rPr>
        <w:t>TreeExplainer</w:t>
      </w:r>
      <w:proofErr w:type="spellEnd"/>
      <w:r w:rsidRPr="00403B01">
        <w:rPr>
          <w:lang w:val="es-PE"/>
        </w:rPr>
        <w:t xml:space="preserve"> para justificar un conjunto universal de seis características seleccionadas con Random Forest, validado también sobre IoT-23, pero su evaluación se centró en la exactitud del detector y no en la de las explicaciones.</w:t>
      </w:r>
    </w:p>
    <w:p w14:paraId="1446304D" w14:textId="77777777" w:rsidR="00902FC3" w:rsidRPr="00403B01" w:rsidRDefault="00000000">
      <w:pPr>
        <w:pStyle w:val="BodyText"/>
        <w:rPr>
          <w:lang w:val="es-PE"/>
        </w:rPr>
      </w:pPr>
      <w:r w:rsidRPr="00403B01">
        <w:rPr>
          <w:lang w:val="es-PE"/>
        </w:rPr>
        <w:t xml:space="preserve">Otro grupo de estudios compara SHAP y LIME con métricas explícitas. Arreche et al. (2024) propusieron E-XAI, un marco que evalúa ambos métodos sobre siete modelos y tres conjuntos de datos de intrusión con seis métricas: exactitud descriptiva, dispersión, </w:t>
      </w:r>
      <w:r w:rsidRPr="00403B01">
        <w:rPr>
          <w:lang w:val="es-PE"/>
        </w:rPr>
        <w:lastRenderedPageBreak/>
        <w:t xml:space="preserve">estabilidad, eficiencia, robustez y completitud. Hermosilla et al. (2025) compararon ambos explicadores sobre </w:t>
      </w:r>
      <w:proofErr w:type="spellStart"/>
      <w:r w:rsidRPr="00403B01">
        <w:rPr>
          <w:lang w:val="es-PE"/>
        </w:rPr>
        <w:t>XGBoost</w:t>
      </w:r>
      <w:proofErr w:type="spellEnd"/>
      <w:r w:rsidRPr="00403B01">
        <w:rPr>
          <w:lang w:val="es-PE"/>
        </w:rPr>
        <w:t xml:space="preserve"> y </w:t>
      </w:r>
      <w:proofErr w:type="spellStart"/>
      <w:r w:rsidRPr="00403B01">
        <w:rPr>
          <w:lang w:val="es-PE"/>
        </w:rPr>
        <w:t>TabNet</w:t>
      </w:r>
      <w:proofErr w:type="spellEnd"/>
      <w:r w:rsidRPr="00403B01">
        <w:rPr>
          <w:lang w:val="es-PE"/>
        </w:rPr>
        <w:t xml:space="preserve"> en UNSW-NB15 con métricas de concordancia (índice de Jaccard entre los conjuntos top-k de ambos métodos), fidelidad y estabilidad, y señalaron que KernelSHAP requería más de 8 s por instancia. Munilla y Khammas (2026) evaluaron KernelSHAP y LIME en detectores </w:t>
      </w:r>
      <w:proofErr w:type="spellStart"/>
      <w:r w:rsidRPr="00403B01">
        <w:rPr>
          <w:lang w:val="es-PE"/>
        </w:rPr>
        <w:t>IoT</w:t>
      </w:r>
      <w:proofErr w:type="spellEnd"/>
      <w:r w:rsidRPr="00403B01">
        <w:rPr>
          <w:lang w:val="es-PE"/>
        </w:rPr>
        <w:t xml:space="preserve"> bajo ataques adversariales </w:t>
      </w:r>
      <w:proofErr w:type="spellStart"/>
      <w:r w:rsidRPr="00403B01">
        <w:rPr>
          <w:lang w:val="es-PE"/>
        </w:rPr>
        <w:t>DeepFool</w:t>
      </w:r>
      <w:proofErr w:type="spellEnd"/>
      <w:r w:rsidRPr="00403B01">
        <w:rPr>
          <w:lang w:val="es-PE"/>
        </w:rPr>
        <w:t>: SHAP obtuvo mayor completitud y alineación de las características, mientras que LIME mostró mayor estabilidad en el ranking de las principales características, aunque con más atribuciones espurias.</w:t>
      </w:r>
    </w:p>
    <w:p w14:paraId="63B7AAAD" w14:textId="77777777" w:rsidR="00902FC3" w:rsidRPr="00403B01" w:rsidRDefault="00000000">
      <w:pPr>
        <w:pStyle w:val="BodyText"/>
        <w:rPr>
          <w:lang w:val="es-PE"/>
        </w:rPr>
      </w:pPr>
      <w:r w:rsidRPr="00403B01">
        <w:rPr>
          <w:lang w:val="es-PE"/>
        </w:rPr>
        <w:t xml:space="preserve">La Tabla 1 resume estos antecedentes. En conjunto, revelan tres vacíos: no hay un método ganador en todas las dimensiones; las métricas no están estandarizadas, lo que exige definirlas operacionalmente; y ningún estudio contrasta las explicaciones locales con una línea base global sobre datos recientes de </w:t>
      </w:r>
      <w:proofErr w:type="gramStart"/>
      <w:r w:rsidRPr="00403B01">
        <w:rPr>
          <w:lang w:val="es-PE"/>
        </w:rPr>
        <w:t>malware</w:t>
      </w:r>
      <w:proofErr w:type="gramEnd"/>
      <w:r w:rsidRPr="00403B01">
        <w:rPr>
          <w:lang w:val="es-PE"/>
        </w:rPr>
        <w:t xml:space="preserve"> </w:t>
      </w:r>
      <w:proofErr w:type="spellStart"/>
      <w:r w:rsidRPr="00403B01">
        <w:rPr>
          <w:lang w:val="es-PE"/>
        </w:rPr>
        <w:t>IoT</w:t>
      </w:r>
      <w:proofErr w:type="spellEnd"/>
      <w:r w:rsidRPr="00403B01">
        <w:rPr>
          <w:lang w:val="es-PE"/>
        </w:rPr>
        <w:t xml:space="preserve"> de origen internacional. Este trabajo aborda los tres vacíos.</w:t>
      </w:r>
    </w:p>
    <w:p w14:paraId="181B8B3D" w14:textId="77777777" w:rsidR="00902FC3" w:rsidRPr="00403B01" w:rsidRDefault="00000000">
      <w:pPr>
        <w:pStyle w:val="BodyText"/>
        <w:keepNext/>
        <w:spacing w:before="160" w:after="0"/>
        <w:ind w:firstLine="0"/>
        <w:rPr>
          <w:lang w:val="es-PE"/>
        </w:rPr>
      </w:pPr>
      <w:r w:rsidRPr="00403B01">
        <w:rPr>
          <w:b/>
          <w:bCs/>
          <w:lang w:val="es-PE"/>
        </w:rPr>
        <w:t>Tabla 1</w:t>
      </w:r>
    </w:p>
    <w:p w14:paraId="73B95536" w14:textId="77777777" w:rsidR="00902FC3" w:rsidRPr="00403B01" w:rsidRDefault="00000000">
      <w:pPr>
        <w:pStyle w:val="BodyText"/>
        <w:keepNext/>
        <w:ind w:firstLine="0"/>
        <w:rPr>
          <w:lang w:val="es-PE"/>
        </w:rPr>
      </w:pPr>
      <w:r w:rsidRPr="00403B01">
        <w:rPr>
          <w:i/>
          <w:iCs/>
          <w:lang w:val="es-PE"/>
        </w:rPr>
        <w:t>Comparación con metodologías de estudios similares</w:t>
      </w:r>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503"/>
        <w:gridCol w:w="1357"/>
        <w:gridCol w:w="1734"/>
        <w:gridCol w:w="1856"/>
        <w:gridCol w:w="2792"/>
      </w:tblGrid>
      <w:tr w:rsidR="00902FC3" w14:paraId="5A168299" w14:textId="77777777" w:rsidTr="00902FC3">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bottom w:val="single" w:sz="8" w:space="0" w:color="000000"/>
              <w:right w:val="nil"/>
            </w:tcBorders>
          </w:tcPr>
          <w:p w14:paraId="2806DF58" w14:textId="77777777" w:rsidR="00902FC3" w:rsidRDefault="00000000">
            <w:pPr>
              <w:pStyle w:val="Compact"/>
              <w:spacing w:before="20" w:after="20"/>
              <w:ind w:firstLine="0"/>
              <w:jc w:val="left"/>
            </w:pPr>
            <w:proofErr w:type="spellStart"/>
            <w:r>
              <w:rPr>
                <w:sz w:val="20"/>
              </w:rPr>
              <w:t>Estudio</w:t>
            </w:r>
            <w:proofErr w:type="spellEnd"/>
          </w:p>
        </w:tc>
        <w:tc>
          <w:tcPr>
            <w:tcW w:w="0" w:type="auto"/>
            <w:tcBorders>
              <w:top w:val="nil"/>
              <w:left w:val="nil"/>
              <w:bottom w:val="single" w:sz="8" w:space="0" w:color="000000"/>
              <w:right w:val="nil"/>
            </w:tcBorders>
          </w:tcPr>
          <w:p w14:paraId="2AB30E02" w14:textId="77777777" w:rsidR="00902FC3" w:rsidRDefault="00000000">
            <w:pPr>
              <w:pStyle w:val="Compact"/>
              <w:spacing w:before="20" w:after="20"/>
              <w:ind w:firstLine="0"/>
              <w:jc w:val="left"/>
            </w:pPr>
            <w:r>
              <w:rPr>
                <w:sz w:val="20"/>
              </w:rPr>
              <w:t>Modelo</w:t>
            </w:r>
          </w:p>
        </w:tc>
        <w:tc>
          <w:tcPr>
            <w:tcW w:w="0" w:type="auto"/>
            <w:tcBorders>
              <w:top w:val="nil"/>
              <w:left w:val="nil"/>
              <w:bottom w:val="single" w:sz="8" w:space="0" w:color="000000"/>
              <w:right w:val="nil"/>
            </w:tcBorders>
          </w:tcPr>
          <w:p w14:paraId="322D30CE" w14:textId="77777777" w:rsidR="00902FC3" w:rsidRDefault="00000000">
            <w:pPr>
              <w:pStyle w:val="Compact"/>
              <w:spacing w:before="20" w:after="20"/>
              <w:ind w:firstLine="0"/>
              <w:jc w:val="left"/>
            </w:pPr>
            <w:proofErr w:type="spellStart"/>
            <w:r>
              <w:rPr>
                <w:sz w:val="20"/>
              </w:rPr>
              <w:t>Explicadores</w:t>
            </w:r>
            <w:proofErr w:type="spellEnd"/>
          </w:p>
        </w:tc>
        <w:tc>
          <w:tcPr>
            <w:tcW w:w="0" w:type="auto"/>
            <w:tcBorders>
              <w:top w:val="nil"/>
              <w:left w:val="nil"/>
              <w:bottom w:val="single" w:sz="8" w:space="0" w:color="000000"/>
              <w:right w:val="nil"/>
            </w:tcBorders>
          </w:tcPr>
          <w:p w14:paraId="0AB60CA8" w14:textId="77777777" w:rsidR="00902FC3" w:rsidRDefault="00000000">
            <w:pPr>
              <w:pStyle w:val="Compact"/>
              <w:spacing w:before="20" w:after="20"/>
              <w:ind w:firstLine="0"/>
              <w:jc w:val="left"/>
            </w:pPr>
            <w:r>
              <w:rPr>
                <w:sz w:val="20"/>
              </w:rPr>
              <w:t>Datos</w:t>
            </w:r>
          </w:p>
        </w:tc>
        <w:tc>
          <w:tcPr>
            <w:tcW w:w="0" w:type="auto"/>
            <w:tcBorders>
              <w:top w:val="nil"/>
              <w:left w:val="nil"/>
              <w:bottom w:val="single" w:sz="8" w:space="0" w:color="000000"/>
              <w:right w:val="nil"/>
            </w:tcBorders>
          </w:tcPr>
          <w:p w14:paraId="051036E4" w14:textId="77777777" w:rsidR="00902FC3" w:rsidRDefault="00000000">
            <w:pPr>
              <w:pStyle w:val="Compact"/>
              <w:spacing w:before="20" w:after="20"/>
              <w:ind w:firstLine="0"/>
              <w:jc w:val="left"/>
            </w:pPr>
            <w:proofErr w:type="spellStart"/>
            <w:r>
              <w:rPr>
                <w:sz w:val="20"/>
              </w:rPr>
              <w:t>Métricas</w:t>
            </w:r>
            <w:proofErr w:type="spellEnd"/>
            <w:r>
              <w:rPr>
                <w:sz w:val="20"/>
              </w:rPr>
              <w:t xml:space="preserve"> de </w:t>
            </w:r>
            <w:proofErr w:type="spellStart"/>
            <w:r>
              <w:rPr>
                <w:sz w:val="20"/>
              </w:rPr>
              <w:t>explicación</w:t>
            </w:r>
            <w:proofErr w:type="spellEnd"/>
          </w:p>
        </w:tc>
      </w:tr>
      <w:tr w:rsidR="00902FC3" w:rsidRPr="00774C95" w14:paraId="5C5998D6" w14:textId="77777777">
        <w:tc>
          <w:tcPr>
            <w:tcW w:w="0" w:type="auto"/>
          </w:tcPr>
          <w:p w14:paraId="2C9D0325" w14:textId="77777777" w:rsidR="00902FC3" w:rsidRDefault="00000000">
            <w:pPr>
              <w:pStyle w:val="Compact"/>
              <w:spacing w:before="20" w:after="20"/>
              <w:ind w:firstLine="0"/>
              <w:jc w:val="left"/>
            </w:pPr>
            <w:r>
              <w:rPr>
                <w:sz w:val="20"/>
              </w:rPr>
              <w:t>Le et al. (2022)</w:t>
            </w:r>
          </w:p>
        </w:tc>
        <w:tc>
          <w:tcPr>
            <w:tcW w:w="0" w:type="auto"/>
          </w:tcPr>
          <w:p w14:paraId="1E8E7AEF" w14:textId="77777777" w:rsidR="00902FC3" w:rsidRDefault="00000000">
            <w:pPr>
              <w:pStyle w:val="Compact"/>
              <w:spacing w:before="20" w:after="20"/>
              <w:ind w:firstLine="0"/>
              <w:jc w:val="left"/>
            </w:pPr>
            <w:r>
              <w:rPr>
                <w:sz w:val="20"/>
              </w:rPr>
              <w:t>DT, RF</w:t>
            </w:r>
          </w:p>
        </w:tc>
        <w:tc>
          <w:tcPr>
            <w:tcW w:w="0" w:type="auto"/>
          </w:tcPr>
          <w:p w14:paraId="5B0EEA28" w14:textId="77777777" w:rsidR="00902FC3" w:rsidRDefault="00000000">
            <w:pPr>
              <w:pStyle w:val="Compact"/>
              <w:spacing w:before="20" w:after="20"/>
              <w:ind w:firstLine="0"/>
              <w:jc w:val="left"/>
            </w:pPr>
            <w:proofErr w:type="spellStart"/>
            <w:r>
              <w:rPr>
                <w:sz w:val="20"/>
              </w:rPr>
              <w:t>TreeSHAP</w:t>
            </w:r>
            <w:proofErr w:type="spellEnd"/>
          </w:p>
        </w:tc>
        <w:tc>
          <w:tcPr>
            <w:tcW w:w="0" w:type="auto"/>
          </w:tcPr>
          <w:p w14:paraId="6639D75F" w14:textId="77777777" w:rsidR="00902FC3" w:rsidRDefault="00000000">
            <w:pPr>
              <w:pStyle w:val="Compact"/>
              <w:spacing w:before="20" w:after="20"/>
              <w:ind w:firstLine="0"/>
              <w:jc w:val="left"/>
            </w:pPr>
            <w:r>
              <w:rPr>
                <w:sz w:val="20"/>
              </w:rPr>
              <w:t>IoTID20, NF-BoT-IoT-v2, NF-ToN-IoT-v2</w:t>
            </w:r>
          </w:p>
        </w:tc>
        <w:tc>
          <w:tcPr>
            <w:tcW w:w="0" w:type="auto"/>
          </w:tcPr>
          <w:p w14:paraId="5408455B" w14:textId="77777777" w:rsidR="00902FC3" w:rsidRPr="00403B01" w:rsidRDefault="00000000">
            <w:pPr>
              <w:pStyle w:val="Compact"/>
              <w:spacing w:before="20" w:after="20"/>
              <w:ind w:firstLine="0"/>
              <w:jc w:val="left"/>
              <w:rPr>
                <w:lang w:val="es-PE"/>
              </w:rPr>
            </w:pPr>
            <w:r w:rsidRPr="00403B01">
              <w:rPr>
                <w:sz w:val="20"/>
                <w:lang w:val="es-PE"/>
              </w:rPr>
              <w:t>Cualitativas (sin métricas de calidad)</w:t>
            </w:r>
          </w:p>
        </w:tc>
      </w:tr>
      <w:tr w:rsidR="00902FC3" w14:paraId="297CAA76" w14:textId="77777777">
        <w:tc>
          <w:tcPr>
            <w:tcW w:w="0" w:type="auto"/>
          </w:tcPr>
          <w:p w14:paraId="74492F58" w14:textId="77777777" w:rsidR="00902FC3" w:rsidRDefault="00000000">
            <w:pPr>
              <w:pStyle w:val="Compact"/>
              <w:spacing w:before="20" w:after="20"/>
              <w:ind w:firstLine="0"/>
              <w:jc w:val="left"/>
            </w:pPr>
            <w:r>
              <w:rPr>
                <w:sz w:val="20"/>
              </w:rPr>
              <w:t>Alani y Miri (2022)</w:t>
            </w:r>
          </w:p>
        </w:tc>
        <w:tc>
          <w:tcPr>
            <w:tcW w:w="0" w:type="auto"/>
          </w:tcPr>
          <w:p w14:paraId="36AA287F" w14:textId="77777777" w:rsidR="00902FC3" w:rsidRDefault="00000000">
            <w:pPr>
              <w:pStyle w:val="Compact"/>
              <w:spacing w:before="20" w:after="20"/>
              <w:ind w:firstLine="0"/>
              <w:jc w:val="left"/>
            </w:pPr>
            <w:r>
              <w:rPr>
                <w:sz w:val="20"/>
              </w:rPr>
              <w:t>DT, RF</w:t>
            </w:r>
          </w:p>
        </w:tc>
        <w:tc>
          <w:tcPr>
            <w:tcW w:w="0" w:type="auto"/>
          </w:tcPr>
          <w:p w14:paraId="38E06EC6" w14:textId="77777777" w:rsidR="00902FC3" w:rsidRDefault="00000000">
            <w:pPr>
              <w:pStyle w:val="Compact"/>
              <w:spacing w:before="20" w:after="20"/>
              <w:ind w:firstLine="0"/>
              <w:jc w:val="left"/>
            </w:pPr>
            <w:proofErr w:type="spellStart"/>
            <w:r>
              <w:rPr>
                <w:sz w:val="20"/>
              </w:rPr>
              <w:t>TreeSHAP</w:t>
            </w:r>
            <w:proofErr w:type="spellEnd"/>
          </w:p>
        </w:tc>
        <w:tc>
          <w:tcPr>
            <w:tcW w:w="0" w:type="auto"/>
          </w:tcPr>
          <w:p w14:paraId="15066538" w14:textId="77777777" w:rsidR="00902FC3" w:rsidRDefault="00000000">
            <w:pPr>
              <w:pStyle w:val="Compact"/>
              <w:spacing w:before="20" w:after="20"/>
              <w:ind w:firstLine="0"/>
              <w:jc w:val="left"/>
            </w:pPr>
            <w:proofErr w:type="spellStart"/>
            <w:r>
              <w:rPr>
                <w:sz w:val="20"/>
              </w:rPr>
              <w:t>TON_IoT</w:t>
            </w:r>
            <w:proofErr w:type="spellEnd"/>
            <w:r>
              <w:rPr>
                <w:sz w:val="20"/>
              </w:rPr>
              <w:t>, IoT-23</w:t>
            </w:r>
          </w:p>
        </w:tc>
        <w:tc>
          <w:tcPr>
            <w:tcW w:w="0" w:type="auto"/>
          </w:tcPr>
          <w:p w14:paraId="3165CD2B" w14:textId="77777777" w:rsidR="00902FC3" w:rsidRDefault="00000000">
            <w:pPr>
              <w:pStyle w:val="Compact"/>
              <w:spacing w:before="20" w:after="20"/>
              <w:ind w:firstLine="0"/>
              <w:jc w:val="left"/>
            </w:pPr>
            <w:r>
              <w:rPr>
                <w:sz w:val="20"/>
              </w:rPr>
              <w:t xml:space="preserve">No </w:t>
            </w:r>
            <w:proofErr w:type="spellStart"/>
            <w:r>
              <w:rPr>
                <w:sz w:val="20"/>
              </w:rPr>
              <w:t>evalúa</w:t>
            </w:r>
            <w:proofErr w:type="spellEnd"/>
            <w:r>
              <w:rPr>
                <w:sz w:val="20"/>
              </w:rPr>
              <w:t xml:space="preserve"> </w:t>
            </w:r>
            <w:proofErr w:type="spellStart"/>
            <w:r>
              <w:rPr>
                <w:sz w:val="20"/>
              </w:rPr>
              <w:t>su</w:t>
            </w:r>
            <w:proofErr w:type="spellEnd"/>
            <w:r>
              <w:rPr>
                <w:sz w:val="20"/>
              </w:rPr>
              <w:t xml:space="preserve"> </w:t>
            </w:r>
            <w:proofErr w:type="spellStart"/>
            <w:r>
              <w:rPr>
                <w:sz w:val="20"/>
              </w:rPr>
              <w:t>calidad</w:t>
            </w:r>
            <w:proofErr w:type="spellEnd"/>
          </w:p>
        </w:tc>
      </w:tr>
      <w:tr w:rsidR="00902FC3" w:rsidRPr="00774C95" w14:paraId="4B160C10" w14:textId="77777777">
        <w:tc>
          <w:tcPr>
            <w:tcW w:w="0" w:type="auto"/>
          </w:tcPr>
          <w:p w14:paraId="2EA4416B" w14:textId="77777777" w:rsidR="00902FC3" w:rsidRDefault="00000000">
            <w:pPr>
              <w:pStyle w:val="Compact"/>
              <w:spacing w:before="20" w:after="20"/>
              <w:ind w:firstLine="0"/>
              <w:jc w:val="left"/>
            </w:pPr>
            <w:proofErr w:type="spellStart"/>
            <w:r>
              <w:rPr>
                <w:sz w:val="20"/>
              </w:rPr>
              <w:t>Arreche</w:t>
            </w:r>
            <w:proofErr w:type="spellEnd"/>
            <w:r>
              <w:rPr>
                <w:sz w:val="20"/>
              </w:rPr>
              <w:t xml:space="preserve"> et al. (2024)</w:t>
            </w:r>
          </w:p>
        </w:tc>
        <w:tc>
          <w:tcPr>
            <w:tcW w:w="0" w:type="auto"/>
          </w:tcPr>
          <w:p w14:paraId="6E6E6376" w14:textId="77777777" w:rsidR="00902FC3" w:rsidRDefault="00000000">
            <w:pPr>
              <w:pStyle w:val="Compact"/>
              <w:spacing w:before="20" w:after="20"/>
              <w:ind w:firstLine="0"/>
              <w:jc w:val="left"/>
            </w:pPr>
            <w:r>
              <w:rPr>
                <w:sz w:val="20"/>
              </w:rPr>
              <w:t xml:space="preserve">Siete </w:t>
            </w:r>
            <w:proofErr w:type="spellStart"/>
            <w:r>
              <w:rPr>
                <w:sz w:val="20"/>
              </w:rPr>
              <w:t>modelos</w:t>
            </w:r>
            <w:proofErr w:type="spellEnd"/>
          </w:p>
        </w:tc>
        <w:tc>
          <w:tcPr>
            <w:tcW w:w="0" w:type="auto"/>
          </w:tcPr>
          <w:p w14:paraId="1BEA8B8C" w14:textId="77777777" w:rsidR="00902FC3" w:rsidRDefault="00000000">
            <w:pPr>
              <w:pStyle w:val="Compact"/>
              <w:spacing w:before="20" w:after="20"/>
              <w:ind w:firstLine="0"/>
              <w:jc w:val="left"/>
            </w:pPr>
            <w:r>
              <w:rPr>
                <w:sz w:val="20"/>
              </w:rPr>
              <w:t>SHAP, LIME</w:t>
            </w:r>
          </w:p>
        </w:tc>
        <w:tc>
          <w:tcPr>
            <w:tcW w:w="0" w:type="auto"/>
          </w:tcPr>
          <w:p w14:paraId="0FF84012" w14:textId="77777777" w:rsidR="00902FC3" w:rsidRDefault="00000000">
            <w:pPr>
              <w:pStyle w:val="Compact"/>
              <w:spacing w:before="20" w:after="20"/>
              <w:ind w:firstLine="0"/>
              <w:jc w:val="left"/>
            </w:pPr>
            <w:r>
              <w:rPr>
                <w:sz w:val="20"/>
              </w:rPr>
              <w:t>Tres datasets de IDS</w:t>
            </w:r>
          </w:p>
        </w:tc>
        <w:tc>
          <w:tcPr>
            <w:tcW w:w="0" w:type="auto"/>
          </w:tcPr>
          <w:p w14:paraId="41BEAD95" w14:textId="77777777" w:rsidR="00902FC3" w:rsidRPr="00403B01" w:rsidRDefault="00000000">
            <w:pPr>
              <w:pStyle w:val="Compact"/>
              <w:spacing w:before="20" w:after="20"/>
              <w:ind w:firstLine="0"/>
              <w:jc w:val="left"/>
              <w:rPr>
                <w:lang w:val="es-PE"/>
              </w:rPr>
            </w:pPr>
            <w:r w:rsidRPr="00403B01">
              <w:rPr>
                <w:sz w:val="20"/>
                <w:lang w:val="es-PE"/>
              </w:rPr>
              <w:t>Exactitud descriptiva, dispersión, estabilidad, eficiencia, robustez, completitud</w:t>
            </w:r>
          </w:p>
        </w:tc>
      </w:tr>
      <w:tr w:rsidR="00902FC3" w14:paraId="56FE40F7" w14:textId="77777777">
        <w:tc>
          <w:tcPr>
            <w:tcW w:w="0" w:type="auto"/>
          </w:tcPr>
          <w:p w14:paraId="27D9A0F9" w14:textId="77777777" w:rsidR="00902FC3" w:rsidRDefault="00000000">
            <w:pPr>
              <w:pStyle w:val="Compact"/>
              <w:spacing w:before="20" w:after="20"/>
              <w:ind w:firstLine="0"/>
              <w:jc w:val="left"/>
            </w:pPr>
            <w:r>
              <w:rPr>
                <w:sz w:val="20"/>
              </w:rPr>
              <w:t>Hermosilla et al. (2025)</w:t>
            </w:r>
          </w:p>
        </w:tc>
        <w:tc>
          <w:tcPr>
            <w:tcW w:w="0" w:type="auto"/>
          </w:tcPr>
          <w:p w14:paraId="63013E28" w14:textId="77777777" w:rsidR="00902FC3" w:rsidRDefault="00000000">
            <w:pPr>
              <w:pStyle w:val="Compact"/>
              <w:spacing w:before="20" w:after="20"/>
              <w:ind w:firstLine="0"/>
              <w:jc w:val="left"/>
            </w:pPr>
            <w:proofErr w:type="spellStart"/>
            <w:r>
              <w:rPr>
                <w:sz w:val="20"/>
              </w:rPr>
              <w:t>XGBoost</w:t>
            </w:r>
            <w:proofErr w:type="spellEnd"/>
            <w:r>
              <w:rPr>
                <w:sz w:val="20"/>
              </w:rPr>
              <w:t xml:space="preserve">, </w:t>
            </w:r>
            <w:proofErr w:type="spellStart"/>
            <w:r>
              <w:rPr>
                <w:sz w:val="20"/>
              </w:rPr>
              <w:t>TabNet</w:t>
            </w:r>
            <w:proofErr w:type="spellEnd"/>
          </w:p>
        </w:tc>
        <w:tc>
          <w:tcPr>
            <w:tcW w:w="0" w:type="auto"/>
          </w:tcPr>
          <w:p w14:paraId="41BA6C3B" w14:textId="77777777" w:rsidR="00902FC3" w:rsidRDefault="00000000">
            <w:pPr>
              <w:pStyle w:val="Compact"/>
              <w:spacing w:before="20" w:after="20"/>
              <w:ind w:firstLine="0"/>
              <w:jc w:val="left"/>
            </w:pPr>
            <w:r>
              <w:rPr>
                <w:sz w:val="20"/>
              </w:rPr>
              <w:t>SHAP, LIME</w:t>
            </w:r>
          </w:p>
        </w:tc>
        <w:tc>
          <w:tcPr>
            <w:tcW w:w="0" w:type="auto"/>
          </w:tcPr>
          <w:p w14:paraId="27D6FC43" w14:textId="77777777" w:rsidR="00902FC3" w:rsidRDefault="00000000">
            <w:pPr>
              <w:pStyle w:val="Compact"/>
              <w:spacing w:before="20" w:after="20"/>
              <w:ind w:firstLine="0"/>
              <w:jc w:val="left"/>
            </w:pPr>
            <w:r>
              <w:rPr>
                <w:sz w:val="20"/>
              </w:rPr>
              <w:t>UNSW-NB15</w:t>
            </w:r>
          </w:p>
        </w:tc>
        <w:tc>
          <w:tcPr>
            <w:tcW w:w="0" w:type="auto"/>
          </w:tcPr>
          <w:p w14:paraId="7D984E3C" w14:textId="77777777" w:rsidR="00902FC3" w:rsidRDefault="00000000">
            <w:pPr>
              <w:pStyle w:val="Compact"/>
              <w:spacing w:before="20" w:after="20"/>
              <w:ind w:firstLine="0"/>
              <w:jc w:val="left"/>
            </w:pPr>
            <w:proofErr w:type="spellStart"/>
            <w:r>
              <w:rPr>
                <w:sz w:val="20"/>
              </w:rPr>
              <w:t>Concordancia (Jaccard), fidelidad, estabilidad, tiempo</w:t>
            </w:r>
            <w:proofErr w:type="spellEnd"/>
            <w:r>
              <w:rPr>
                <w:sz w:val="20"/>
              </w:rPr>
            </w:r>
            <w:proofErr w:type="spellStart"/>
            <w:r>
              <w:rPr>
                <w:sz w:val="20"/>
              </w:rPr>
            </w:r>
            <w:proofErr w:type="spellEnd"/>
            <w:r>
              <w:rPr>
                <w:sz w:val="20"/>
              </w:rPr>
            </w:r>
            <w:proofErr w:type="spellStart"/>
            <w:r>
              <w:rPr>
                <w:sz w:val="20"/>
              </w:rPr>
            </w:r>
            <w:proofErr w:type="spellEnd"/>
          </w:p>
        </w:tc>
      </w:tr>
      <w:tr w:rsidR="00902FC3" w14:paraId="1CB8D7EC" w14:textId="77777777">
        <w:tc>
          <w:tcPr>
            <w:tcW w:w="0" w:type="auto"/>
          </w:tcPr>
          <w:p w14:paraId="730F3698" w14:textId="77777777" w:rsidR="00902FC3" w:rsidRDefault="00000000">
            <w:pPr>
              <w:pStyle w:val="Compact"/>
              <w:spacing w:before="20" w:after="20"/>
              <w:ind w:firstLine="0"/>
              <w:jc w:val="left"/>
            </w:pPr>
            <w:proofErr w:type="spellStart"/>
            <w:r>
              <w:rPr>
                <w:sz w:val="20"/>
              </w:rPr>
              <w:t>Munilla</w:t>
            </w:r>
            <w:proofErr w:type="spellEnd"/>
            <w:r>
              <w:rPr>
                <w:sz w:val="20"/>
              </w:rPr>
              <w:t xml:space="preserve"> y Khammas (2026)</w:t>
            </w:r>
          </w:p>
        </w:tc>
        <w:tc>
          <w:tcPr>
            <w:tcW w:w="0" w:type="auto"/>
          </w:tcPr>
          <w:p w14:paraId="29AE5085" w14:textId="77777777" w:rsidR="00902FC3" w:rsidRDefault="00000000">
            <w:pPr>
              <w:pStyle w:val="Compact"/>
              <w:spacing w:before="20" w:after="20"/>
              <w:ind w:firstLine="0"/>
              <w:jc w:val="left"/>
            </w:pPr>
            <w:r>
              <w:rPr>
                <w:sz w:val="20"/>
              </w:rPr>
              <w:t>RF, DNN, CNN, LSTM</w:t>
            </w:r>
          </w:p>
        </w:tc>
        <w:tc>
          <w:tcPr>
            <w:tcW w:w="0" w:type="auto"/>
          </w:tcPr>
          <w:p w14:paraId="1F53B5FE" w14:textId="77777777" w:rsidR="00902FC3" w:rsidRDefault="00000000">
            <w:pPr>
              <w:pStyle w:val="Compact"/>
              <w:spacing w:before="20" w:after="20"/>
              <w:ind w:firstLine="0"/>
              <w:jc w:val="left"/>
            </w:pPr>
            <w:proofErr w:type="spellStart"/>
            <w:r>
              <w:rPr>
                <w:sz w:val="20"/>
              </w:rPr>
              <w:t>KernelSHAP</w:t>
            </w:r>
            <w:proofErr w:type="spellEnd"/>
            <w:r>
              <w:rPr>
                <w:sz w:val="20"/>
              </w:rPr>
              <w:t>, LIME</w:t>
            </w:r>
          </w:p>
        </w:tc>
        <w:tc>
          <w:tcPr>
            <w:tcW w:w="0" w:type="auto"/>
          </w:tcPr>
          <w:p w14:paraId="6979832C" w14:textId="77777777" w:rsidR="00902FC3" w:rsidRDefault="00000000">
            <w:pPr>
              <w:pStyle w:val="Compact"/>
              <w:spacing w:before="20" w:after="20"/>
              <w:ind w:firstLine="0"/>
              <w:jc w:val="left"/>
            </w:pPr>
            <w:proofErr w:type="spellStart"/>
            <w:r>
              <w:rPr>
                <w:sz w:val="20"/>
              </w:rPr>
              <w:t>BoT</w:t>
            </w:r>
            <w:proofErr w:type="spellEnd"/>
            <w:r>
              <w:rPr>
                <w:sz w:val="20"/>
              </w:rPr>
              <w:t>-IoT, Edge-</w:t>
            </w:r>
            <w:proofErr w:type="spellStart"/>
            <w:r>
              <w:rPr>
                <w:sz w:val="20"/>
              </w:rPr>
              <w:t>IIoT</w:t>
            </w:r>
            <w:proofErr w:type="spellEnd"/>
            <w:r>
              <w:rPr>
                <w:sz w:val="20"/>
              </w:rPr>
              <w:t>, N-</w:t>
            </w:r>
            <w:proofErr w:type="spellStart"/>
            <w:r>
              <w:rPr>
                <w:sz w:val="20"/>
              </w:rPr>
              <w:t>BaIoT</w:t>
            </w:r>
            <w:proofErr w:type="spellEnd"/>
          </w:p>
        </w:tc>
        <w:tc>
          <w:tcPr>
            <w:tcW w:w="0" w:type="auto"/>
          </w:tcPr>
          <w:p w14:paraId="75AA2E22" w14:textId="77777777" w:rsidR="00902FC3" w:rsidRDefault="00000000">
            <w:pPr>
              <w:pStyle w:val="Compact"/>
              <w:spacing w:before="20" w:after="20"/>
              <w:ind w:firstLine="0"/>
              <w:jc w:val="left"/>
            </w:pPr>
            <w:proofErr w:type="spellStart"/>
            <w:r>
              <w:rPr>
                <w:sz w:val="20"/>
              </w:rPr>
              <w:t>Dispersión</w:t>
            </w:r>
            <w:proofErr w:type="spellEnd"/>
            <w:r>
              <w:rPr>
                <w:sz w:val="20"/>
              </w:rPr>
              <w:t xml:space="preserve">, </w:t>
            </w:r>
            <w:proofErr w:type="spellStart"/>
            <w:r>
              <w:rPr>
                <w:sz w:val="20"/>
              </w:rPr>
              <w:t>completitud</w:t>
            </w:r>
            <w:proofErr w:type="spellEnd"/>
            <w:r>
              <w:rPr>
                <w:sz w:val="20"/>
              </w:rPr>
              <w:t xml:space="preserve">, </w:t>
            </w:r>
            <w:proofErr w:type="spellStart"/>
            <w:r>
              <w:rPr>
                <w:sz w:val="20"/>
              </w:rPr>
              <w:t>robustez</w:t>
            </w:r>
            <w:proofErr w:type="spellEnd"/>
          </w:p>
        </w:tc>
      </w:tr>
      <w:tr w:rsidR="00902FC3" w14:paraId="393307D3" w14:textId="77777777">
        <w:tc>
          <w:tcPr>
            <w:tcW w:w="0" w:type="auto"/>
          </w:tcPr>
          <w:p w14:paraId="7A403F17" w14:textId="77777777" w:rsidR="00902FC3" w:rsidRDefault="00000000">
            <w:pPr>
              <w:pStyle w:val="Compact"/>
              <w:spacing w:before="20" w:after="20"/>
              <w:ind w:firstLine="0"/>
              <w:jc w:val="left"/>
            </w:pPr>
            <w:r>
              <w:rPr>
                <w:sz w:val="20"/>
              </w:rPr>
              <w:t xml:space="preserve">Este </w:t>
            </w:r>
            <w:proofErr w:type="spellStart"/>
            <w:r>
              <w:rPr>
                <w:sz w:val="20"/>
              </w:rPr>
              <w:t>estudio</w:t>
            </w:r>
            <w:proofErr w:type="spellEnd"/>
          </w:p>
        </w:tc>
        <w:tc>
          <w:tcPr>
            <w:tcW w:w="0" w:type="auto"/>
          </w:tcPr>
          <w:p w14:paraId="0DC144B4" w14:textId="77777777" w:rsidR="00902FC3" w:rsidRDefault="00000000">
            <w:pPr>
              <w:pStyle w:val="Compact"/>
              <w:spacing w:before="20" w:after="20"/>
              <w:ind w:firstLine="0"/>
              <w:jc w:val="left"/>
            </w:pPr>
            <w:r>
              <w:rPr>
                <w:sz w:val="20"/>
              </w:rPr>
              <w:t>RF</w:t>
            </w:r>
          </w:p>
        </w:tc>
        <w:tc>
          <w:tcPr>
            <w:tcW w:w="0" w:type="auto"/>
          </w:tcPr>
          <w:p w14:paraId="4A755DDE" w14:textId="77777777" w:rsidR="00902FC3" w:rsidRDefault="00000000">
            <w:pPr>
              <w:pStyle w:val="Compact"/>
              <w:spacing w:before="20" w:after="20"/>
              <w:ind w:firstLine="0"/>
              <w:jc w:val="left"/>
            </w:pPr>
            <w:r>
              <w:rPr>
                <w:sz w:val="20"/>
              </w:rPr>
              <w:t xml:space="preserve">MDI (base), </w:t>
            </w:r>
            <w:proofErr w:type="spellStart"/>
            <w:r>
              <w:rPr>
                <w:sz w:val="20"/>
              </w:rPr>
              <w:t>TreeSHAP</w:t>
            </w:r>
            <w:proofErr w:type="spellEnd"/>
            <w:r>
              <w:rPr>
                <w:sz w:val="20"/>
              </w:rPr>
              <w:t>, LIME</w:t>
            </w:r>
          </w:p>
        </w:tc>
        <w:tc>
          <w:tcPr>
            <w:tcW w:w="0" w:type="auto"/>
          </w:tcPr>
          <w:p w14:paraId="139EFB7F" w14:textId="77777777" w:rsidR="00902FC3" w:rsidRDefault="00000000">
            <w:pPr>
              <w:pStyle w:val="Compact"/>
              <w:spacing w:before="20" w:after="20"/>
              <w:ind w:firstLine="0"/>
              <w:jc w:val="left"/>
            </w:pPr>
            <w:r>
              <w:rPr>
                <w:sz w:val="20"/>
              </w:rPr>
              <w:t>CIC-YNU-</w:t>
            </w:r>
            <w:proofErr w:type="spellStart"/>
            <w:r>
              <w:rPr>
                <w:sz w:val="20"/>
              </w:rPr>
              <w:t>IoTMal</w:t>
            </w:r>
            <w:proofErr w:type="spellEnd"/>
            <w:r>
              <w:rPr>
                <w:sz w:val="20"/>
              </w:rPr>
              <w:t xml:space="preserve"> 2026</w:t>
            </w:r>
          </w:p>
        </w:tc>
        <w:tc>
          <w:tcPr>
            <w:tcW w:w="0" w:type="auto"/>
          </w:tcPr>
          <w:p w14:paraId="5522F58D" w14:textId="77777777" w:rsidR="00902FC3" w:rsidRDefault="00000000">
            <w:pPr>
              <w:pStyle w:val="Compact"/>
              <w:spacing w:before="20" w:after="20"/>
              <w:ind w:firstLine="0"/>
              <w:jc w:val="left"/>
            </w:pPr>
            <w:proofErr w:type="spellStart"/>
            <w:r>
              <w:rPr>
                <w:sz w:val="20"/>
              </w:rPr>
              <w:t>Fidelidad</w:t>
            </w:r>
            <w:proofErr w:type="spellEnd"/>
            <w:r>
              <w:rPr>
                <w:sz w:val="20"/>
              </w:rPr>
              <w:t xml:space="preserve">, </w:t>
            </w:r>
            <w:proofErr w:type="spellStart"/>
            <w:r>
              <w:rPr>
                <w:sz w:val="20"/>
              </w:rPr>
              <w:t>estabilidad</w:t>
            </w:r>
            <w:proofErr w:type="spellEnd"/>
            <w:r>
              <w:rPr>
                <w:sz w:val="20"/>
              </w:rPr>
              <w:t xml:space="preserve">, </w:t>
            </w:r>
            <w:proofErr w:type="spellStart"/>
            <w:r>
              <w:rPr>
                <w:sz w:val="20"/>
              </w:rPr>
              <w:t>parsimonia</w:t>
            </w:r>
            <w:proofErr w:type="spellEnd"/>
            <w:r>
              <w:rPr>
                <w:sz w:val="20"/>
              </w:rPr>
              <w:t xml:space="preserve">, </w:t>
            </w:r>
            <w:proofErr w:type="spellStart"/>
            <w:r>
              <w:rPr>
                <w:sz w:val="20"/>
              </w:rPr>
              <w:t>costo</w:t>
            </w:r>
            <w:proofErr w:type="spellEnd"/>
          </w:p>
        </w:tc>
      </w:tr>
    </w:tbl>
    <w:p w14:paraId="75C00F2D" w14:textId="77777777" w:rsidR="00902FC3" w:rsidRDefault="00000000">
      <w:pPr>
        <w:pStyle w:val="Heading1"/>
      </w:pPr>
      <w:bookmarkStart w:id="2" w:name="metodología"/>
      <w:bookmarkEnd w:id="1"/>
      <w:r>
        <w:t xml:space="preserve">3. </w:t>
      </w:r>
      <w:proofErr w:type="spellStart"/>
      <w:r>
        <w:t>Metodología</w:t>
      </w:r>
      <w:proofErr w:type="spellEnd"/>
    </w:p>
    <w:p w14:paraId="64133645" w14:textId="77777777" w:rsidR="00902FC3" w:rsidRDefault="00000000">
      <w:pPr>
        <w:pStyle w:val="Heading2"/>
      </w:pPr>
      <w:bookmarkStart w:id="3" w:name="diseño-de-la-investigación"/>
      <w:r>
        <w:t xml:space="preserve">3.1 </w:t>
      </w:r>
      <w:proofErr w:type="spellStart"/>
      <w:r>
        <w:t>Diseño</w:t>
      </w:r>
      <w:proofErr w:type="spellEnd"/>
      <w:r>
        <w:t xml:space="preserve"> de la </w:t>
      </w:r>
      <w:proofErr w:type="spellStart"/>
      <w:r>
        <w:t>investigación</w:t>
      </w:r>
      <w:proofErr w:type="spellEnd"/>
    </w:p>
    <w:p w14:paraId="5015D7E5" w14:textId="77777777" w:rsidR="00902FC3" w:rsidRPr="00403B01" w:rsidRDefault="00000000">
      <w:pPr>
        <w:pStyle w:val="FirstParagraph"/>
        <w:rPr>
          <w:lang w:val="es-PE"/>
        </w:rPr>
      </w:pPr>
      <w:r w:rsidRPr="00403B01">
        <w:rPr>
          <w:lang w:val="es-PE"/>
        </w:rPr>
        <w:t xml:space="preserve">El estudio tiene enfoque cuantitativo, es de tipo aplicado y de nivel explicativo, con un diseño </w:t>
      </w:r>
      <w:proofErr w:type="spellStart"/>
      <w:proofErr w:type="gramStart"/>
      <w:r w:rsidRPr="00403B01">
        <w:rPr>
          <w:lang w:val="es-PE"/>
        </w:rPr>
        <w:t>cuasi-experimental</w:t>
      </w:r>
      <w:proofErr w:type="spellEnd"/>
      <w:proofErr w:type="gramEnd"/>
      <w:r w:rsidRPr="00403B01">
        <w:rPr>
          <w:lang w:val="es-PE"/>
        </w:rPr>
        <w:t xml:space="preserve">, transversal y de medidas repetidas. La unidad de análisis es la </w:t>
      </w:r>
      <w:r w:rsidRPr="00403B01">
        <w:rPr>
          <w:i/>
          <w:iCs/>
          <w:lang w:val="es-PE"/>
        </w:rPr>
        <w:t>alerta</w:t>
      </w:r>
      <w:r w:rsidRPr="00403B01">
        <w:rPr>
          <w:lang w:val="es-PE"/>
        </w:rPr>
        <w:t xml:space="preserve">, definida como una ventana de tráfico del conjunto de prueba a la que el detector asigna una familia de </w:t>
      </w:r>
      <w:proofErr w:type="gramStart"/>
      <w:r w:rsidRPr="00403B01">
        <w:rPr>
          <w:lang w:val="es-PE"/>
        </w:rPr>
        <w:t>malware</w:t>
      </w:r>
      <w:proofErr w:type="gramEnd"/>
      <w:r w:rsidRPr="00403B01">
        <w:rPr>
          <w:lang w:val="es-PE"/>
        </w:rPr>
        <w:t>. Cada alerta se observa bajo tres condiciones de explicación: C0, la importancia global del Random Forest por disminución media de la impureza (MDI), que representa la información de la que dispone el analista sin explicaciones locales (</w:t>
      </w:r>
      <w:proofErr w:type="spellStart"/>
      <w:r w:rsidRPr="00403B01">
        <w:rPr>
          <w:lang w:val="es-PE"/>
        </w:rPr>
        <w:t>pre-test</w:t>
      </w:r>
      <w:proofErr w:type="spellEnd"/>
      <w:r w:rsidRPr="00403B01">
        <w:rPr>
          <w:lang w:val="es-PE"/>
        </w:rPr>
        <w:t xml:space="preserve">); C1, la explicación local de </w:t>
      </w:r>
      <w:proofErr w:type="spellStart"/>
      <w:r w:rsidRPr="00403B01">
        <w:rPr>
          <w:lang w:val="es-PE"/>
        </w:rPr>
        <w:t>TreeSHAP</w:t>
      </w:r>
      <w:proofErr w:type="spellEnd"/>
      <w:r w:rsidRPr="00403B01">
        <w:rPr>
          <w:lang w:val="es-PE"/>
        </w:rPr>
        <w:t>; y C2, la explicación local de LIME (</w:t>
      </w:r>
      <w:proofErr w:type="spellStart"/>
      <w:r w:rsidRPr="00403B01">
        <w:rPr>
          <w:lang w:val="es-PE"/>
        </w:rPr>
        <w:t>post-test</w:t>
      </w:r>
      <w:proofErr w:type="spellEnd"/>
      <w:r w:rsidRPr="00403B01">
        <w:rPr>
          <w:lang w:val="es-PE"/>
        </w:rPr>
        <w:t>). Como las tres condiciones se aplican a las mismas alertas y al mismo modelo, las diferencias se atribuyen al método de explicación. El diseño retoma la lógica comparativa de los estudios de la Tabla 1, pero añade la línea base global y contrastes pareados. Se contrastan tres hipótesis específicas: la fidelidad de C1 y C2 supera a la de C0 (H.E.1); la estabilidad de C1 y C2 es alta, con un índice de Jaccard de al menos 0,80 (H.E.2); y la parsimonia de C1 y C2 supera a la de C0 (H.E.3).</w:t>
      </w:r>
    </w:p>
    <w:p w14:paraId="71085C6E" w14:textId="77777777" w:rsidR="00902FC3" w:rsidRPr="00403B01" w:rsidRDefault="00000000">
      <w:pPr>
        <w:pStyle w:val="Heading2"/>
        <w:rPr>
          <w:lang w:val="es-PE"/>
        </w:rPr>
      </w:pPr>
      <w:bookmarkStart w:id="4" w:name="descripción-del-dataset"/>
      <w:bookmarkEnd w:id="3"/>
      <w:r w:rsidRPr="00403B01">
        <w:rPr>
          <w:lang w:val="es-PE"/>
        </w:rPr>
        <w:lastRenderedPageBreak/>
        <w:t xml:space="preserve">3.2 Descripción del </w:t>
      </w:r>
      <w:proofErr w:type="spellStart"/>
      <w:r w:rsidRPr="00403B01">
        <w:rPr>
          <w:lang w:val="es-PE"/>
        </w:rPr>
        <w:t>dataset</w:t>
      </w:r>
      <w:proofErr w:type="spellEnd"/>
    </w:p>
    <w:p w14:paraId="68CEEBE8" w14:textId="48A9F94A" w:rsidR="00902FC3" w:rsidRPr="00403B01" w:rsidRDefault="00000000">
      <w:pPr>
        <w:pStyle w:val="FirstParagraph"/>
        <w:rPr>
          <w:lang w:val="es-PE"/>
        </w:rPr>
      </w:pPr>
      <w:r w:rsidRPr="00403B01">
        <w:rPr>
          <w:lang w:val="es-PE"/>
        </w:rPr>
        <w:t>Se utilizó CIC-YNU-</w:t>
      </w:r>
      <w:proofErr w:type="spellStart"/>
      <w:r w:rsidRPr="00403B01">
        <w:rPr>
          <w:lang w:val="es-PE"/>
        </w:rPr>
        <w:t>IoTMal</w:t>
      </w:r>
      <w:proofErr w:type="spellEnd"/>
      <w:r w:rsidRPr="00403B01">
        <w:rPr>
          <w:lang w:val="es-PE"/>
        </w:rPr>
        <w:t xml:space="preserve"> 2026 (Dadkhah et al., 2026), elaborado por el Canadian </w:t>
      </w:r>
      <w:proofErr w:type="spellStart"/>
      <w:r w:rsidRPr="00403B01">
        <w:rPr>
          <w:lang w:val="es-PE"/>
        </w:rPr>
        <w:t>Institute</w:t>
      </w:r>
      <w:proofErr w:type="spellEnd"/>
      <w:r w:rsidRPr="00403B01">
        <w:rPr>
          <w:lang w:val="es-PE"/>
        </w:rPr>
        <w:t xml:space="preserve"> </w:t>
      </w:r>
      <w:proofErr w:type="spellStart"/>
      <w:r w:rsidRPr="00403B01">
        <w:rPr>
          <w:lang w:val="es-PE"/>
        </w:rPr>
        <w:t>for</w:t>
      </w:r>
      <w:proofErr w:type="spellEnd"/>
      <w:r w:rsidRPr="00403B01">
        <w:rPr>
          <w:lang w:val="es-PE"/>
        </w:rPr>
        <w:t xml:space="preserve"> </w:t>
      </w:r>
      <w:proofErr w:type="spellStart"/>
      <w:r w:rsidRPr="00403B01">
        <w:rPr>
          <w:lang w:val="es-PE"/>
        </w:rPr>
        <w:t>Cybersecurity</w:t>
      </w:r>
      <w:proofErr w:type="spellEnd"/>
      <w:r w:rsidRPr="00403B01">
        <w:rPr>
          <w:lang w:val="es-PE"/>
        </w:rPr>
        <w:t xml:space="preserve"> de la </w:t>
      </w:r>
      <w:proofErr w:type="spellStart"/>
      <w:r w:rsidRPr="00403B01">
        <w:rPr>
          <w:lang w:val="es-PE"/>
        </w:rPr>
        <w:t>University</w:t>
      </w:r>
      <w:proofErr w:type="spellEnd"/>
      <w:r w:rsidRPr="00403B01">
        <w:rPr>
          <w:lang w:val="es-PE"/>
        </w:rPr>
        <w:t xml:space="preserve"> </w:t>
      </w:r>
      <w:proofErr w:type="spellStart"/>
      <w:r w:rsidRPr="00403B01">
        <w:rPr>
          <w:lang w:val="es-PE"/>
        </w:rPr>
        <w:t>of</w:t>
      </w:r>
      <w:proofErr w:type="spellEnd"/>
      <w:r w:rsidRPr="00403B01">
        <w:rPr>
          <w:lang w:val="es-PE"/>
        </w:rPr>
        <w:t xml:space="preserve"> New Brunswick (Canadá) y la Yokohama </w:t>
      </w:r>
      <w:proofErr w:type="spellStart"/>
      <w:r w:rsidRPr="00403B01">
        <w:rPr>
          <w:lang w:val="es-PE"/>
        </w:rPr>
        <w:t>National</w:t>
      </w:r>
      <w:proofErr w:type="spellEnd"/>
      <w:r w:rsidRPr="00403B01">
        <w:rPr>
          <w:lang w:val="es-PE"/>
        </w:rPr>
        <w:t xml:space="preserve"> </w:t>
      </w:r>
      <w:proofErr w:type="spellStart"/>
      <w:r w:rsidRPr="00403B01">
        <w:rPr>
          <w:lang w:val="es-PE"/>
        </w:rPr>
        <w:t>University</w:t>
      </w:r>
      <w:proofErr w:type="spellEnd"/>
      <w:r w:rsidRPr="00403B01">
        <w:rPr>
          <w:lang w:val="es-PE"/>
        </w:rPr>
        <w:t xml:space="preserve"> (Japón), con apoyo del NICT y de la Universidad de Kobe. Las muestras de </w:t>
      </w:r>
      <w:proofErr w:type="gramStart"/>
      <w:r w:rsidRPr="00403B01">
        <w:rPr>
          <w:lang w:val="es-PE"/>
        </w:rPr>
        <w:t>malware</w:t>
      </w:r>
      <w:proofErr w:type="gramEnd"/>
      <w:r w:rsidRPr="00403B01">
        <w:rPr>
          <w:lang w:val="es-PE"/>
        </w:rPr>
        <w:t xml:space="preserve"> fueron capturadas a nivel mundial por los </w:t>
      </w:r>
      <w:proofErr w:type="spellStart"/>
      <w:r w:rsidRPr="00403B01">
        <w:rPr>
          <w:lang w:val="es-PE"/>
        </w:rPr>
        <w:t>honeypots</w:t>
      </w:r>
      <w:proofErr w:type="spellEnd"/>
      <w:r w:rsidRPr="00403B01">
        <w:rPr>
          <w:lang w:val="es-PE"/>
        </w:rPr>
        <w:t xml:space="preserve"> </w:t>
      </w:r>
      <w:proofErr w:type="spellStart"/>
      <w:r w:rsidRPr="00403B01">
        <w:rPr>
          <w:lang w:val="es-PE"/>
        </w:rPr>
        <w:t>IoTPOT</w:t>
      </w:r>
      <w:proofErr w:type="spellEnd"/>
      <w:r w:rsidRPr="00403B01">
        <w:rPr>
          <w:lang w:val="es-PE"/>
        </w:rPr>
        <w:t xml:space="preserve"> (</w:t>
      </w:r>
      <w:proofErr w:type="spellStart"/>
      <w:r w:rsidRPr="00403B01">
        <w:rPr>
          <w:lang w:val="es-PE"/>
        </w:rPr>
        <w:t>Pa</w:t>
      </w:r>
      <w:proofErr w:type="spellEnd"/>
      <w:r w:rsidRPr="00403B01">
        <w:rPr>
          <w:lang w:val="es-PE"/>
        </w:rPr>
        <w:t xml:space="preserve"> et al., 2016) y ejecutadas en un </w:t>
      </w:r>
      <w:proofErr w:type="spellStart"/>
      <w:r w:rsidRPr="00403B01">
        <w:rPr>
          <w:lang w:val="es-PE"/>
        </w:rPr>
        <w:t>sandbox</w:t>
      </w:r>
      <w:proofErr w:type="spellEnd"/>
      <w:r w:rsidRPr="00403B01">
        <w:rPr>
          <w:lang w:val="es-PE"/>
        </w:rPr>
        <w:t xml:space="preserve"> con máquinas virtuales QEMU y </w:t>
      </w:r>
      <w:proofErr w:type="spellStart"/>
      <w:r w:rsidRPr="00403B01">
        <w:rPr>
          <w:lang w:val="es-PE"/>
        </w:rPr>
        <w:t>OpenWrt</w:t>
      </w:r>
      <w:proofErr w:type="spellEnd"/>
      <w:r w:rsidRPr="00403B01">
        <w:rPr>
          <w:lang w:val="es-PE"/>
        </w:rPr>
        <w:t xml:space="preserve"> en cuatro arquitecturas de procesador. Para cada ejecución, el </w:t>
      </w:r>
      <w:proofErr w:type="spellStart"/>
      <w:r w:rsidRPr="00403B01">
        <w:rPr>
          <w:lang w:val="es-PE"/>
        </w:rPr>
        <w:t>dataset</w:t>
      </w:r>
      <w:proofErr w:type="spellEnd"/>
      <w:r w:rsidRPr="00403B01">
        <w:rPr>
          <w:lang w:val="es-PE"/>
        </w:rPr>
        <w:t xml:space="preserve"> registra tres modalidades sincronizadas: tráfico de red (PCAP procesado en ventanas con 39 características del esquema de CICIoT2023; Neto et al., 2023), actividad del sistema (SAR) y llamadas al sistema (STRACE). Este estudio usa la modalidad de red de la arquitectura ARM, que es la que redistribuye </w:t>
      </w:r>
      <w:proofErr w:type="spellStart"/>
      <w:r w:rsidRPr="00403B01">
        <w:rPr>
          <w:lang w:val="es-PE"/>
        </w:rPr>
        <w:t>Kaggle</w:t>
      </w:r>
      <w:proofErr w:type="spellEnd"/>
      <w:r w:rsidRPr="00403B01">
        <w:rPr>
          <w:lang w:val="es-PE"/>
        </w:rPr>
        <w:t xml:space="preserve"> (archivo </w:t>
      </w:r>
      <w:r w:rsidRPr="00403B01">
        <w:rPr>
          <w:rStyle w:val="VerbatimChar"/>
          <w:lang w:val="es-PE"/>
        </w:rPr>
        <w:t>pcap.csv</w:t>
      </w:r>
      <w:r w:rsidRPr="00403B01">
        <w:rPr>
          <w:lang w:val="es-PE"/>
        </w:rPr>
        <w:t>, 737 651 ventanas y 5 599 binarios; Tabla 2), con etiquetas de familia por binari</w:t>
      </w:r>
      <w:r w:rsidR="00403B01">
        <w:rPr>
          <w:lang w:val="es-PE"/>
        </w:rPr>
        <w:t>o</w:t>
      </w:r>
      <w:r w:rsidRPr="00403B01">
        <w:rPr>
          <w:lang w:val="es-PE"/>
        </w:rPr>
        <w:t xml:space="preserve">; el conjunto completo del CIC suma 3 167 325 ventanas en las cuatro arquitecturas. </w:t>
      </w:r>
      <w:r w:rsidR="00403B01">
        <w:rPr>
          <w:lang w:val="es-PE"/>
        </w:rPr>
        <w:t>S</w:t>
      </w:r>
      <w:r w:rsidRPr="00403B01">
        <w:rPr>
          <w:lang w:val="es-PE"/>
        </w:rPr>
        <w:t xml:space="preserve">e descartaron las etiquetas Unknown, </w:t>
      </w:r>
      <w:proofErr w:type="spellStart"/>
      <w:r w:rsidRPr="00403B01">
        <w:rPr>
          <w:lang w:val="es-PE"/>
        </w:rPr>
        <w:t>Generic</w:t>
      </w:r>
      <w:proofErr w:type="spellEnd"/>
      <w:r w:rsidRPr="00403B01">
        <w:rPr>
          <w:lang w:val="es-PE"/>
        </w:rPr>
        <w:t xml:space="preserve"> y Other. Se eligió este conjunto por su carácter internacional, su publicación en 2026, la diversidad de arquitecturas y su artículo de referencia revisado por pares.</w:t>
      </w:r>
    </w:p>
    <w:p w14:paraId="653D1E89" w14:textId="77777777" w:rsidR="00902FC3" w:rsidRPr="00403B01" w:rsidRDefault="00000000">
      <w:pPr>
        <w:pStyle w:val="BodyText"/>
        <w:keepNext/>
        <w:spacing w:before="160" w:after="0"/>
        <w:ind w:firstLine="0"/>
        <w:rPr>
          <w:lang w:val="es-PE"/>
        </w:rPr>
      </w:pPr>
      <w:r w:rsidRPr="00403B01">
        <w:rPr>
          <w:b/>
          <w:bCs/>
          <w:lang w:val="es-PE"/>
        </w:rPr>
        <w:t>Tabla 2</w:t>
      </w:r>
    </w:p>
    <w:p w14:paraId="74C96640" w14:textId="77777777" w:rsidR="00902FC3" w:rsidRPr="00403B01" w:rsidRDefault="00000000">
      <w:pPr>
        <w:pStyle w:val="BodyText"/>
        <w:keepNext/>
        <w:ind w:firstLine="0"/>
        <w:rPr>
          <w:lang w:val="es-PE"/>
        </w:rPr>
      </w:pPr>
      <w:r w:rsidRPr="00403B01">
        <w:rPr>
          <w:i/>
          <w:iCs/>
          <w:lang w:val="es-PE"/>
        </w:rPr>
        <w:t>Ventanas de tráfico de red y binarios por familia en la partición ARM de CIC-YNU-</w:t>
      </w:r>
      <w:proofErr w:type="spellStart"/>
      <w:r w:rsidRPr="00403B01">
        <w:rPr>
          <w:i/>
          <w:iCs/>
          <w:lang w:val="es-PE"/>
        </w:rPr>
        <w:t>IoTMal</w:t>
      </w:r>
      <w:proofErr w:type="spellEnd"/>
      <w:r w:rsidRPr="00403B01">
        <w:rPr>
          <w:i/>
          <w:iCs/>
          <w:lang w:val="es-PE"/>
        </w:rPr>
        <w:t xml:space="preserve"> 2026</w:t>
      </w:r>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2618"/>
        <w:gridCol w:w="1369"/>
        <w:gridCol w:w="1274"/>
        <w:gridCol w:w="3981"/>
      </w:tblGrid>
      <w:tr w:rsidR="00902FC3" w14:paraId="31456F68" w14:textId="77777777" w:rsidTr="00902FC3">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bottom w:val="single" w:sz="8" w:space="0" w:color="000000"/>
              <w:right w:val="nil"/>
            </w:tcBorders>
          </w:tcPr>
          <w:p w14:paraId="6D64A872" w14:textId="77777777" w:rsidR="00902FC3" w:rsidRDefault="00000000">
            <w:pPr>
              <w:pStyle w:val="Compact"/>
              <w:spacing w:before="20" w:after="20"/>
              <w:ind w:firstLine="0"/>
              <w:jc w:val="left"/>
            </w:pPr>
            <w:r>
              <w:rPr>
                <w:sz w:val="20"/>
              </w:rPr>
              <w:t>Familia</w:t>
            </w:r>
          </w:p>
        </w:tc>
        <w:tc>
          <w:tcPr>
            <w:tcW w:w="0" w:type="auto"/>
            <w:tcBorders>
              <w:top w:val="nil"/>
              <w:left w:val="nil"/>
              <w:bottom w:val="single" w:sz="8" w:space="0" w:color="000000"/>
              <w:right w:val="nil"/>
            </w:tcBorders>
          </w:tcPr>
          <w:p w14:paraId="499F1FB7" w14:textId="77777777" w:rsidR="00902FC3" w:rsidRDefault="00000000">
            <w:pPr>
              <w:pStyle w:val="Compact"/>
              <w:spacing w:before="20" w:after="20"/>
              <w:ind w:firstLine="0"/>
              <w:jc w:val="right"/>
            </w:pPr>
            <w:r>
              <w:rPr>
                <w:sz w:val="20"/>
              </w:rPr>
              <w:t>Ventanas</w:t>
            </w:r>
          </w:p>
        </w:tc>
        <w:tc>
          <w:tcPr>
            <w:tcW w:w="0" w:type="auto"/>
            <w:tcBorders>
              <w:top w:val="nil"/>
              <w:left w:val="nil"/>
              <w:bottom w:val="single" w:sz="8" w:space="0" w:color="000000"/>
              <w:right w:val="nil"/>
            </w:tcBorders>
          </w:tcPr>
          <w:p w14:paraId="78908485" w14:textId="77777777" w:rsidR="00902FC3" w:rsidRDefault="00000000">
            <w:pPr>
              <w:pStyle w:val="Compact"/>
              <w:spacing w:before="20" w:after="20"/>
              <w:ind w:firstLine="0"/>
              <w:jc w:val="right"/>
            </w:pPr>
            <w:proofErr w:type="spellStart"/>
            <w:r>
              <w:rPr>
                <w:sz w:val="20"/>
              </w:rPr>
              <w:t>Binarios</w:t>
            </w:r>
            <w:proofErr w:type="spellEnd"/>
          </w:p>
        </w:tc>
        <w:tc>
          <w:tcPr>
            <w:tcW w:w="0" w:type="auto"/>
            <w:tcBorders>
              <w:top w:val="nil"/>
              <w:left w:val="nil"/>
              <w:bottom w:val="single" w:sz="8" w:space="0" w:color="000000"/>
              <w:right w:val="nil"/>
            </w:tcBorders>
          </w:tcPr>
          <w:p w14:paraId="5B38E8BD" w14:textId="77777777" w:rsidR="00902FC3" w:rsidRDefault="00000000">
            <w:pPr>
              <w:pStyle w:val="Compact"/>
              <w:spacing w:before="20" w:after="20"/>
              <w:ind w:firstLine="0"/>
              <w:jc w:val="left"/>
            </w:pPr>
            <w:r>
              <w:rPr>
                <w:sz w:val="20"/>
              </w:rPr>
              <w:t xml:space="preserve">Uso </w:t>
            </w:r>
            <w:proofErr w:type="spellStart"/>
            <w:r>
              <w:rPr>
                <w:sz w:val="20"/>
              </w:rPr>
              <w:t>en</w:t>
            </w:r>
            <w:proofErr w:type="spellEnd"/>
            <w:r>
              <w:rPr>
                <w:sz w:val="20"/>
              </w:rPr>
              <w:t xml:space="preserve"> el </w:t>
            </w:r>
            <w:proofErr w:type="spellStart"/>
            <w:r>
              <w:rPr>
                <w:sz w:val="20"/>
              </w:rPr>
              <w:t>estudio</w:t>
            </w:r>
            <w:proofErr w:type="spellEnd"/>
          </w:p>
        </w:tc>
      </w:tr>
      <w:tr w:rsidR="00902FC3" w14:paraId="700D09DD" w14:textId="77777777">
        <w:tc>
          <w:tcPr>
            <w:tcW w:w="0" w:type="auto"/>
          </w:tcPr>
          <w:p w14:paraId="4FCFACF7" w14:textId="77777777" w:rsidR="00902FC3" w:rsidRDefault="00000000">
            <w:pPr>
              <w:pStyle w:val="Compact"/>
              <w:spacing w:before="20" w:after="20"/>
              <w:ind w:firstLine="0"/>
              <w:jc w:val="left"/>
            </w:pPr>
            <w:r>
              <w:rPr>
                <w:sz w:val="20"/>
              </w:rPr>
              <w:t>Mirai</w:t>
            </w:r>
          </w:p>
        </w:tc>
        <w:tc>
          <w:tcPr>
            <w:tcW w:w="0" w:type="auto"/>
          </w:tcPr>
          <w:p w14:paraId="6D2B64CE" w14:textId="77777777" w:rsidR="00902FC3" w:rsidRDefault="00000000">
            <w:pPr>
              <w:pStyle w:val="Compact"/>
              <w:spacing w:before="20" w:after="20"/>
              <w:ind w:firstLine="0"/>
              <w:jc w:val="right"/>
            </w:pPr>
            <w:r>
              <w:rPr>
                <w:sz w:val="20"/>
              </w:rPr>
              <w:t>507 772</w:t>
            </w:r>
          </w:p>
        </w:tc>
        <w:tc>
          <w:tcPr>
            <w:tcW w:w="0" w:type="auto"/>
          </w:tcPr>
          <w:p w14:paraId="34C73450" w14:textId="77777777" w:rsidR="00902FC3" w:rsidRDefault="00000000">
            <w:pPr>
              <w:pStyle w:val="Compact"/>
              <w:spacing w:before="20" w:after="20"/>
              <w:ind w:firstLine="0"/>
              <w:jc w:val="right"/>
            </w:pPr>
            <w:r>
              <w:rPr>
                <w:sz w:val="20"/>
              </w:rPr>
              <w:t>2 795</w:t>
            </w:r>
          </w:p>
        </w:tc>
        <w:tc>
          <w:tcPr>
            <w:tcW w:w="0" w:type="auto"/>
          </w:tcPr>
          <w:p w14:paraId="592EB61B" w14:textId="77777777" w:rsidR="00902FC3" w:rsidRDefault="00000000">
            <w:pPr>
              <w:pStyle w:val="Compact"/>
              <w:spacing w:before="20" w:after="20"/>
              <w:ind w:firstLine="0"/>
              <w:jc w:val="left"/>
            </w:pPr>
            <w:proofErr w:type="spellStart"/>
            <w:r>
              <w:rPr>
                <w:sz w:val="20"/>
              </w:rPr>
              <w:t>Incluida</w:t>
            </w:r>
            <w:proofErr w:type="spellEnd"/>
          </w:p>
        </w:tc>
      </w:tr>
      <w:tr w:rsidR="00902FC3" w14:paraId="455E3F1F" w14:textId="77777777">
        <w:tc>
          <w:tcPr>
            <w:tcW w:w="0" w:type="auto"/>
          </w:tcPr>
          <w:p w14:paraId="3F405E3E" w14:textId="77777777" w:rsidR="00902FC3" w:rsidRDefault="00000000">
            <w:pPr>
              <w:pStyle w:val="Compact"/>
              <w:spacing w:before="20" w:after="20"/>
              <w:ind w:firstLine="0"/>
              <w:jc w:val="left"/>
            </w:pPr>
            <w:proofErr w:type="spellStart"/>
            <w:r>
              <w:rPr>
                <w:sz w:val="20"/>
              </w:rPr>
              <w:t>DarkNexus</w:t>
            </w:r>
            <w:proofErr w:type="spellEnd"/>
          </w:p>
        </w:tc>
        <w:tc>
          <w:tcPr>
            <w:tcW w:w="0" w:type="auto"/>
          </w:tcPr>
          <w:p w14:paraId="236C4D36" w14:textId="77777777" w:rsidR="00902FC3" w:rsidRDefault="00000000">
            <w:pPr>
              <w:pStyle w:val="Compact"/>
              <w:spacing w:before="20" w:after="20"/>
              <w:ind w:firstLine="0"/>
              <w:jc w:val="right"/>
            </w:pPr>
            <w:r>
              <w:rPr>
                <w:sz w:val="20"/>
              </w:rPr>
              <w:t>44 156</w:t>
            </w:r>
          </w:p>
        </w:tc>
        <w:tc>
          <w:tcPr>
            <w:tcW w:w="0" w:type="auto"/>
          </w:tcPr>
          <w:p w14:paraId="0CDADE8C" w14:textId="77777777" w:rsidR="00902FC3" w:rsidRDefault="00000000">
            <w:pPr>
              <w:pStyle w:val="Compact"/>
              <w:spacing w:before="20" w:after="20"/>
              <w:ind w:firstLine="0"/>
              <w:jc w:val="right"/>
            </w:pPr>
            <w:r>
              <w:rPr>
                <w:sz w:val="20"/>
              </w:rPr>
              <w:t>91</w:t>
            </w:r>
          </w:p>
        </w:tc>
        <w:tc>
          <w:tcPr>
            <w:tcW w:w="0" w:type="auto"/>
          </w:tcPr>
          <w:p w14:paraId="439850BD" w14:textId="77777777" w:rsidR="00902FC3" w:rsidRDefault="00000000">
            <w:pPr>
              <w:pStyle w:val="Compact"/>
              <w:spacing w:before="20" w:after="20"/>
              <w:ind w:firstLine="0"/>
              <w:jc w:val="left"/>
            </w:pPr>
            <w:proofErr w:type="spellStart"/>
            <w:r>
              <w:rPr>
                <w:sz w:val="20"/>
              </w:rPr>
              <w:t>Incluida</w:t>
            </w:r>
            <w:proofErr w:type="spellEnd"/>
          </w:p>
        </w:tc>
      </w:tr>
      <w:tr w:rsidR="00902FC3" w14:paraId="4F031D3B" w14:textId="77777777">
        <w:tc>
          <w:tcPr>
            <w:tcW w:w="0" w:type="auto"/>
          </w:tcPr>
          <w:p w14:paraId="4BA867A5" w14:textId="77777777" w:rsidR="00902FC3" w:rsidRDefault="00000000">
            <w:pPr>
              <w:pStyle w:val="Compact"/>
              <w:spacing w:before="20" w:after="20"/>
              <w:ind w:firstLine="0"/>
              <w:jc w:val="left"/>
            </w:pPr>
            <w:proofErr w:type="spellStart"/>
            <w:r>
              <w:rPr>
                <w:sz w:val="20"/>
              </w:rPr>
              <w:t>Gafgyt</w:t>
            </w:r>
            <w:proofErr w:type="spellEnd"/>
          </w:p>
        </w:tc>
        <w:tc>
          <w:tcPr>
            <w:tcW w:w="0" w:type="auto"/>
          </w:tcPr>
          <w:p w14:paraId="169D078D" w14:textId="77777777" w:rsidR="00902FC3" w:rsidRDefault="00000000">
            <w:pPr>
              <w:pStyle w:val="Compact"/>
              <w:spacing w:before="20" w:after="20"/>
              <w:ind w:firstLine="0"/>
              <w:jc w:val="right"/>
            </w:pPr>
            <w:r>
              <w:rPr>
                <w:sz w:val="20"/>
              </w:rPr>
              <w:t>10 450</w:t>
            </w:r>
          </w:p>
        </w:tc>
        <w:tc>
          <w:tcPr>
            <w:tcW w:w="0" w:type="auto"/>
          </w:tcPr>
          <w:p w14:paraId="21376133" w14:textId="77777777" w:rsidR="00902FC3" w:rsidRDefault="00000000">
            <w:pPr>
              <w:pStyle w:val="Compact"/>
              <w:spacing w:before="20" w:after="20"/>
              <w:ind w:firstLine="0"/>
              <w:jc w:val="right"/>
            </w:pPr>
            <w:r>
              <w:rPr>
                <w:sz w:val="20"/>
              </w:rPr>
              <w:t>5</w:t>
            </w:r>
          </w:p>
        </w:tc>
        <w:tc>
          <w:tcPr>
            <w:tcW w:w="0" w:type="auto"/>
          </w:tcPr>
          <w:p w14:paraId="6498A51C" w14:textId="77777777" w:rsidR="00902FC3" w:rsidRDefault="00000000">
            <w:pPr>
              <w:pStyle w:val="Compact"/>
              <w:spacing w:before="20" w:after="20"/>
              <w:ind w:firstLine="0"/>
              <w:jc w:val="left"/>
            </w:pPr>
            <w:proofErr w:type="spellStart"/>
            <w:r>
              <w:rPr>
                <w:sz w:val="20"/>
              </w:rPr>
              <w:t>Incluida</w:t>
            </w:r>
            <w:proofErr w:type="spellEnd"/>
          </w:p>
        </w:tc>
      </w:tr>
      <w:tr w:rsidR="00902FC3" w14:paraId="0BBCC6A1" w14:textId="77777777">
        <w:tc>
          <w:tcPr>
            <w:tcW w:w="0" w:type="auto"/>
          </w:tcPr>
          <w:p w14:paraId="45853627" w14:textId="77777777" w:rsidR="00902FC3" w:rsidRDefault="00000000">
            <w:pPr>
              <w:pStyle w:val="Compact"/>
              <w:spacing w:before="20" w:after="20"/>
              <w:ind w:firstLine="0"/>
              <w:jc w:val="left"/>
            </w:pPr>
            <w:r>
              <w:rPr>
                <w:sz w:val="20"/>
              </w:rPr>
              <w:t>Unknown y Generic</w:t>
            </w:r>
          </w:p>
        </w:tc>
        <w:tc>
          <w:tcPr>
            <w:tcW w:w="0" w:type="auto"/>
          </w:tcPr>
          <w:p w14:paraId="227B4837" w14:textId="77777777" w:rsidR="00902FC3" w:rsidRDefault="00000000">
            <w:pPr>
              <w:pStyle w:val="Compact"/>
              <w:spacing w:before="20" w:after="20"/>
              <w:ind w:firstLine="0"/>
              <w:jc w:val="right"/>
            </w:pPr>
            <w:r>
              <w:rPr>
                <w:sz w:val="20"/>
              </w:rPr>
              <w:t>122 670</w:t>
            </w:r>
          </w:p>
        </w:tc>
        <w:tc>
          <w:tcPr>
            <w:tcW w:w="0" w:type="auto"/>
          </w:tcPr>
          <w:p w14:paraId="6E8E3BD9" w14:textId="77777777" w:rsidR="00902FC3" w:rsidRDefault="00000000">
            <w:pPr>
              <w:pStyle w:val="Compact"/>
              <w:spacing w:before="20" w:after="20"/>
              <w:ind w:firstLine="0"/>
              <w:jc w:val="right"/>
            </w:pPr>
            <w:r>
              <w:rPr>
                <w:sz w:val="20"/>
              </w:rPr>
              <w:t>724</w:t>
            </w:r>
          </w:p>
        </w:tc>
        <w:tc>
          <w:tcPr>
            <w:tcW w:w="0" w:type="auto"/>
          </w:tcPr>
          <w:p w14:paraId="619AD3D0" w14:textId="77777777" w:rsidR="00902FC3" w:rsidRDefault="00000000">
            <w:pPr>
              <w:pStyle w:val="Compact"/>
              <w:spacing w:before="20" w:after="20"/>
              <w:ind w:firstLine="0"/>
              <w:jc w:val="left"/>
            </w:pPr>
            <w:proofErr w:type="spellStart"/>
            <w:r>
              <w:rPr>
                <w:sz w:val="20"/>
              </w:rPr>
              <w:t>Excluidas</w:t>
            </w:r>
            <w:proofErr w:type="spellEnd"/>
            <w:r>
              <w:rPr>
                <w:sz w:val="20"/>
              </w:rPr>
              <w:t xml:space="preserve"> (sin familia)</w:t>
            </w:r>
          </w:p>
        </w:tc>
      </w:tr>
      <w:tr w:rsidR="00902FC3" w14:paraId="1A74AD9E" w14:textId="77777777">
        <w:tc>
          <w:tcPr>
            <w:tcW w:w="0" w:type="auto"/>
          </w:tcPr>
          <w:p w14:paraId="641CCFD3" w14:textId="77777777" w:rsidR="00902FC3" w:rsidRDefault="00000000">
            <w:pPr>
              <w:pStyle w:val="Compact"/>
              <w:spacing w:before="20" w:after="20"/>
              <w:ind w:firstLine="0"/>
              <w:jc w:val="left"/>
            </w:pPr>
            <w:r>
              <w:rPr>
                <w:sz w:val="20"/>
              </w:rPr>
              <w:t>Benign</w:t>
            </w:r>
          </w:p>
        </w:tc>
        <w:tc>
          <w:tcPr>
            <w:tcW w:w="0" w:type="auto"/>
          </w:tcPr>
          <w:p w14:paraId="405DBA7A" w14:textId="77777777" w:rsidR="00902FC3" w:rsidRDefault="00000000">
            <w:pPr>
              <w:pStyle w:val="Compact"/>
              <w:spacing w:before="20" w:after="20"/>
              <w:ind w:firstLine="0"/>
              <w:jc w:val="right"/>
            </w:pPr>
            <w:r>
              <w:rPr>
                <w:sz w:val="20"/>
              </w:rPr>
              <w:t>51 791</w:t>
            </w:r>
          </w:p>
        </w:tc>
        <w:tc>
          <w:tcPr>
            <w:tcW w:w="0" w:type="auto"/>
          </w:tcPr>
          <w:p w14:paraId="66C7B894" w14:textId="77777777" w:rsidR="00902FC3" w:rsidRDefault="00000000">
            <w:pPr>
              <w:pStyle w:val="Compact"/>
              <w:spacing w:before="20" w:after="20"/>
              <w:ind w:firstLine="0"/>
              <w:jc w:val="right"/>
            </w:pPr>
            <w:r>
              <w:rPr>
                <w:sz w:val="20"/>
              </w:rPr>
              <w:t>1 980</w:t>
            </w:r>
          </w:p>
        </w:tc>
        <w:tc>
          <w:tcPr>
            <w:tcW w:w="0" w:type="auto"/>
          </w:tcPr>
          <w:p w14:paraId="1700F2F0" w14:textId="77777777" w:rsidR="00902FC3" w:rsidRDefault="00000000">
            <w:pPr>
              <w:pStyle w:val="Compact"/>
              <w:spacing w:before="20" w:after="20"/>
              <w:ind w:firstLine="0"/>
              <w:jc w:val="left"/>
            </w:pPr>
            <w:proofErr w:type="spellStart"/>
            <w:r>
              <w:rPr>
                <w:sz w:val="20"/>
              </w:rPr>
              <w:t>Excluida</w:t>
            </w:r>
            <w:proofErr w:type="spellEnd"/>
            <w:r>
              <w:rPr>
                <w:sz w:val="20"/>
              </w:rPr>
              <w:t xml:space="preserve"> (</w:t>
            </w:r>
            <w:proofErr w:type="spellStart"/>
            <w:r>
              <w:rPr>
                <w:sz w:val="20"/>
              </w:rPr>
              <w:t>generada</w:t>
            </w:r>
            <w:proofErr w:type="spellEnd"/>
            <w:r>
              <w:rPr>
                <w:sz w:val="20"/>
              </w:rPr>
              <w:t xml:space="preserve"> con LLM)</w:t>
            </w:r>
          </w:p>
        </w:tc>
      </w:tr>
      <w:tr w:rsidR="00902FC3" w14:paraId="5B07763B" w14:textId="77777777">
        <w:tc>
          <w:tcPr>
            <w:tcW w:w="0" w:type="auto"/>
          </w:tcPr>
          <w:p w14:paraId="0935445E" w14:textId="77777777" w:rsidR="00902FC3" w:rsidRDefault="00000000">
            <w:pPr>
              <w:pStyle w:val="Compact"/>
              <w:spacing w:before="20" w:after="20"/>
              <w:ind w:firstLine="0"/>
              <w:jc w:val="left"/>
            </w:pPr>
            <w:r>
              <w:rPr>
                <w:sz w:val="20"/>
              </w:rPr>
              <w:t>Tsunami y Agent</w:t>
            </w:r>
          </w:p>
        </w:tc>
        <w:tc>
          <w:tcPr>
            <w:tcW w:w="0" w:type="auto"/>
          </w:tcPr>
          <w:p w14:paraId="5B8C85F1" w14:textId="77777777" w:rsidR="00902FC3" w:rsidRDefault="00000000">
            <w:pPr>
              <w:pStyle w:val="Compact"/>
              <w:spacing w:before="20" w:after="20"/>
              <w:ind w:firstLine="0"/>
              <w:jc w:val="right"/>
            </w:pPr>
            <w:r>
              <w:rPr>
                <w:sz w:val="20"/>
              </w:rPr>
              <w:t>812</w:t>
            </w:r>
          </w:p>
        </w:tc>
        <w:tc>
          <w:tcPr>
            <w:tcW w:w="0" w:type="auto"/>
          </w:tcPr>
          <w:p w14:paraId="38FB4671" w14:textId="77777777" w:rsidR="00902FC3" w:rsidRDefault="00000000">
            <w:pPr>
              <w:pStyle w:val="Compact"/>
              <w:spacing w:before="20" w:after="20"/>
              <w:ind w:firstLine="0"/>
              <w:jc w:val="right"/>
            </w:pPr>
            <w:r>
              <w:rPr>
                <w:sz w:val="20"/>
              </w:rPr>
              <w:t>4</w:t>
            </w:r>
          </w:p>
        </w:tc>
        <w:tc>
          <w:tcPr>
            <w:tcW w:w="0" w:type="auto"/>
          </w:tcPr>
          <w:p w14:paraId="1ACA395D" w14:textId="77777777" w:rsidR="00902FC3" w:rsidRDefault="00000000">
            <w:pPr>
              <w:pStyle w:val="Compact"/>
              <w:spacing w:before="20" w:after="20"/>
              <w:ind w:firstLine="0"/>
              <w:jc w:val="left"/>
            </w:pPr>
            <w:proofErr w:type="spellStart"/>
            <w:r>
              <w:rPr>
                <w:sz w:val="20"/>
              </w:rPr>
              <w:t>Excluidas</w:t>
            </w:r>
            <w:proofErr w:type="spellEnd"/>
            <w:r>
              <w:rPr>
                <w:sz w:val="20"/>
              </w:rPr>
              <w:t xml:space="preserve"> (</w:t>
            </w:r>
            <w:proofErr w:type="spellStart"/>
            <w:r>
              <w:rPr>
                <w:sz w:val="20"/>
              </w:rPr>
              <w:t>menos</w:t>
            </w:r>
            <w:proofErr w:type="spellEnd"/>
            <w:r>
              <w:rPr>
                <w:sz w:val="20"/>
              </w:rPr>
              <w:t xml:space="preserve"> de 5 </w:t>
            </w:r>
            <w:proofErr w:type="spellStart"/>
            <w:r>
              <w:rPr>
                <w:sz w:val="20"/>
              </w:rPr>
              <w:t>binarios</w:t>
            </w:r>
            <w:proofErr w:type="spellEnd"/>
            <w:r>
              <w:rPr>
                <w:sz w:val="20"/>
              </w:rPr>
              <w:t>)</w:t>
            </w:r>
          </w:p>
        </w:tc>
      </w:tr>
      <w:tr w:rsidR="00902FC3" w14:paraId="284C699C" w14:textId="77777777">
        <w:tc>
          <w:tcPr>
            <w:tcW w:w="0" w:type="auto"/>
          </w:tcPr>
          <w:p w14:paraId="484FA048" w14:textId="77777777" w:rsidR="00902FC3" w:rsidRDefault="00000000">
            <w:pPr>
              <w:pStyle w:val="Compact"/>
              <w:spacing w:before="20" w:after="20"/>
              <w:ind w:firstLine="0"/>
              <w:jc w:val="left"/>
            </w:pPr>
            <w:r>
              <w:rPr>
                <w:sz w:val="20"/>
              </w:rPr>
              <w:t>Total</w:t>
            </w:r>
          </w:p>
        </w:tc>
        <w:tc>
          <w:tcPr>
            <w:tcW w:w="0" w:type="auto"/>
          </w:tcPr>
          <w:p w14:paraId="31C4C4BF" w14:textId="77777777" w:rsidR="00902FC3" w:rsidRDefault="00000000">
            <w:pPr>
              <w:pStyle w:val="Compact"/>
              <w:spacing w:before="20" w:after="20"/>
              <w:ind w:firstLine="0"/>
              <w:jc w:val="right"/>
            </w:pPr>
            <w:r>
              <w:rPr>
                <w:sz w:val="20"/>
              </w:rPr>
              <w:t>737 651</w:t>
            </w:r>
          </w:p>
        </w:tc>
        <w:tc>
          <w:tcPr>
            <w:tcW w:w="0" w:type="auto"/>
          </w:tcPr>
          <w:p w14:paraId="64BC9E03" w14:textId="77777777" w:rsidR="00902FC3" w:rsidRDefault="00000000">
            <w:pPr>
              <w:pStyle w:val="Compact"/>
              <w:spacing w:before="20" w:after="20"/>
              <w:ind w:firstLine="0"/>
              <w:jc w:val="right"/>
            </w:pPr>
            <w:r>
              <w:rPr>
                <w:sz w:val="20"/>
              </w:rPr>
              <w:t>5 599</w:t>
            </w:r>
          </w:p>
        </w:tc>
        <w:tc>
          <w:tcPr>
            <w:tcW w:w="0" w:type="auto"/>
          </w:tcPr>
          <w:p w14:paraId="3306D5FF" w14:textId="77777777" w:rsidR="00902FC3" w:rsidRDefault="00902FC3">
            <w:pPr>
              <w:pStyle w:val="Compact"/>
              <w:spacing w:before="20" w:after="20"/>
              <w:ind w:firstLine="0"/>
              <w:jc w:val="left"/>
            </w:pPr>
          </w:p>
        </w:tc>
      </w:tr>
    </w:tbl>
    <w:p w14:paraId="167C5493" w14:textId="77777777" w:rsidR="00902FC3" w:rsidRPr="00403B01" w:rsidRDefault="00000000">
      <w:pPr>
        <w:pStyle w:val="BodyText"/>
        <w:ind w:firstLine="0"/>
        <w:rPr>
          <w:lang w:val="es-PE"/>
        </w:rPr>
      </w:pPr>
      <w:r w:rsidRPr="00403B01">
        <w:rPr>
          <w:i/>
          <w:iCs/>
          <w:sz w:val="20"/>
          <w:lang w:val="es-PE"/>
        </w:rPr>
        <w:t>Nota.</w:t>
      </w:r>
      <w:r w:rsidRPr="00403B01">
        <w:rPr>
          <w:sz w:val="20"/>
          <w:lang w:val="es-PE"/>
        </w:rPr>
        <w:t xml:space="preserve"> Elaborado con src/01_explorar_dataset.py (</w:t>
      </w:r>
      <w:proofErr w:type="spellStart"/>
      <w:r w:rsidRPr="00403B01">
        <w:rPr>
          <w:sz w:val="20"/>
          <w:lang w:val="es-PE"/>
        </w:rPr>
        <w:t>results</w:t>
      </w:r>
      <w:proofErr w:type="spellEnd"/>
      <w:r w:rsidRPr="00403B01">
        <w:rPr>
          <w:sz w:val="20"/>
          <w:lang w:val="es-PE"/>
        </w:rPr>
        <w:t>/</w:t>
      </w:r>
      <w:proofErr w:type="spellStart"/>
      <w:r w:rsidRPr="00403B01">
        <w:rPr>
          <w:sz w:val="20"/>
          <w:lang w:val="es-PE"/>
        </w:rPr>
        <w:t>exploracion</w:t>
      </w:r>
      <w:proofErr w:type="spellEnd"/>
      <w:r w:rsidRPr="00403B01">
        <w:rPr>
          <w:sz w:val="20"/>
          <w:lang w:val="es-PE"/>
        </w:rPr>
        <w:t>/resumen_exploracion.md).</w:t>
      </w:r>
    </w:p>
    <w:p w14:paraId="3AC54925" w14:textId="77777777" w:rsidR="00902FC3" w:rsidRPr="00403B01" w:rsidRDefault="00000000">
      <w:pPr>
        <w:pStyle w:val="Heading2"/>
        <w:rPr>
          <w:lang w:val="es-PE"/>
        </w:rPr>
      </w:pPr>
      <w:bookmarkStart w:id="5" w:name="preprocesamiento"/>
      <w:bookmarkEnd w:id="4"/>
      <w:r w:rsidRPr="00403B01">
        <w:rPr>
          <w:lang w:val="es-PE"/>
        </w:rPr>
        <w:t>3.3 Preprocesamiento</w:t>
      </w:r>
    </w:p>
    <w:p w14:paraId="3D93DDB1" w14:textId="3BCD742F" w:rsidR="00902FC3" w:rsidRPr="00403B01" w:rsidRDefault="00000000">
      <w:pPr>
        <w:pStyle w:val="FirstParagraph"/>
        <w:rPr>
          <w:lang w:val="es-PE"/>
        </w:rPr>
      </w:pPr>
      <w:r w:rsidRPr="00403B01">
        <w:rPr>
          <w:lang w:val="es-PE"/>
        </w:rPr>
        <w:t xml:space="preserve">Sobre los datos crudos se aplicaron cinco pasos: (a) verificación de integridad de los archivos descargados; (b) normalización de las etiquetas de familia y selección de Mirai, </w:t>
      </w:r>
      <w:proofErr w:type="spellStart"/>
      <w:r w:rsidRPr="00403B01">
        <w:rPr>
          <w:lang w:val="es-PE"/>
        </w:rPr>
        <w:t>DarkNexus</w:t>
      </w:r>
      <w:proofErr w:type="spellEnd"/>
      <w:r w:rsidRPr="00403B01">
        <w:rPr>
          <w:lang w:val="es-PE"/>
        </w:rPr>
        <w:t xml:space="preserve"> y </w:t>
      </w:r>
      <w:proofErr w:type="spellStart"/>
      <w:r w:rsidRPr="00403B01">
        <w:rPr>
          <w:lang w:val="es-PE"/>
        </w:rPr>
        <w:t>Gafgyt</w:t>
      </w:r>
      <w:proofErr w:type="spellEnd"/>
      <w:r w:rsidRPr="00403B01">
        <w:rPr>
          <w:lang w:val="es-PE"/>
        </w:rPr>
        <w:t>; (c) eliminación de identificadores (hash, rutas, marcas de tiempo, arquitectura), de columnas constantes o truncadas y de la variable IAT, por el riesgo de que actúe como un atajo ligado al momento de la captura y no al comportamiento del tráfico (</w:t>
      </w:r>
      <w:proofErr w:type="spellStart"/>
      <w:r w:rsidRPr="00403B01">
        <w:rPr>
          <w:lang w:val="es-PE"/>
        </w:rPr>
        <w:t>Arp</w:t>
      </w:r>
      <w:proofErr w:type="spellEnd"/>
      <w:r w:rsidRPr="00403B01">
        <w:rPr>
          <w:lang w:val="es-PE"/>
        </w:rPr>
        <w:t xml:space="preserve"> et al., 2022); (d) descarte de valores infinitos o nulos y de vectores duplicados; y (e) partición 70/30 agrupada por el hash del binario y estratificada por familia, de modo que ninguna muestra de malware aparezca en entrenamiento y prueba a la vez. Esta partición evita la fuga de información que produce una división aleatoria de ventanas, uno de los errores más frecuentes en la evaluación de detectores (</w:t>
      </w:r>
      <w:proofErr w:type="spellStart"/>
      <w:r w:rsidRPr="00403B01">
        <w:rPr>
          <w:lang w:val="es-PE"/>
        </w:rPr>
        <w:t>Arp</w:t>
      </w:r>
      <w:proofErr w:type="spellEnd"/>
      <w:r w:rsidRPr="00403B01">
        <w:rPr>
          <w:lang w:val="es-PE"/>
        </w:rPr>
        <w:t xml:space="preserve"> et al., 2022). De las 562 378 ventanas de las tres familias se eliminaron 281 con valores infinitos o nulos y 131 377 duplicadas; SMTP, SSH e IRC resultaron constantes, por lo que quedaron 35 características. Para ejecutar el experimento en una computadora portátil, Mirai se redujo de 405 573 a 149 989 ventanas mediante un submuestreo de binarios completos, y el desbalance restante se compensó con pesos de clase. El entrenamiento quedó con 130 954 ventanas (848 binarios) y la prueba con 44 182 (364 binarios); </w:t>
      </w:r>
      <w:proofErr w:type="spellStart"/>
      <w:r w:rsidRPr="00403B01">
        <w:rPr>
          <w:lang w:val="es-PE"/>
        </w:rPr>
        <w:t>Gafgyt</w:t>
      </w:r>
      <w:proofErr w:type="spellEnd"/>
      <w:r w:rsidRPr="00403B01">
        <w:rPr>
          <w:lang w:val="es-PE"/>
        </w:rPr>
        <w:t xml:space="preserve"> solo aporta cinco binarios (tres y dos), una limitación del </w:t>
      </w:r>
      <w:proofErr w:type="spellStart"/>
      <w:r w:rsidRPr="00403B01">
        <w:rPr>
          <w:lang w:val="es-PE"/>
        </w:rPr>
        <w:t>dataset</w:t>
      </w:r>
      <w:proofErr w:type="spellEnd"/>
      <w:r w:rsidRPr="00403B01">
        <w:rPr>
          <w:lang w:val="es-PE"/>
        </w:rPr>
        <w:t xml:space="preserve"> que se discute en la Sección 6. No se escalaron las variables, porque los árboles son invariantes ante transformaciones monótonas.</w:t>
      </w:r>
    </w:p>
    <w:p w14:paraId="6CACB38D" w14:textId="77777777" w:rsidR="00902FC3" w:rsidRPr="00403B01" w:rsidRDefault="00000000">
      <w:pPr>
        <w:pStyle w:val="Heading2"/>
        <w:rPr>
          <w:lang w:val="es-PE"/>
        </w:rPr>
      </w:pPr>
      <w:bookmarkStart w:id="6" w:name="procedimiento-experimental"/>
      <w:bookmarkEnd w:id="5"/>
      <w:r w:rsidRPr="00403B01">
        <w:rPr>
          <w:lang w:val="es-PE"/>
        </w:rPr>
        <w:lastRenderedPageBreak/>
        <w:t>3.4 Procedimiento experimental</w:t>
      </w:r>
    </w:p>
    <w:p w14:paraId="387129C6" w14:textId="77777777" w:rsidR="00902FC3" w:rsidRPr="00403B01" w:rsidRDefault="00000000">
      <w:pPr>
        <w:pStyle w:val="FirstParagraph"/>
        <w:rPr>
          <w:lang w:val="es-PE"/>
        </w:rPr>
      </w:pPr>
      <w:r w:rsidRPr="00403B01">
        <w:rPr>
          <w:lang w:val="es-PE"/>
        </w:rPr>
        <w:t>La Figura 1 resume el procedimiento. Las alertas del conjunto de prueba se muestrearon de forma estratificada por familia, con 130 por estrato (</w:t>
      </w:r>
      <m:oMath>
        <m:r>
          <w:rPr>
            <w:rFonts w:ascii="Cambria Math" w:hAnsi="Cambria Math"/>
          </w:rPr>
          <m:t>n</m:t>
        </m:r>
        <m:r>
          <m:rPr>
            <m:sty m:val="p"/>
          </m:rPr>
          <w:rPr>
            <w:rFonts w:ascii="Cambria Math" w:hAnsi="Cambria Math"/>
            <w:lang w:val="es-PE"/>
          </w:rPr>
          <m:t>=</m:t>
        </m:r>
        <m:r>
          <w:rPr>
            <w:rFonts w:ascii="Cambria Math" w:hAnsi="Cambria Math"/>
            <w:lang w:val="es-PE"/>
          </w:rPr>
          <m:t>390</m:t>
        </m:r>
      </m:oMath>
      <w:r w:rsidRPr="00403B01">
        <w:rPr>
          <w:lang w:val="es-PE"/>
        </w:rPr>
        <w:t xml:space="preserve">); este tamaño supera las 384 instancias necesarias para estimar proporciones con 95 % de confianza y 5 % de error, y da el mismo peso a las tres familias. Cada alerta se explicó con las tres condiciones usando </w:t>
      </w:r>
      <m:oMath>
        <m:r>
          <w:rPr>
            <w:rFonts w:ascii="Cambria Math" w:hAnsi="Cambria Math"/>
          </w:rPr>
          <m:t>k</m:t>
        </m:r>
        <m:r>
          <m:rPr>
            <m:sty m:val="p"/>
          </m:rPr>
          <w:rPr>
            <w:rFonts w:ascii="Cambria Math" w:hAnsi="Cambria Math"/>
            <w:lang w:val="es-PE"/>
          </w:rPr>
          <m:t>=</m:t>
        </m:r>
        <m:r>
          <w:rPr>
            <w:rFonts w:ascii="Cambria Math" w:hAnsi="Cambria Math"/>
            <w:lang w:val="es-PE"/>
          </w:rPr>
          <m:t>5</m:t>
        </m:r>
      </m:oMath>
      <w:r w:rsidRPr="00403B01">
        <w:rPr>
          <w:lang w:val="es-PE"/>
        </w:rPr>
        <w:t xml:space="preserve"> características principales, un compromiso entre la capacidad de lectura del analista y la cobertura de la decisión. LIME se ejecutó </w:t>
      </w:r>
      <m:oMath>
        <m:r>
          <w:rPr>
            <w:rFonts w:ascii="Cambria Math" w:hAnsi="Cambria Math"/>
          </w:rPr>
          <m:t>R</m:t>
        </m:r>
        <m:r>
          <m:rPr>
            <m:sty m:val="p"/>
          </m:rPr>
          <w:rPr>
            <w:rFonts w:ascii="Cambria Math" w:hAnsi="Cambria Math"/>
            <w:lang w:val="es-PE"/>
          </w:rPr>
          <m:t>=</m:t>
        </m:r>
        <m:r>
          <w:rPr>
            <w:rFonts w:ascii="Cambria Math" w:hAnsi="Cambria Math"/>
            <w:lang w:val="es-PE"/>
          </w:rPr>
          <m:t>10</m:t>
        </m:r>
      </m:oMath>
      <w:r w:rsidRPr="00403B01">
        <w:rPr>
          <w:lang w:val="es-PE"/>
        </w:rPr>
        <w:t xml:space="preserve"> veces con semillas distintas; TreeSHAP, que es determinista, una sola vez. Todo se ejecutó en CPU con Python 3 (scikit-learn, shap, lime y SciPy).</w:t>
      </w:r>
    </w:p>
    <w:p w14:paraId="685C6D04" w14:textId="77777777" w:rsidR="00902FC3" w:rsidRPr="00403B01" w:rsidRDefault="00000000">
      <w:pPr>
        <w:pStyle w:val="BodyText"/>
        <w:keepNext/>
        <w:spacing w:before="160" w:after="0"/>
        <w:ind w:firstLine="0"/>
        <w:rPr>
          <w:lang w:val="es-PE"/>
        </w:rPr>
      </w:pPr>
      <w:r w:rsidRPr="00403B01">
        <w:rPr>
          <w:b/>
          <w:bCs/>
          <w:lang w:val="es-PE"/>
        </w:rPr>
        <w:t>Figura 1</w:t>
      </w:r>
    </w:p>
    <w:p w14:paraId="3CCF155C" w14:textId="77777777" w:rsidR="00902FC3" w:rsidRPr="00403B01" w:rsidRDefault="00000000">
      <w:pPr>
        <w:pStyle w:val="BodyText"/>
        <w:keepNext/>
        <w:ind w:firstLine="0"/>
        <w:rPr>
          <w:lang w:val="es-PE"/>
        </w:rPr>
      </w:pPr>
      <w:r w:rsidRPr="00403B01">
        <w:rPr>
          <w:i/>
          <w:iCs/>
          <w:lang w:val="es-PE"/>
        </w:rPr>
        <w:t xml:space="preserve">Procedimiento experimental del marco de </w:t>
      </w:r>
      <w:proofErr w:type="spellStart"/>
      <w:r w:rsidRPr="00403B01">
        <w:rPr>
          <w:i/>
          <w:iCs/>
          <w:lang w:val="es-PE"/>
        </w:rPr>
        <w:t>explicabilidad</w:t>
      </w:r>
      <w:proofErr w:type="spellEnd"/>
    </w:p>
    <w:p w14:paraId="6F733B44" w14:textId="77777777" w:rsidR="00902FC3" w:rsidRDefault="00000000">
      <w:pPr>
        <w:pStyle w:val="BodyText"/>
      </w:pPr>
      <w:r>
        <w:rPr>
          <w:noProof/>
        </w:rPr>
        <w:drawing>
          <wp:inline distT="0" distB="0" distL="0" distR="0" wp14:anchorId="6BA2BB73" wp14:editId="5CFE2B5A">
            <wp:extent cx="5120640" cy="99407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1_pipeline.png"/>
                    <pic:cNvPicPr>
                      <a:picLocks noChangeAspect="1" noChangeArrowheads="1"/>
                    </pic:cNvPicPr>
                  </pic:nvPicPr>
                  <pic:blipFill>
                    <a:blip r:embed="rId7"/>
                    <a:stretch>
                      <a:fillRect/>
                    </a:stretch>
                  </pic:blipFill>
                  <pic:spPr bwMode="auto">
                    <a:xfrm>
                      <a:off x="0" y="0"/>
                      <a:ext cx="5120640" cy="994074"/>
                    </a:xfrm>
                    <a:prstGeom prst="rect">
                      <a:avLst/>
                    </a:prstGeom>
                    <a:noFill/>
                    <a:ln w="9525">
                      <a:noFill/>
                      <a:headEnd/>
                      <a:tailEnd/>
                    </a:ln>
                  </pic:spPr>
                </pic:pic>
              </a:graphicData>
            </a:graphic>
          </wp:inline>
        </w:drawing>
      </w:r>
    </w:p>
    <w:p w14:paraId="32B59F88" w14:textId="77777777" w:rsidR="00902FC3" w:rsidRPr="00403B01" w:rsidRDefault="00000000">
      <w:pPr>
        <w:pStyle w:val="Heading2"/>
        <w:rPr>
          <w:lang w:val="es-PE"/>
        </w:rPr>
      </w:pPr>
      <w:bookmarkStart w:id="7" w:name="métricas-de-evaluación"/>
      <w:bookmarkEnd w:id="6"/>
      <w:r w:rsidRPr="00403B01">
        <w:rPr>
          <w:lang w:val="es-PE"/>
        </w:rPr>
        <w:t>3.5 Métricas de evaluación</w:t>
      </w:r>
    </w:p>
    <w:p w14:paraId="7CB5F9BF" w14:textId="77777777" w:rsidR="00902FC3" w:rsidRPr="00403B01" w:rsidRDefault="00000000">
      <w:pPr>
        <w:pStyle w:val="FirstParagraph"/>
        <w:rPr>
          <w:lang w:val="es-PE"/>
        </w:rPr>
      </w:pPr>
      <w:r w:rsidRPr="00403B01">
        <w:rPr>
          <w:lang w:val="es-PE"/>
        </w:rPr>
        <w:t xml:space="preserve">Sea </w:t>
      </w:r>
      <m:oMath>
        <m:acc>
          <m:accPr>
            <m:ctrlPr>
              <w:rPr>
                <w:rFonts w:ascii="Cambria Math" w:hAnsi="Cambria Math"/>
              </w:rPr>
            </m:ctrlPr>
          </m:accPr>
          <m:e>
            <m:r>
              <w:rPr>
                <w:rFonts w:ascii="Cambria Math" w:hAnsi="Cambria Math"/>
              </w:rPr>
              <m:t>c</m:t>
            </m:r>
          </m:e>
        </m:acc>
      </m:oMath>
      <w:r w:rsidRPr="00403B01">
        <w:rPr>
          <w:lang w:val="es-PE"/>
        </w:rPr>
        <w:t xml:space="preserve"> la familia que el detector predice para la alerta </w:t>
      </w:r>
      <m:oMath>
        <m:r>
          <m:rPr>
            <m:sty m:val="b"/>
          </m:rPr>
          <w:rPr>
            <w:rFonts w:ascii="Cambria Math" w:hAnsi="Cambria Math"/>
          </w:rPr>
          <m:t>x</m:t>
        </m:r>
      </m:oMath>
      <w:r w:rsidRPr="00403B01">
        <w:rPr>
          <w:lang w:val="es-PE"/>
        </w:rPr>
        <w:t xml:space="preserve">, </w:t>
      </w: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lang w:val="es-PE"/>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c</m:t>
                </m:r>
              </m:e>
            </m:acc>
            <m:r>
              <m:rPr>
                <m:sty m:val="p"/>
              </m:rPr>
              <w:rPr>
                <w:rFonts w:ascii="Cambria Math" w:hAnsi="Cambria Math"/>
                <w:lang w:val="es-PE"/>
              </w:rPr>
              <m:t>∣</m:t>
            </m:r>
            <m:r>
              <m:rPr>
                <m:sty m:val="b"/>
              </m:rPr>
              <w:rPr>
                <w:rFonts w:ascii="Cambria Math" w:hAnsi="Cambria Math"/>
              </w:rPr>
              <m:t>x</m:t>
            </m:r>
          </m:e>
        </m:d>
      </m:oMath>
      <w:r w:rsidRPr="00403B01">
        <w:rPr>
          <w:lang w:val="es-PE"/>
        </w:rPr>
        <w:t xml:space="preserve"> su probabilidad, </w:t>
      </w:r>
      <m:oMath>
        <m:r>
          <m:rPr>
            <m:sty m:val="b"/>
          </m:rP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lang w:val="es-PE"/>
          </w:rPr>
          <m:t>∈</m:t>
        </m:r>
        <m:sSup>
          <m:sSupPr>
            <m:ctrlPr>
              <w:rPr>
                <w:rFonts w:ascii="Cambria Math" w:hAnsi="Cambria Math"/>
              </w:rPr>
            </m:ctrlPr>
          </m:sSupPr>
          <m:e>
            <m:r>
              <m:rPr>
                <m:scr m:val="double-struck"/>
                <m:sty m:val="p"/>
              </m:rPr>
              <w:rPr>
                <w:rFonts w:ascii="Cambria Math" w:hAnsi="Cambria Math"/>
                <w:lang w:val="es-PE"/>
              </w:rPr>
              <m:t>R</m:t>
            </m:r>
          </m:e>
          <m:sup>
            <m:r>
              <w:rPr>
                <w:rFonts w:ascii="Cambria Math" w:hAnsi="Cambria Math"/>
              </w:rPr>
              <m:t>d</m:t>
            </m:r>
          </m:sup>
        </m:sSup>
      </m:oMath>
      <w:r w:rsidRPr="00403B01">
        <w:rPr>
          <w:lang w:val="es-PE"/>
        </w:rPr>
        <w:t xml:space="preserve"> el vector de atribuciones de una condición y </w:t>
      </w:r>
      <m:oMath>
        <m:sSub>
          <m:sSubPr>
            <m:ctrlPr>
              <w:rPr>
                <w:rFonts w:ascii="Cambria Math" w:hAnsi="Cambria Math"/>
              </w:rPr>
            </m:ctrlPr>
          </m:sSubPr>
          <m:e>
            <m:r>
              <w:rPr>
                <w:rFonts w:ascii="Cambria Math" w:hAnsi="Cambria Math"/>
              </w:rPr>
              <m:t>T</m:t>
            </m:r>
          </m:e>
          <m:sub>
            <m:r>
              <w:rPr>
                <w:rFonts w:ascii="Cambria Math" w:hAnsi="Cambria Math"/>
              </w:rPr>
              <m:t>k</m:t>
            </m:r>
          </m:sub>
        </m:sSub>
        <m:d>
          <m:dPr>
            <m:ctrlPr>
              <w:rPr>
                <w:rFonts w:ascii="Cambria Math" w:hAnsi="Cambria Math"/>
              </w:rPr>
            </m:ctrlPr>
          </m:dPr>
          <m:e>
            <m:r>
              <m:rPr>
                <m:sty m:val="b"/>
              </m:rPr>
              <w:rPr>
                <w:rFonts w:ascii="Cambria Math" w:hAnsi="Cambria Math"/>
              </w:rPr>
              <m:t>x</m:t>
            </m:r>
          </m:e>
        </m:d>
      </m:oMath>
      <w:r w:rsidRPr="00403B01">
        <w:rPr>
          <w:lang w:val="es-PE"/>
        </w:rPr>
        <w:t xml:space="preserve"> el conjunto de sus </w:t>
      </w:r>
      <m:oMath>
        <m:r>
          <w:rPr>
            <w:rFonts w:ascii="Cambria Math" w:hAnsi="Cambria Math"/>
          </w:rPr>
          <m:t>k</m:t>
        </m:r>
      </m:oMath>
      <w:r w:rsidRPr="00403B01">
        <w:rPr>
          <w:lang w:val="es-PE"/>
        </w:rPr>
        <w:t xml:space="preserve"> características con mayor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e>
        </m:d>
      </m:oMath>
      <w:r w:rsidRPr="00403B01">
        <w:rPr>
          <w:lang w:val="es-PE"/>
        </w:rPr>
        <w:t>.</w:t>
      </w:r>
    </w:p>
    <w:p w14:paraId="6C3B1051" w14:textId="77777777" w:rsidR="00902FC3" w:rsidRPr="00403B01" w:rsidRDefault="00000000">
      <w:pPr>
        <w:pStyle w:val="BodyText"/>
        <w:rPr>
          <w:lang w:val="es-PE"/>
        </w:rPr>
      </w:pPr>
      <w:r w:rsidRPr="00403B01">
        <w:rPr>
          <w:i/>
          <w:iCs/>
          <w:lang w:val="es-PE"/>
        </w:rPr>
        <w:t>Fidelidad.</w:t>
      </w:r>
      <w:r w:rsidRPr="00403B01">
        <w:rPr>
          <w:lang w:val="es-PE"/>
        </w:rPr>
        <w:t xml:space="preserve"> Mide si las características señaladas sostienen realmente la decisión, siguiendo la lógica de perturbación por eliminación (Samek et al., 2017) adaptada a la detección de intrusiones (Arreche et al., 2024). Sea </w:t>
      </w: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x</m:t>
                </m:r>
              </m:e>
            </m:acc>
          </m:e>
          <m:sup>
            <m:d>
              <m:dPr>
                <m:ctrlPr>
                  <w:rPr>
                    <w:rFonts w:ascii="Cambria Math" w:hAnsi="Cambria Math"/>
                  </w:rPr>
                </m:ctrlPr>
              </m:dPr>
              <m:e>
                <m:r>
                  <w:rPr>
                    <w:rFonts w:ascii="Cambria Math" w:hAnsi="Cambria Math"/>
                  </w:rPr>
                  <m:t>k</m:t>
                </m:r>
              </m:e>
            </m:d>
          </m:sup>
        </m:sSup>
      </m:oMath>
      <w:r w:rsidRPr="00403B01">
        <w:rPr>
          <w:lang w:val="es-PE"/>
        </w:rPr>
        <w:t xml:space="preserve"> la alerta en la que las características de </w:t>
      </w:r>
      <m:oMath>
        <m:sSub>
          <m:sSubPr>
            <m:ctrlPr>
              <w:rPr>
                <w:rFonts w:ascii="Cambria Math" w:hAnsi="Cambria Math"/>
              </w:rPr>
            </m:ctrlPr>
          </m:sSubPr>
          <m:e>
            <m:r>
              <w:rPr>
                <w:rFonts w:ascii="Cambria Math" w:hAnsi="Cambria Math"/>
              </w:rPr>
              <m:t>T</m:t>
            </m:r>
          </m:e>
          <m:sub>
            <m:r>
              <w:rPr>
                <w:rFonts w:ascii="Cambria Math" w:hAnsi="Cambria Math"/>
              </w:rPr>
              <m:t>k</m:t>
            </m:r>
          </m:sub>
        </m:sSub>
        <m:d>
          <m:dPr>
            <m:ctrlPr>
              <w:rPr>
                <w:rFonts w:ascii="Cambria Math" w:hAnsi="Cambria Math"/>
              </w:rPr>
            </m:ctrlPr>
          </m:dPr>
          <m:e>
            <m:r>
              <m:rPr>
                <m:sty m:val="b"/>
              </m:rPr>
              <w:rPr>
                <w:rFonts w:ascii="Cambria Math" w:hAnsi="Cambria Math"/>
              </w:rPr>
              <m:t>x</m:t>
            </m:r>
          </m:e>
        </m:d>
      </m:oMath>
      <w:r w:rsidRPr="00403B01">
        <w:rPr>
          <w:lang w:val="es-PE"/>
        </w:rPr>
        <w:t xml:space="preserve"> se reemplazan por su mediana en el conjunto de entrenamiento. Se definen la caída media de probabilidad y la tasa de inversión de la decisión:</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4347F53D"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30EDDE0D" w14:textId="77777777" w:rsidR="00902FC3" w:rsidRPr="00403B01" w:rsidRDefault="00902FC3">
            <w:pPr>
              <w:spacing w:after="0"/>
              <w:rPr>
                <w:lang w:val="es-PE"/>
              </w:rPr>
            </w:pPr>
          </w:p>
        </w:tc>
        <w:tc>
          <w:tcPr>
            <w:tcW w:w="7626" w:type="dxa"/>
            <w:vAlign w:val="center"/>
          </w:tcPr>
          <w:p w14:paraId="306C5E7B" w14:textId="77777777" w:rsidR="00902FC3" w:rsidRDefault="00000000">
            <w:pPr>
              <w:pStyle w:val="BodyText"/>
              <w:spacing w:before="40" w:after="40"/>
              <w:ind w:firstLine="0"/>
              <w:jc w:val="center"/>
            </w:pPr>
            <m:oMathPara>
              <m:oMathParaPr>
                <m:jc m:val="center"/>
              </m:oMathParaPr>
              <m:oMath>
                <m:r>
                  <w:rPr>
                    <w:rFonts w:ascii="Cambria Math" w:hAnsi="Cambria Math"/>
                  </w:rPr>
                  <m:t>Δp</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up>
                                <m:d>
                                  <m:dPr>
                                    <m:ctrlPr>
                                      <w:rPr>
                                        <w:rFonts w:ascii="Cambria Math" w:hAnsi="Cambria Math"/>
                                      </w:rPr>
                                    </m:ctrlPr>
                                  </m:dPr>
                                  <m:e>
                                    <m:r>
                                      <w:rPr>
                                        <w:rFonts w:ascii="Cambria Math" w:hAnsi="Cambria Math"/>
                                      </w:rPr>
                                      <m:t>k</m:t>
                                    </m:r>
                                  </m:e>
                                </m:d>
                              </m:sup>
                            </m:sSubSup>
                          </m:e>
                        </m:d>
                      </m:e>
                    </m:d>
                  </m:e>
                </m:nary>
              </m:oMath>
            </m:oMathPara>
          </w:p>
        </w:tc>
        <w:tc>
          <w:tcPr>
            <w:tcW w:w="700" w:type="dxa"/>
            <w:vAlign w:val="center"/>
          </w:tcPr>
          <w:p w14:paraId="487172A5" w14:textId="77777777" w:rsidR="00902FC3" w:rsidRDefault="00000000">
            <w:pPr>
              <w:spacing w:after="0"/>
              <w:jc w:val="right"/>
            </w:pPr>
            <w:r>
              <w:t>(1)</w:t>
            </w:r>
          </w:p>
        </w:tc>
      </w:tr>
      <w:tr w:rsidR="00902FC3" w14:paraId="6E960F10" w14:textId="77777777" w:rsidTr="00902FC3">
        <w:trPr>
          <w:cantSplit/>
          <w:jc w:val="center"/>
        </w:trPr>
        <w:tc>
          <w:tcPr>
            <w:tcW w:w="700" w:type="dxa"/>
            <w:vAlign w:val="center"/>
          </w:tcPr>
          <w:p w14:paraId="3A980212" w14:textId="77777777" w:rsidR="00902FC3" w:rsidRDefault="00902FC3">
            <w:pPr>
              <w:spacing w:after="0"/>
            </w:pPr>
          </w:p>
        </w:tc>
        <w:tc>
          <w:tcPr>
            <w:tcW w:w="7626" w:type="dxa"/>
            <w:vAlign w:val="center"/>
          </w:tcPr>
          <w:p w14:paraId="74944F5E" w14:textId="77777777" w:rsidR="00902FC3" w:rsidRDefault="00000000">
            <w:pPr>
              <w:pStyle w:val="FirstParagraph"/>
              <w:spacing w:before="40" w:after="40"/>
              <w:ind w:firstLine="0"/>
              <w:jc w:val="center"/>
            </w:pPr>
            <m:oMathPara>
              <m:oMathParaPr>
                <m:jc m:val="center"/>
              </m:oMathParaPr>
              <m:oMath>
                <m:r>
                  <w:rPr>
                    <w:rFonts w:ascii="Cambria Math" w:hAnsi="Cambria Math"/>
                  </w:rPr>
                  <m:t>TID</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p</m:t>
                    </m:r>
                    <m:d>
                      <m:dPr>
                        <m:ctrlPr>
                          <w:rPr>
                            <w:rFonts w:ascii="Cambria Math" w:hAnsi="Cambria Math"/>
                          </w:rPr>
                        </m:ctrlPr>
                      </m:dPr>
                      <m:e>
                        <m:r>
                          <w:rPr>
                            <w:rFonts w:ascii="Cambria Math" w:hAnsi="Cambria Math"/>
                          </w:rPr>
                          <m:t>c</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e>
                </m:d>
              </m:oMath>
            </m:oMathPara>
          </w:p>
        </w:tc>
        <w:tc>
          <w:tcPr>
            <w:tcW w:w="700" w:type="dxa"/>
            <w:vAlign w:val="center"/>
          </w:tcPr>
          <w:p w14:paraId="78B5B963" w14:textId="77777777" w:rsidR="00902FC3" w:rsidRDefault="00000000">
            <w:pPr>
              <w:spacing w:after="0"/>
              <w:jc w:val="right"/>
            </w:pPr>
            <w:r>
              <w:t>(2)</w:t>
            </w:r>
          </w:p>
        </w:tc>
      </w:tr>
    </w:tbl>
    <w:p w14:paraId="0DCCBBA5" w14:textId="77777777" w:rsidR="00902FC3" w:rsidRPr="00403B01" w:rsidRDefault="00000000">
      <w:pPr>
        <w:pStyle w:val="FirstParagraph"/>
        <w:rPr>
          <w:lang w:val="es-PE"/>
        </w:rPr>
      </w:pPr>
      <w:r w:rsidRPr="00403B01">
        <w:rPr>
          <w:lang w:val="es-PE"/>
        </w:rPr>
        <w:t>Valores más altos indican mayor fidelidad: neutralizar lo que la explicación considera importante debilita o cambia la decisión.</w:t>
      </w:r>
    </w:p>
    <w:p w14:paraId="024772E6" w14:textId="77777777" w:rsidR="00902FC3" w:rsidRPr="00403B01" w:rsidRDefault="00000000">
      <w:pPr>
        <w:pStyle w:val="BodyText"/>
        <w:rPr>
          <w:lang w:val="es-PE"/>
        </w:rPr>
      </w:pPr>
      <w:r w:rsidRPr="00403B01">
        <w:rPr>
          <w:i/>
          <w:iCs/>
          <w:lang w:val="es-PE"/>
        </w:rPr>
        <w:t>Estabilidad.</w:t>
      </w:r>
      <w:r w:rsidRPr="00403B01">
        <w:rPr>
          <w:lang w:val="es-PE"/>
        </w:rPr>
        <w:t xml:space="preserve"> Se cuantifica con el índice de Jaccard entre conjuntos top-</w:t>
      </w:r>
      <m:oMath>
        <m:r>
          <w:rPr>
            <w:rFonts w:ascii="Cambria Math" w:hAnsi="Cambria Math"/>
          </w:rPr>
          <m:t>k</m:t>
        </m:r>
      </m:oMath>
      <w:r w:rsidRPr="00403B01">
        <w:rPr>
          <w:lang w:val="es-PE"/>
        </w:rPr>
        <w:t xml:space="preserve">, </w:t>
      </w:r>
      <m:oMath>
        <m:r>
          <w:rPr>
            <w:rFonts w:ascii="Cambria Math" w:hAnsi="Cambria Math"/>
          </w:rPr>
          <m:t>J</m:t>
        </m:r>
        <m:d>
          <m:dPr>
            <m:ctrlPr>
              <w:rPr>
                <w:rFonts w:ascii="Cambria Math" w:hAnsi="Cambria Math"/>
              </w:rPr>
            </m:ctrlPr>
          </m:dPr>
          <m:e>
            <m:r>
              <w:rPr>
                <w:rFonts w:ascii="Cambria Math" w:hAnsi="Cambria Math"/>
              </w:rPr>
              <m:t>A</m:t>
            </m:r>
            <m:r>
              <m:rPr>
                <m:sty m:val="p"/>
              </m:rPr>
              <w:rPr>
                <w:rFonts w:ascii="Cambria Math" w:hAnsi="Cambria Math"/>
                <w:lang w:val="es-PE"/>
              </w:rPr>
              <m:t>,</m:t>
            </m:r>
            <m:r>
              <w:rPr>
                <w:rFonts w:ascii="Cambria Math" w:hAnsi="Cambria Math"/>
              </w:rPr>
              <m:t>B</m:t>
            </m:r>
          </m:e>
        </m:d>
        <m:r>
          <m:rPr>
            <m:sty m:val="p"/>
          </m:rPr>
          <w:rPr>
            <w:rFonts w:ascii="Cambria Math" w:hAnsi="Cambria Math"/>
            <w:lang w:val="es-PE"/>
          </w:rPr>
          <m:t>=</m:t>
        </m:r>
        <m:d>
          <m:dPr>
            <m:begChr m:val="|"/>
            <m:endChr m:val="|"/>
            <m:ctrlPr>
              <w:rPr>
                <w:rFonts w:ascii="Cambria Math" w:hAnsi="Cambria Math"/>
              </w:rPr>
            </m:ctrlPr>
          </m:dPr>
          <m:e>
            <m:r>
              <w:rPr>
                <w:rFonts w:ascii="Cambria Math" w:hAnsi="Cambria Math"/>
              </w:rPr>
              <m:t>A</m:t>
            </m:r>
            <m:r>
              <m:rPr>
                <m:sty m:val="p"/>
              </m:rPr>
              <w:rPr>
                <w:rFonts w:ascii="Cambria Math" w:hAnsi="Cambria Math"/>
                <w:lang w:val="es-PE"/>
              </w:rPr>
              <m:t>∩</m:t>
            </m:r>
            <m:r>
              <w:rPr>
                <w:rFonts w:ascii="Cambria Math" w:hAnsi="Cambria Math"/>
              </w:rPr>
              <m:t>B</m:t>
            </m:r>
          </m:e>
        </m:d>
        <m:r>
          <m:rPr>
            <m:sty m:val="p"/>
          </m:rPr>
          <w:rPr>
            <w:rFonts w:ascii="Cambria Math" w:hAnsi="Cambria Math"/>
            <w:lang w:val="es-PE"/>
          </w:rPr>
          <m:t>/</m:t>
        </m:r>
        <m:d>
          <m:dPr>
            <m:begChr m:val="|"/>
            <m:endChr m:val="|"/>
            <m:ctrlPr>
              <w:rPr>
                <w:rFonts w:ascii="Cambria Math" w:hAnsi="Cambria Math"/>
              </w:rPr>
            </m:ctrlPr>
          </m:dPr>
          <m:e>
            <m:r>
              <w:rPr>
                <w:rFonts w:ascii="Cambria Math" w:hAnsi="Cambria Math"/>
              </w:rPr>
              <m:t>A</m:t>
            </m:r>
            <m:r>
              <m:rPr>
                <m:sty m:val="p"/>
              </m:rPr>
              <w:rPr>
                <w:rFonts w:ascii="Cambria Math" w:hAnsi="Cambria Math"/>
                <w:lang w:val="es-PE"/>
              </w:rPr>
              <m:t>∪</m:t>
            </m:r>
            <m:r>
              <w:rPr>
                <w:rFonts w:ascii="Cambria Math" w:hAnsi="Cambria Math"/>
              </w:rPr>
              <m:t>B</m:t>
            </m:r>
          </m:e>
        </m:d>
      </m:oMath>
      <w:r w:rsidRPr="00403B01">
        <w:rPr>
          <w:lang w:val="es-PE"/>
        </w:rPr>
        <w:t xml:space="preserve"> (Hermosilla et al., 2025). La estabilidad entre ejecuciones promedia todos los pares de las </w:t>
      </w:r>
      <m:oMath>
        <m:r>
          <w:rPr>
            <w:rFonts w:ascii="Cambria Math" w:hAnsi="Cambria Math"/>
          </w:rPr>
          <m:t>R</m:t>
        </m:r>
      </m:oMath>
      <w:r w:rsidRPr="00403B01">
        <w:rPr>
          <w:lang w:val="es-PE"/>
        </w:rPr>
        <w:t xml:space="preserve"> repeticiones:</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45944E13"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0A0F9FC0" w14:textId="77777777" w:rsidR="00902FC3" w:rsidRPr="00403B01" w:rsidRDefault="00902FC3">
            <w:pPr>
              <w:spacing w:after="0"/>
              <w:rPr>
                <w:lang w:val="es-PE"/>
              </w:rPr>
            </w:pPr>
          </w:p>
        </w:tc>
        <w:tc>
          <w:tcPr>
            <w:tcW w:w="7626" w:type="dxa"/>
            <w:vAlign w:val="center"/>
          </w:tcPr>
          <w:p w14:paraId="14703317" w14:textId="77777777" w:rsidR="00902FC3" w:rsidRDefault="00000000">
            <w:pPr>
              <w:pStyle w:val="BodyText"/>
              <w:spacing w:before="40" w:after="40"/>
              <w:ind w:firstLine="0"/>
              <w:jc w:val="center"/>
            </w:pPr>
            <m:oMathPara>
              <m:oMathParaPr>
                <m:jc m:val="center"/>
              </m:oMathParaPr>
              <m:oMath>
                <m:r>
                  <w:rPr>
                    <w:rFonts w:ascii="Cambria Math" w:hAnsi="Cambria Math"/>
                  </w:rPr>
                  <m:t>EE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2</m:t>
                        </m:r>
                      </m:num>
                      <m:den>
                        <m:r>
                          <w:rPr>
                            <w:rFonts w:ascii="Cambria Math" w:hAnsi="Cambria Math"/>
                          </w:rPr>
                          <m:t>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den>
                    </m:f>
                  </m:e>
                </m:nary>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&lt;</m:t>
                    </m:r>
                    <m:r>
                      <w:rPr>
                        <w:rFonts w:ascii="Cambria Math" w:hAnsi="Cambria Math"/>
                      </w:rPr>
                      <m:t>s</m:t>
                    </m:r>
                  </m:sub>
                  <m:sup>
                    <m:r>
                      <w:rPr>
                        <w:rFonts w:ascii="Cambria Math" w:hAnsi="Cambria Math"/>
                      </w:rPr>
                      <m:t>​</m:t>
                    </m:r>
                  </m:sup>
                  <m:e>
                    <m:r>
                      <w:rPr>
                        <w:rFonts w:ascii="Cambria Math" w:hAnsi="Cambria Math"/>
                      </w:rPr>
                      <m:t>J</m:t>
                    </m:r>
                  </m:e>
                </m:nary>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k</m:t>
                        </m:r>
                      </m:sub>
                      <m:sup>
                        <m:d>
                          <m:dPr>
                            <m:ctrlPr>
                              <w:rPr>
                                <w:rFonts w:ascii="Cambria Math" w:hAnsi="Cambria Math"/>
                              </w:rPr>
                            </m:ctrlPr>
                          </m:dPr>
                          <m:e>
                            <m:r>
                              <w:rPr>
                                <w:rFonts w:ascii="Cambria Math" w:hAnsi="Cambria Math"/>
                              </w:rPr>
                              <m:t>r</m:t>
                            </m:r>
                          </m:e>
                        </m:d>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k</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oMath>
            </m:oMathPara>
          </w:p>
        </w:tc>
        <w:tc>
          <w:tcPr>
            <w:tcW w:w="700" w:type="dxa"/>
            <w:vAlign w:val="center"/>
          </w:tcPr>
          <w:p w14:paraId="2F64B584" w14:textId="77777777" w:rsidR="00902FC3" w:rsidRDefault="00000000">
            <w:pPr>
              <w:spacing w:after="0"/>
              <w:jc w:val="right"/>
            </w:pPr>
            <w:r>
              <w:t>(3)</w:t>
            </w:r>
          </w:p>
        </w:tc>
      </w:tr>
    </w:tbl>
    <w:p w14:paraId="65840B2D" w14:textId="77777777" w:rsidR="00902FC3" w:rsidRPr="00403B01" w:rsidRDefault="00000000">
      <w:pPr>
        <w:pStyle w:val="FirstParagraph"/>
        <w:rPr>
          <w:lang w:val="es-PE"/>
        </w:rPr>
      </w:pPr>
      <w:r w:rsidRPr="00403B01">
        <w:rPr>
          <w:lang w:val="es-PE"/>
        </w:rPr>
        <w:t xml:space="preserve">La robustez compara la explicación de </w:t>
      </w:r>
      <m:oMath>
        <m:r>
          <m:rPr>
            <m:sty m:val="b"/>
          </m:rPr>
          <w:rPr>
            <w:rFonts w:ascii="Cambria Math" w:hAnsi="Cambria Math"/>
          </w:rPr>
          <m:t>x</m:t>
        </m:r>
      </m:oMath>
      <w:r w:rsidRPr="00403B01">
        <w:rPr>
          <w:lang w:val="es-PE"/>
        </w:rPr>
        <w:t xml:space="preserve"> con la de una versión perturbada </w:t>
      </w:r>
      <m:oMath>
        <m:r>
          <m:rPr>
            <m:sty m:val="b"/>
          </m:rPr>
          <w:rPr>
            <w:rFonts w:ascii="Cambria Math" w:hAnsi="Cambria Math"/>
          </w:rPr>
          <m:t>x</m:t>
        </m:r>
        <m:r>
          <m:rPr>
            <m:sty m:val="p"/>
          </m:rPr>
          <w:rPr>
            <w:rFonts w:ascii="Cambria Math" w:hAnsi="Cambria Math"/>
            <w:lang w:val="es-PE"/>
          </w:rPr>
          <m:t>'=</m:t>
        </m:r>
        <m:r>
          <m:rPr>
            <m:sty m:val="b"/>
          </m:rPr>
          <w:rPr>
            <w:rFonts w:ascii="Cambria Math" w:hAnsi="Cambria Math"/>
          </w:rPr>
          <m:t>x</m:t>
        </m:r>
        <m:r>
          <m:rPr>
            <m:sty m:val="p"/>
          </m:rPr>
          <w:rPr>
            <w:rFonts w:ascii="Cambria Math" w:hAnsi="Cambria Math"/>
            <w:lang w:val="es-PE"/>
          </w:rPr>
          <m:t>+</m:t>
        </m:r>
        <m:r>
          <w:rPr>
            <w:rFonts w:ascii="Cambria Math" w:hAnsi="Cambria Math"/>
          </w:rPr>
          <m:t>ε</m:t>
        </m:r>
        <m:r>
          <w:rPr>
            <w:rFonts w:ascii="Cambria Math" w:hAnsi="Cambria Math"/>
            <w:lang w:val="es-PE"/>
          </w:rPr>
          <m:t> </m:t>
        </m:r>
        <m:r>
          <m:rPr>
            <m:sty m:val="b"/>
          </m:rPr>
          <w:rPr>
            <w:rFonts w:ascii="Cambria Math" w:hAnsi="Cambria Math"/>
          </w:rPr>
          <m:t>σ</m:t>
        </m:r>
        <m:r>
          <m:rPr>
            <m:sty m:val="p"/>
          </m:rPr>
          <w:rPr>
            <w:rFonts w:ascii="Cambria Math" w:hAnsi="Cambria Math"/>
            <w:lang w:val="es-PE"/>
          </w:rPr>
          <m:t>⊙</m:t>
        </m:r>
        <m:r>
          <m:rPr>
            <m:sty m:val="b"/>
          </m:rPr>
          <w:rPr>
            <w:rFonts w:ascii="Cambria Math" w:hAnsi="Cambria Math"/>
          </w:rPr>
          <m:t>u</m:t>
        </m:r>
      </m:oMath>
      <w:r w:rsidRPr="00403B01">
        <w:rPr>
          <w:lang w:val="es-PE"/>
        </w:rPr>
        <w:t xml:space="preserve">, con </w:t>
      </w:r>
      <m:oMath>
        <m:r>
          <m:rPr>
            <m:sty m:val="b"/>
          </m:rPr>
          <w:rPr>
            <w:rFonts w:ascii="Cambria Math" w:hAnsi="Cambria Math"/>
          </w:rPr>
          <m:t>u</m:t>
        </m:r>
        <m:r>
          <m:rPr>
            <m:sty m:val="p"/>
          </m:rPr>
          <w:rPr>
            <w:rFonts w:ascii="Cambria Math" w:hAnsi="Cambria Math"/>
            <w:lang w:val="es-PE"/>
          </w:rPr>
          <m:t>∼</m:t>
        </m:r>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lang w:val="es-PE"/>
              </w:rPr>
              <m:t>,</m:t>
            </m:r>
            <m:r>
              <m:rPr>
                <m:sty m:val="b"/>
              </m:rPr>
              <w:rPr>
                <w:rFonts w:ascii="Cambria Math" w:hAnsi="Cambria Math"/>
              </w:rPr>
              <m:t>I</m:t>
            </m:r>
          </m:e>
        </m:d>
      </m:oMath>
      <w:r w:rsidRPr="00403B01">
        <w:rPr>
          <w:lang w:val="es-PE"/>
        </w:rPr>
        <w:t xml:space="preserve">, </w:t>
      </w:r>
      <m:oMath>
        <m:r>
          <m:rPr>
            <m:sty m:val="b"/>
          </m:rPr>
          <w:rPr>
            <w:rFonts w:ascii="Cambria Math" w:hAnsi="Cambria Math"/>
          </w:rPr>
          <m:t>σ</m:t>
        </m:r>
      </m:oMath>
      <w:r w:rsidRPr="00403B01">
        <w:rPr>
          <w:lang w:val="es-PE"/>
        </w:rPr>
        <w:t xml:space="preserve"> la desviación estándar de cada característica en entrenamiento y </w:t>
      </w:r>
      <m:oMath>
        <m:r>
          <w:rPr>
            <w:rFonts w:ascii="Cambria Math" w:hAnsi="Cambria Math"/>
          </w:rPr>
          <m:t>ε</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01</m:t>
        </m:r>
      </m:oMath>
      <w:r w:rsidRPr="00403B01">
        <w:rPr>
          <w:lang w:val="es-PE"/>
        </w:rPr>
        <w:t>; solo se aceptan perturbaciones que no cambian la familia predicha (Munilla &amp; Khammas, 2026):</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7D291334"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15AD9E75" w14:textId="77777777" w:rsidR="00902FC3" w:rsidRPr="00403B01" w:rsidRDefault="00902FC3">
            <w:pPr>
              <w:spacing w:after="0"/>
              <w:rPr>
                <w:lang w:val="es-PE"/>
              </w:rPr>
            </w:pPr>
          </w:p>
        </w:tc>
        <w:tc>
          <w:tcPr>
            <w:tcW w:w="7626" w:type="dxa"/>
            <w:vAlign w:val="center"/>
          </w:tcPr>
          <w:p w14:paraId="40A4B191" w14:textId="77777777" w:rsidR="00902FC3" w:rsidRDefault="00000000">
            <w:pPr>
              <w:pStyle w:val="BodyText"/>
              <w:spacing w:before="40" w:after="40"/>
              <w:ind w:firstLine="0"/>
              <w:jc w:val="center"/>
            </w:pPr>
            <m:oMathPara>
              <m:oMathParaPr>
                <m:jc m:val="center"/>
              </m:oMathParaPr>
              <m:oMath>
                <m:r>
                  <w:rPr>
                    <w:rFonts w:ascii="Cambria Math" w:hAnsi="Cambria Math"/>
                  </w:rPr>
                  <m:t>RP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J</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k</m:t>
                        </m:r>
                      </m:sub>
                    </m:sSub>
                    <m:d>
                      <m:dPr>
                        <m:ctrlPr>
                          <w:rPr>
                            <w:rFonts w:ascii="Cambria Math" w:hAnsi="Cambria Math"/>
                          </w:rPr>
                        </m:ctrlPr>
                      </m:dPr>
                      <m:e>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e>
                    </m:d>
                  </m:e>
                </m:d>
              </m:oMath>
            </m:oMathPara>
          </w:p>
        </w:tc>
        <w:tc>
          <w:tcPr>
            <w:tcW w:w="700" w:type="dxa"/>
            <w:vAlign w:val="center"/>
          </w:tcPr>
          <w:p w14:paraId="093CD0F6" w14:textId="77777777" w:rsidR="00902FC3" w:rsidRDefault="00000000">
            <w:pPr>
              <w:spacing w:after="0"/>
              <w:jc w:val="right"/>
            </w:pPr>
            <w:r>
              <w:t>(4)</w:t>
            </w:r>
          </w:p>
        </w:tc>
      </w:tr>
    </w:tbl>
    <w:p w14:paraId="2BD2A7AE" w14:textId="77777777" w:rsidR="00902FC3" w:rsidRDefault="00000000">
      <w:pPr>
        <w:pStyle w:val="FirstParagraph"/>
      </w:pPr>
      <w:r w:rsidRPr="00403B01">
        <w:rPr>
          <w:i/>
          <w:iCs/>
          <w:lang w:val="es-PE"/>
        </w:rPr>
        <w:t>Parsimonia.</w:t>
      </w:r>
      <w:r w:rsidRPr="00403B01">
        <w:rPr>
          <w:lang w:val="es-PE"/>
        </w:rPr>
        <w:t xml:space="preserve"> Mide cuán concentrada está la atribución (Arreche et al., 2024). </w:t>
      </w:r>
      <w:r>
        <w:t xml:space="preserve">Con las </w:t>
      </w:r>
      <w:proofErr w:type="spellStart"/>
      <w:r>
        <w:t>atribuciones</w:t>
      </w:r>
      <w:proofErr w:type="spellEnd"/>
      <w:r>
        <w:t xml:space="preserve"> </w:t>
      </w:r>
      <w:proofErr w:type="spellStart"/>
      <w:r>
        <w:t>ordenadas</w:t>
      </w:r>
      <w:proofErr w:type="spellEnd"/>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d>
                  <m:dPr>
                    <m:ctrlPr>
                      <w:rPr>
                        <w:rFonts w:ascii="Cambria Math" w:hAnsi="Cambria Math"/>
                      </w:rPr>
                    </m:ctrlPr>
                  </m:dPr>
                  <m:e>
                    <m:r>
                      <w:rPr>
                        <w:rFonts w:ascii="Cambria Math" w:hAnsi="Cambria Math"/>
                      </w:rPr>
                      <m:t>1</m:t>
                    </m:r>
                  </m:e>
                </m:d>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d>
                  <m:dPr>
                    <m:ctrlPr>
                      <w:rPr>
                        <w:rFonts w:ascii="Cambria Math" w:hAnsi="Cambria Math"/>
                      </w:rPr>
                    </m:ctrlPr>
                  </m:dPr>
                  <m:e>
                    <m:r>
                      <w:rPr>
                        <w:rFonts w:ascii="Cambria Math" w:hAnsi="Cambria Math"/>
                      </w:rPr>
                      <m:t>d</m:t>
                    </m:r>
                  </m:e>
                </m:d>
              </m:sub>
            </m:sSub>
          </m:e>
        </m:d>
      </m:oMath>
      <w:r>
        <w:t>:</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22AA6C01"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4B77865E" w14:textId="77777777" w:rsidR="00902FC3" w:rsidRDefault="00902FC3">
            <w:pPr>
              <w:spacing w:after="0"/>
            </w:pPr>
          </w:p>
        </w:tc>
        <w:tc>
          <w:tcPr>
            <w:tcW w:w="7626" w:type="dxa"/>
            <w:vAlign w:val="center"/>
          </w:tcPr>
          <w:p w14:paraId="436A9AEA" w14:textId="77777777" w:rsidR="00902FC3" w:rsidRDefault="00000000">
            <w:pPr>
              <w:pStyle w:val="BodyText"/>
              <w:spacing w:before="40" w:after="40"/>
              <w:ind w:firstLine="0"/>
              <w:jc w:val="center"/>
            </w:pPr>
            <m:oMathPara>
              <m:oMathParaPr>
                <m:jc m:val="center"/>
              </m:oMathParaPr>
              <m:oMath>
                <m:r>
                  <w:rPr>
                    <w:rFonts w:ascii="Cambria Math" w:hAnsi="Cambria Math"/>
                  </w:rPr>
                  <m:t>NC80</m:t>
                </m:r>
                <m:d>
                  <m:dPr>
                    <m:ctrlPr>
                      <w:rPr>
                        <w:rFonts w:ascii="Cambria Math" w:hAnsi="Cambria Math"/>
                      </w:rPr>
                    </m:ctrlPr>
                  </m:dPr>
                  <m:e>
                    <m:r>
                      <m:rPr>
                        <m:sty m:val="b"/>
                      </m:rPr>
                      <w:rPr>
                        <w:rFonts w:ascii="Cambria Math" w:hAnsi="Cambria Math"/>
                      </w:rPr>
                      <m:t>x</m:t>
                    </m:r>
                  </m:e>
                </m:d>
                <m:r>
                  <m:rPr>
                    <m:sty m:val="p"/>
                  </m:rPr>
                  <w:rPr>
                    <w:rFonts w:ascii="Cambria Math" w:hAnsi="Cambria Math"/>
                  </w:rPr>
                  <m:t>=min</m:t>
                </m:r>
                <m:d>
                  <m:dPr>
                    <m:begChr m:val="{"/>
                    <m:endChr m:val="}"/>
                    <m:ctrlPr>
                      <w:rPr>
                        <w:rFonts w:ascii="Cambria Math" w:hAnsi="Cambria Math"/>
                      </w:rPr>
                    </m:ctrlPr>
                  </m:dPr>
                  <m:e>
                    <m:r>
                      <w:rPr>
                        <w:rFonts w:ascii="Cambria Math" w:hAnsi="Cambria Math"/>
                      </w:rPr>
                      <m:t>m</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d>
                                      <m:dPr>
                                        <m:ctrlPr>
                                          <w:rPr>
                                            <w:rFonts w:ascii="Cambria Math" w:hAnsi="Cambria Math"/>
                                          </w:rPr>
                                        </m:ctrlPr>
                                      </m:dPr>
                                      <m:e>
                                        <m:r>
                                          <w:rPr>
                                            <w:rFonts w:ascii="Cambria Math" w:hAnsi="Cambria Math"/>
                                          </w:rPr>
                                          <m:t>j</m:t>
                                        </m:r>
                                      </m:e>
                                    </m:d>
                                  </m:sub>
                                </m:sSub>
                              </m:e>
                            </m:d>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e>
                            </m:d>
                          </m:e>
                        </m:nary>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80</m:t>
                    </m:r>
                  </m:e>
                </m:d>
              </m:oMath>
            </m:oMathPara>
          </w:p>
        </w:tc>
        <w:tc>
          <w:tcPr>
            <w:tcW w:w="700" w:type="dxa"/>
            <w:vAlign w:val="center"/>
          </w:tcPr>
          <w:p w14:paraId="6BC5E9E2" w14:textId="77777777" w:rsidR="00902FC3" w:rsidRDefault="00000000">
            <w:pPr>
              <w:spacing w:after="0"/>
              <w:jc w:val="right"/>
            </w:pPr>
            <w:r>
              <w:t>(5)</w:t>
            </w:r>
          </w:p>
        </w:tc>
      </w:tr>
      <w:tr w:rsidR="00902FC3" w14:paraId="5BBDFF6F" w14:textId="77777777" w:rsidTr="00902FC3">
        <w:trPr>
          <w:cantSplit/>
          <w:jc w:val="center"/>
        </w:trPr>
        <w:tc>
          <w:tcPr>
            <w:tcW w:w="700" w:type="dxa"/>
            <w:vAlign w:val="center"/>
          </w:tcPr>
          <w:p w14:paraId="7EFE2139" w14:textId="77777777" w:rsidR="00902FC3" w:rsidRDefault="00902FC3">
            <w:pPr>
              <w:spacing w:after="0"/>
            </w:pPr>
          </w:p>
        </w:tc>
        <w:tc>
          <w:tcPr>
            <w:tcW w:w="7626" w:type="dxa"/>
            <w:vAlign w:val="center"/>
          </w:tcPr>
          <w:p w14:paraId="764D971E" w14:textId="77777777" w:rsidR="00902FC3" w:rsidRDefault="00000000">
            <w:pPr>
              <w:pStyle w:val="FirstParagraph"/>
              <w:spacing w:before="40" w:after="40"/>
              <w:ind w:firstLine="0"/>
              <w:jc w:val="center"/>
            </w:pPr>
            <m:oMathPara>
              <m:oMathParaPr>
                <m:jc m:val="center"/>
              </m:oMathParaPr>
              <m:oMath>
                <m:r>
                  <w:rPr>
                    <w:rFonts w:ascii="Cambria Math" w:hAnsi="Cambria Math"/>
                  </w:rPr>
                  <m:t>CT3</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d>
                                  <m:dPr>
                                    <m:ctrlPr>
                                      <w:rPr>
                                        <w:rFonts w:ascii="Cambria Math" w:hAnsi="Cambria Math"/>
                                      </w:rPr>
                                    </m:ctrlPr>
                                  </m:dPr>
                                  <m:e>
                                    <m:r>
                                      <w:rPr>
                                        <w:rFonts w:ascii="Cambria Math" w:hAnsi="Cambria Math"/>
                                      </w:rPr>
                                      <m:t>j</m:t>
                                    </m:r>
                                  </m:e>
                                </m:d>
                              </m:sub>
                            </m:sSub>
                          </m:e>
                        </m:d>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e>
                        </m:d>
                      </m:e>
                    </m:nary>
                  </m:den>
                </m:f>
              </m:oMath>
            </m:oMathPara>
          </w:p>
        </w:tc>
        <w:tc>
          <w:tcPr>
            <w:tcW w:w="700" w:type="dxa"/>
            <w:vAlign w:val="center"/>
          </w:tcPr>
          <w:p w14:paraId="19AB4D37" w14:textId="77777777" w:rsidR="00902FC3" w:rsidRDefault="00000000">
            <w:pPr>
              <w:spacing w:after="0"/>
              <w:jc w:val="right"/>
            </w:pPr>
            <w:r>
              <w:t>(6)</w:t>
            </w:r>
          </w:p>
        </w:tc>
      </w:tr>
    </w:tbl>
    <w:p w14:paraId="22FD37F7" w14:textId="77777777" w:rsidR="00902FC3" w:rsidRPr="00403B01" w:rsidRDefault="00000000">
      <w:pPr>
        <w:pStyle w:val="FirstParagraph"/>
        <w:rPr>
          <w:lang w:val="es-PE"/>
        </w:rPr>
      </w:pPr>
      <w:r w:rsidRPr="00403B01">
        <w:rPr>
          <w:lang w:val="es-PE"/>
        </w:rPr>
        <w:t xml:space="preserve">Un </w:t>
      </w:r>
      <m:oMath>
        <m:r>
          <w:rPr>
            <w:rFonts w:ascii="Cambria Math" w:hAnsi="Cambria Math"/>
          </w:rPr>
          <m:t>NC</m:t>
        </m:r>
        <m:r>
          <w:rPr>
            <w:rFonts w:ascii="Cambria Math" w:hAnsi="Cambria Math"/>
            <w:lang w:val="es-PE"/>
          </w:rPr>
          <m:t>80</m:t>
        </m:r>
      </m:oMath>
      <w:r w:rsidRPr="00403B01">
        <w:rPr>
          <w:lang w:val="es-PE"/>
        </w:rPr>
        <w:t xml:space="preserve"> menor y un </w:t>
      </w:r>
      <m:oMath>
        <m:r>
          <w:rPr>
            <w:rFonts w:ascii="Cambria Math" w:hAnsi="Cambria Math"/>
          </w:rPr>
          <m:t>CT</m:t>
        </m:r>
        <m:r>
          <w:rPr>
            <w:rFonts w:ascii="Cambria Math" w:hAnsi="Cambria Math"/>
            <w:lang w:val="es-PE"/>
          </w:rPr>
          <m:t>3</m:t>
        </m:r>
      </m:oMath>
      <w:r w:rsidRPr="00403B01">
        <w:rPr>
          <w:lang w:val="es-PE"/>
        </w:rPr>
        <w:t xml:space="preserve"> mayor indican explicaciones más concisas.</w:t>
      </w:r>
    </w:p>
    <w:p w14:paraId="6758D51F" w14:textId="77777777" w:rsidR="00902FC3" w:rsidRPr="00403B01" w:rsidRDefault="00000000">
      <w:pPr>
        <w:pStyle w:val="BodyText"/>
        <w:rPr>
          <w:lang w:val="es-PE"/>
        </w:rPr>
      </w:pPr>
      <w:r w:rsidRPr="00403B01">
        <w:rPr>
          <w:i/>
          <w:iCs/>
          <w:lang w:val="es-PE"/>
        </w:rPr>
        <w:t>Desempeño y costo (variables de control).</w:t>
      </w:r>
      <w:r w:rsidRPr="00403B01">
        <w:rPr>
          <w:lang w:val="es-PE"/>
        </w:rPr>
        <w:t xml:space="preserve"> El detector se evalúa con el F1 macro y con la tasa de falsos positivos de cada familia frente al resto, </w:t>
      </w:r>
      <m:oMath>
        <m:r>
          <w:rPr>
            <w:rFonts w:ascii="Cambria Math" w:hAnsi="Cambria Math"/>
          </w:rPr>
          <m:t>TFP</m:t>
        </m:r>
        <m:r>
          <m:rPr>
            <m:sty m:val="p"/>
          </m:rPr>
          <w:rPr>
            <w:rFonts w:ascii="Cambria Math" w:hAnsi="Cambria Math"/>
            <w:lang w:val="es-PE"/>
          </w:rPr>
          <m:t>=</m:t>
        </m:r>
        <m:r>
          <w:rPr>
            <w:rFonts w:ascii="Cambria Math" w:hAnsi="Cambria Math"/>
          </w:rPr>
          <m:t>FP</m:t>
        </m:r>
        <m:r>
          <m:rPr>
            <m:sty m:val="p"/>
          </m:rPr>
          <w:rPr>
            <w:rFonts w:ascii="Cambria Math" w:hAnsi="Cambria Math"/>
            <w:lang w:val="es-PE"/>
          </w:rPr>
          <m:t>/</m:t>
        </m:r>
        <m:d>
          <m:dPr>
            <m:ctrlPr>
              <w:rPr>
                <w:rFonts w:ascii="Cambria Math" w:hAnsi="Cambria Math"/>
              </w:rPr>
            </m:ctrlPr>
          </m:dPr>
          <m:e>
            <m:r>
              <w:rPr>
                <w:rFonts w:ascii="Cambria Math" w:hAnsi="Cambria Math"/>
              </w:rPr>
              <m:t>FP</m:t>
            </m:r>
            <m:r>
              <m:rPr>
                <m:sty m:val="p"/>
              </m:rPr>
              <w:rPr>
                <w:rFonts w:ascii="Cambria Math" w:hAnsi="Cambria Math"/>
                <w:lang w:val="es-PE"/>
              </w:rPr>
              <m:t>+</m:t>
            </m:r>
            <m:r>
              <w:rPr>
                <w:rFonts w:ascii="Cambria Math" w:hAnsi="Cambria Math"/>
              </w:rPr>
              <m:t>VN</m:t>
            </m:r>
          </m:e>
        </m:d>
      </m:oMath>
      <w:r w:rsidRPr="00403B01">
        <w:rPr>
          <w:lang w:val="es-PE"/>
        </w:rPr>
        <w:t xml:space="preserve">. El costo de cada explicador se mide con el tiempo medio por alerta, </w:t>
      </w:r>
      <m:oMath>
        <m:r>
          <w:rPr>
            <w:rFonts w:ascii="Cambria Math" w:hAnsi="Cambria Math"/>
          </w:rPr>
          <m:t>TME</m:t>
        </m:r>
        <m:r>
          <m:rPr>
            <m:sty m:val="p"/>
          </m:rPr>
          <w:rPr>
            <w:rFonts w:ascii="Cambria Math" w:hAnsi="Cambria Math"/>
            <w:lang w:val="es-PE"/>
          </w:rPr>
          <m:t>=</m:t>
        </m:r>
        <m:f>
          <m:fPr>
            <m:ctrlPr>
              <w:rPr>
                <w:rFonts w:ascii="Cambria Math" w:hAnsi="Cambria Math"/>
              </w:rPr>
            </m:ctrlPr>
          </m:fPr>
          <m:num>
            <m:r>
              <w:rPr>
                <w:rFonts w:ascii="Cambria Math" w:hAnsi="Cambria Math"/>
                <w:lang w:val="es-PE"/>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PE"/>
              </w:rPr>
              <m:t>​</m:t>
            </m:r>
          </m:sup>
          <m:e>
            <m:sSub>
              <m:sSubPr>
                <m:ctrlPr>
                  <w:rPr>
                    <w:rFonts w:ascii="Cambria Math" w:hAnsi="Cambria Math"/>
                  </w:rPr>
                </m:ctrlPr>
              </m:sSubPr>
              <m:e>
                <m:r>
                  <w:rPr>
                    <w:rFonts w:ascii="Cambria Math" w:hAnsi="Cambria Math"/>
                  </w:rPr>
                  <m:t>t</m:t>
                </m:r>
              </m:e>
              <m:sub>
                <m:r>
                  <w:rPr>
                    <w:rFonts w:ascii="Cambria Math" w:hAnsi="Cambria Math"/>
                  </w:rPr>
                  <m:t>i</m:t>
                </m:r>
              </m:sub>
            </m:sSub>
          </m:e>
        </m:nary>
      </m:oMath>
      <w:r w:rsidRPr="00403B01">
        <w:rPr>
          <w:lang w:val="es-PE"/>
        </w:rPr>
        <w:t>, y con la memoria pico. La concordancia entre C1 y C2 se mide con el índice de Jaccard top-</w:t>
      </w:r>
      <m:oMath>
        <m:r>
          <w:rPr>
            <w:rFonts w:ascii="Cambria Math" w:hAnsi="Cambria Math"/>
          </w:rPr>
          <m:t>k</m:t>
        </m:r>
      </m:oMath>
      <w:r w:rsidRPr="00403B01">
        <w:rPr>
          <w:lang w:val="es-PE"/>
        </w:rPr>
        <w:t xml:space="preserve"> y con la correlación de Spearman entre sus rankings.</w:t>
      </w:r>
    </w:p>
    <w:p w14:paraId="55F4F0A9" w14:textId="77777777" w:rsidR="00902FC3" w:rsidRPr="00403B01" w:rsidRDefault="00000000">
      <w:pPr>
        <w:pStyle w:val="Heading2"/>
        <w:rPr>
          <w:lang w:val="es-PE"/>
        </w:rPr>
      </w:pPr>
      <w:bookmarkStart w:id="8" w:name="análisis-estadístico"/>
      <w:bookmarkEnd w:id="7"/>
      <w:r w:rsidRPr="00403B01">
        <w:rPr>
          <w:lang w:val="es-PE"/>
        </w:rPr>
        <w:t>3.6 Análisis estadístico</w:t>
      </w:r>
    </w:p>
    <w:p w14:paraId="30C15A8A" w14:textId="77777777" w:rsidR="00902FC3" w:rsidRPr="00403B01" w:rsidRDefault="00000000">
      <w:pPr>
        <w:pStyle w:val="FirstParagraph"/>
        <w:rPr>
          <w:lang w:val="es-PE"/>
        </w:rPr>
      </w:pPr>
      <w:r w:rsidRPr="00403B01">
        <w:rPr>
          <w:lang w:val="es-PE"/>
        </w:rPr>
        <w:t xml:space="preserve">Como las métricas no siguen necesariamente una distribución normal y se observan sobre las mismas alertas, se emplean pruebas no paramétricas para muestras relacionadas (Demšar, 2006). Para </w:t>
      </w:r>
      <m:oMath>
        <m:r>
          <w:rPr>
            <w:rFonts w:ascii="Cambria Math" w:hAnsi="Cambria Math"/>
          </w:rPr>
          <m:t>Δp</m:t>
        </m:r>
        <m:r>
          <m:rPr>
            <m:sty m:val="p"/>
          </m:rPr>
          <w:rPr>
            <w:rFonts w:ascii="Cambria Math" w:hAnsi="Cambria Math"/>
            <w:lang w:val="es-PE"/>
          </w:rPr>
          <m:t>@</m:t>
        </m:r>
        <m:r>
          <w:rPr>
            <w:rFonts w:ascii="Cambria Math" w:hAnsi="Cambria Math"/>
          </w:rPr>
          <m:t>k</m:t>
        </m:r>
      </m:oMath>
      <w:r w:rsidRPr="00403B01">
        <w:rPr>
          <w:lang w:val="es-PE"/>
        </w:rPr>
        <w:t xml:space="preserve">, </w:t>
      </w:r>
      <m:oMath>
        <m:r>
          <w:rPr>
            <w:rFonts w:ascii="Cambria Math" w:hAnsi="Cambria Math"/>
          </w:rPr>
          <m:t>NC</m:t>
        </m:r>
        <m:r>
          <w:rPr>
            <w:rFonts w:ascii="Cambria Math" w:hAnsi="Cambria Math"/>
            <w:lang w:val="es-PE"/>
          </w:rPr>
          <m:t>80</m:t>
        </m:r>
      </m:oMath>
      <w:r w:rsidRPr="00403B01">
        <w:rPr>
          <w:lang w:val="es-PE"/>
        </w:rPr>
        <w:t xml:space="preserve"> y </w:t>
      </w:r>
      <m:oMath>
        <m:r>
          <w:rPr>
            <w:rFonts w:ascii="Cambria Math" w:hAnsi="Cambria Math"/>
          </w:rPr>
          <m:t>CT</m:t>
        </m:r>
        <m:r>
          <w:rPr>
            <w:rFonts w:ascii="Cambria Math" w:hAnsi="Cambria Math"/>
            <w:lang w:val="es-PE"/>
          </w:rPr>
          <m:t>3</m:t>
        </m:r>
      </m:oMath>
      <w:r w:rsidRPr="00403B01">
        <w:rPr>
          <w:lang w:val="es-PE"/>
        </w:rPr>
        <w:t xml:space="preserve"> se aplica la prueba de Friedman:</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31964766"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04BB1D21" w14:textId="77777777" w:rsidR="00902FC3" w:rsidRPr="00403B01" w:rsidRDefault="00902FC3">
            <w:pPr>
              <w:spacing w:after="0"/>
              <w:rPr>
                <w:lang w:val="es-PE"/>
              </w:rPr>
            </w:pPr>
          </w:p>
        </w:tc>
        <w:tc>
          <w:tcPr>
            <w:tcW w:w="7626" w:type="dxa"/>
            <w:vAlign w:val="center"/>
          </w:tcPr>
          <w:p w14:paraId="195928EC" w14:textId="77777777" w:rsidR="00902FC3" w:rsidRDefault="00000000">
            <w:pPr>
              <w:pStyle w:val="BodyText"/>
              <w:spacing w:before="40" w:after="40"/>
              <w:ind w:firstLine="0"/>
              <w:jc w:val="center"/>
            </w:pPr>
            <m:oMathPara>
              <m:oMathParaPr>
                <m:jc m:val="center"/>
              </m:oMathParaP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12n</m:t>
                    </m:r>
                  </m:num>
                  <m:den>
                    <m:r>
                      <w:rPr>
                        <w:rFonts w:ascii="Cambria Math" w:hAnsi="Cambria Math"/>
                      </w:rPr>
                      <m:t>q</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den>
                </m:f>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q</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R</m:t>
                                </m:r>
                              </m:e>
                            </m:acc>
                          </m:e>
                          <m:sub>
                            <m:r>
                              <w:rPr>
                                <w:rFonts w:ascii="Cambria Math" w:hAnsi="Cambria Math"/>
                              </w:rPr>
                              <m:t>j</m:t>
                            </m:r>
                          </m:sub>
                          <m:sup>
                            <m:r>
                              <w:rPr>
                                <w:rFonts w:ascii="Cambria Math" w:hAnsi="Cambria Math"/>
                              </w:rPr>
                              <m:t> 2</m:t>
                            </m:r>
                          </m:sup>
                        </m:sSubSup>
                      </m:e>
                    </m:nary>
                    <m:r>
                      <m:rPr>
                        <m:sty m:val="p"/>
                      </m:rP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e>
                          <m:sup>
                            <m:r>
                              <w:rPr>
                                <w:rFonts w:ascii="Cambria Math" w:hAnsi="Cambria Math"/>
                              </w:rPr>
                              <m:t>2</m:t>
                            </m:r>
                          </m:sup>
                        </m:sSup>
                      </m:num>
                      <m:den>
                        <m:r>
                          <w:rPr>
                            <w:rFonts w:ascii="Cambria Math" w:hAnsi="Cambria Math"/>
                          </w:rPr>
                          <m:t>4</m:t>
                        </m:r>
                      </m:den>
                    </m:f>
                  </m:e>
                </m:d>
              </m:oMath>
            </m:oMathPara>
          </w:p>
        </w:tc>
        <w:tc>
          <w:tcPr>
            <w:tcW w:w="700" w:type="dxa"/>
            <w:vAlign w:val="center"/>
          </w:tcPr>
          <w:p w14:paraId="0C83A67A" w14:textId="77777777" w:rsidR="00902FC3" w:rsidRDefault="00000000">
            <w:pPr>
              <w:spacing w:after="0"/>
              <w:jc w:val="right"/>
            </w:pPr>
            <w:r>
              <w:t>(7)</w:t>
            </w:r>
          </w:p>
        </w:tc>
      </w:tr>
    </w:tbl>
    <w:p w14:paraId="6D3DECEB" w14:textId="77777777" w:rsidR="00902FC3" w:rsidRPr="00403B01" w:rsidRDefault="00000000">
      <w:pPr>
        <w:pStyle w:val="FirstParagraph"/>
        <w:rPr>
          <w:lang w:val="es-PE"/>
        </w:rPr>
      </w:pPr>
      <w:r w:rsidRPr="00403B01">
        <w:rPr>
          <w:lang w:val="es-PE"/>
        </w:rPr>
        <w:t xml:space="preserve">donde </w:t>
      </w:r>
      <m:oMath>
        <m:r>
          <w:rPr>
            <w:rFonts w:ascii="Cambria Math" w:hAnsi="Cambria Math"/>
          </w:rPr>
          <m:t>q</m:t>
        </m:r>
        <m:r>
          <m:rPr>
            <m:sty m:val="p"/>
          </m:rPr>
          <w:rPr>
            <w:rFonts w:ascii="Cambria Math" w:hAnsi="Cambria Math"/>
            <w:lang w:val="es-PE"/>
          </w:rPr>
          <m:t>=</m:t>
        </m:r>
        <m:r>
          <w:rPr>
            <w:rFonts w:ascii="Cambria Math" w:hAnsi="Cambria Math"/>
            <w:lang w:val="es-PE"/>
          </w:rPr>
          <m:t>3</m:t>
        </m:r>
      </m:oMath>
      <w:r w:rsidRPr="00403B01">
        <w:rPr>
          <w:lang w:val="es-PE"/>
        </w:rPr>
        <w:t xml:space="preserve"> es el número de condiciones y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j</m:t>
            </m:r>
          </m:sub>
        </m:sSub>
      </m:oMath>
      <w:r w:rsidRPr="00403B01">
        <w:rPr>
          <w:lang w:val="es-PE"/>
        </w:rPr>
        <w:t xml:space="preserve"> el rango medio de la condición </w:t>
      </w:r>
      <m:oMath>
        <m:r>
          <w:rPr>
            <w:rFonts w:ascii="Cambria Math" w:hAnsi="Cambria Math"/>
          </w:rPr>
          <m:t>j</m:t>
        </m:r>
      </m:oMath>
      <w:r w:rsidRPr="00403B01">
        <w:rPr>
          <w:lang w:val="es-PE"/>
        </w:rPr>
        <w:t xml:space="preserve">; el tamaño del efecto es la </w:t>
      </w:r>
      <m:oMath>
        <m:r>
          <w:rPr>
            <w:rFonts w:ascii="Cambria Math" w:hAnsi="Cambria Math"/>
          </w:rPr>
          <m:t>W</m:t>
        </m:r>
      </m:oMath>
      <w:r w:rsidRPr="00403B01">
        <w:rPr>
          <w:lang w:val="es-PE"/>
        </w:rPr>
        <w:t xml:space="preserve"> de Kendall, </w:t>
      </w:r>
      <m:oMath>
        <m:r>
          <w:rPr>
            <w:rFonts w:ascii="Cambria Math" w:hAnsi="Cambria Math"/>
          </w:rPr>
          <m:t>W</m:t>
        </m:r>
        <m:r>
          <m:rPr>
            <m:sty m:val="p"/>
          </m:rPr>
          <w:rPr>
            <w:rFonts w:ascii="Cambria Math" w:hAnsi="Cambria Math"/>
            <w:lang w:val="es-PE"/>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lang w:val="es-PE"/>
              </w:rPr>
              <m:t>2</m:t>
            </m:r>
          </m:sup>
        </m:sSubSup>
        <m:r>
          <m:rPr>
            <m:sty m:val="p"/>
          </m:rPr>
          <w:rPr>
            <w:rFonts w:ascii="Cambria Math" w:hAnsi="Cambria Math"/>
            <w:lang w:val="es-PE"/>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lang w:val="es-PE"/>
                  </w:rPr>
                  <m:t>-</m:t>
                </m:r>
                <m:r>
                  <w:rPr>
                    <w:rFonts w:ascii="Cambria Math" w:hAnsi="Cambria Math"/>
                    <w:lang w:val="es-PE"/>
                  </w:rPr>
                  <m:t>1</m:t>
                </m:r>
              </m:e>
            </m:d>
          </m:e>
        </m:d>
      </m:oMath>
      <w:r w:rsidRPr="00403B01">
        <w:rPr>
          <w:lang w:val="es-PE"/>
        </w:rPr>
        <w:t xml:space="preserve">. Como la inversión de la decisión es dicotómica en cada alerta, se contrasta con la prueba </w:t>
      </w:r>
      <m:oMath>
        <m:r>
          <w:rPr>
            <w:rFonts w:ascii="Cambria Math" w:hAnsi="Cambria Math"/>
          </w:rPr>
          <m:t>Q</m:t>
        </m:r>
      </m:oMath>
      <w:r w:rsidRPr="00403B01">
        <w:rPr>
          <w:lang w:val="es-PE"/>
        </w:rPr>
        <w:t xml:space="preserve"> de Cochran. Las comparaciones post hoc (C1 frente a C0, C2 frente a C0 y C1 frente a C2) usan la prueba de Wilcoxon de rangos con signo, o la de McNemar para </w:t>
      </w:r>
      <m:oMath>
        <m:r>
          <w:rPr>
            <w:rFonts w:ascii="Cambria Math" w:hAnsi="Cambria Math"/>
          </w:rPr>
          <m:t>TID</m:t>
        </m:r>
        <m:r>
          <m:rPr>
            <m:sty m:val="p"/>
          </m:rPr>
          <w:rPr>
            <w:rFonts w:ascii="Cambria Math" w:hAnsi="Cambria Math"/>
            <w:lang w:val="es-PE"/>
          </w:rPr>
          <m:t>@</m:t>
        </m:r>
        <m:r>
          <w:rPr>
            <w:rFonts w:ascii="Cambria Math" w:hAnsi="Cambria Math"/>
          </w:rPr>
          <m:t>k</m:t>
        </m:r>
      </m:oMath>
      <w:r w:rsidRPr="00403B01">
        <w:rPr>
          <w:lang w:val="es-PE"/>
        </w:rPr>
        <w:t xml:space="preserve">, con la corrección de Holm: se ordenan los </w:t>
      </w:r>
      <m:oMath>
        <m:r>
          <w:rPr>
            <w:rFonts w:ascii="Cambria Math" w:hAnsi="Cambria Math"/>
          </w:rPr>
          <m:t>m</m:t>
        </m:r>
      </m:oMath>
      <w:r w:rsidRPr="00403B01">
        <w:rPr>
          <w:lang w:val="es-PE"/>
        </w:rPr>
        <w:t xml:space="preserve"> valores </w:t>
      </w:r>
      <m:oMath>
        <m:r>
          <w:rPr>
            <w:rFonts w:ascii="Cambria Math" w:hAnsi="Cambria Math"/>
          </w:rPr>
          <m:t>p</m:t>
        </m:r>
      </m:oMath>
      <w:r w:rsidRPr="00403B01">
        <w:rPr>
          <w:lang w:val="es-PE"/>
        </w:rPr>
        <w:t xml:space="preserve"> y se rechaza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i</m:t>
                </m:r>
              </m:e>
            </m:d>
          </m:sub>
        </m:sSub>
      </m:oMath>
      <w:r w:rsidRPr="00403B01">
        <w:rPr>
          <w:lang w:val="es-PE"/>
        </w:rPr>
        <w:t xml:space="preserve"> mientras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m:t>
                </m:r>
              </m:e>
            </m:d>
          </m:sub>
        </m:sSub>
        <m:r>
          <m:rPr>
            <m:sty m:val="p"/>
          </m:rPr>
          <w:rPr>
            <w:rFonts w:ascii="Cambria Math" w:hAnsi="Cambria Math"/>
            <w:lang w:val="es-PE"/>
          </w:rPr>
          <m:t>≤</m:t>
        </m:r>
        <m:r>
          <w:rPr>
            <w:rFonts w:ascii="Cambria Math" w:hAnsi="Cambria Math"/>
          </w:rPr>
          <m:t>α</m:t>
        </m:r>
        <m:r>
          <m:rPr>
            <m:sty m:val="p"/>
          </m:rPr>
          <w:rPr>
            <w:rFonts w:ascii="Cambria Math" w:hAnsi="Cambria Math"/>
            <w:lang w:val="es-PE"/>
          </w:rPr>
          <m:t>/</m:t>
        </m:r>
        <m:d>
          <m:dPr>
            <m:ctrlPr>
              <w:rPr>
                <w:rFonts w:ascii="Cambria Math" w:hAnsi="Cambria Math"/>
              </w:rPr>
            </m:ctrlPr>
          </m:dPr>
          <m:e>
            <m:r>
              <w:rPr>
                <w:rFonts w:ascii="Cambria Math" w:hAnsi="Cambria Math"/>
              </w:rPr>
              <m:t>m</m:t>
            </m:r>
            <m:r>
              <m:rPr>
                <m:sty m:val="p"/>
              </m:rPr>
              <w:rPr>
                <w:rFonts w:ascii="Cambria Math" w:hAnsi="Cambria Math"/>
                <w:lang w:val="es-PE"/>
              </w:rPr>
              <m:t>-</m:t>
            </m:r>
            <m:r>
              <w:rPr>
                <w:rFonts w:ascii="Cambria Math" w:hAnsi="Cambria Math"/>
              </w:rPr>
              <m:t>i</m:t>
            </m:r>
            <m:r>
              <m:rPr>
                <m:sty m:val="p"/>
              </m:rPr>
              <w:rPr>
                <w:rFonts w:ascii="Cambria Math" w:hAnsi="Cambria Math"/>
                <w:lang w:val="es-PE"/>
              </w:rPr>
              <m:t>+</m:t>
            </m:r>
            <m:r>
              <w:rPr>
                <w:rFonts w:ascii="Cambria Math" w:hAnsi="Cambria Math"/>
                <w:lang w:val="es-PE"/>
              </w:rPr>
              <m:t>1</m:t>
            </m:r>
          </m:e>
        </m:d>
      </m:oMath>
      <w:r w:rsidRPr="00403B01">
        <w:rPr>
          <w:lang w:val="es-PE"/>
        </w:rPr>
        <w:t xml:space="preserve"> (Holm, 1979). El tamaño del efecto se reporta como </w:t>
      </w:r>
      <m:oMath>
        <m:r>
          <w:rPr>
            <w:rFonts w:ascii="Cambria Math" w:hAnsi="Cambria Math"/>
          </w:rPr>
          <m:t>r</m:t>
        </m:r>
        <m:r>
          <m:rPr>
            <m:sty m:val="p"/>
          </m:rPr>
          <w:rPr>
            <w:rFonts w:ascii="Cambria Math" w:hAnsi="Cambria Math"/>
            <w:lang w:val="es-PE"/>
          </w:rPr>
          <m:t>=</m:t>
        </m:r>
        <m:r>
          <w:rPr>
            <w:rFonts w:ascii="Cambria Math" w:hAnsi="Cambria Math"/>
          </w:rPr>
          <m:t>Z</m:t>
        </m:r>
        <m:r>
          <m:rPr>
            <m:sty m:val="p"/>
          </m:rPr>
          <w:rPr>
            <w:rFonts w:ascii="Cambria Math" w:hAnsi="Cambria Math"/>
            <w:lang w:val="es-PE"/>
          </w:rPr>
          <m:t>/</m:t>
        </m:r>
        <m:rad>
          <m:radPr>
            <m:degHide m:val="1"/>
            <m:ctrlPr>
              <w:rPr>
                <w:rFonts w:ascii="Cambria Math" w:hAnsi="Cambria Math"/>
              </w:rPr>
            </m:ctrlPr>
          </m:radPr>
          <m:deg/>
          <m:e>
            <m:r>
              <w:rPr>
                <w:rFonts w:ascii="Cambria Math" w:hAnsi="Cambria Math"/>
              </w:rPr>
              <m:t>n</m:t>
            </m:r>
          </m:e>
        </m:rad>
      </m:oMath>
      <w:r w:rsidRPr="00403B01">
        <w:rPr>
          <w:lang w:val="es-PE"/>
        </w:rPr>
        <w:t xml:space="preserve"> (Fritz et al., 2012). H.E.2 se contrasta con la prueba de Wilcoxon de una muestra, unilateral, frente al valor de referencia 0,80. En todos los casos, </w:t>
      </w:r>
      <m:oMath>
        <m:r>
          <w:rPr>
            <w:rFonts w:ascii="Cambria Math" w:hAnsi="Cambria Math"/>
          </w:rPr>
          <m:t>α</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05</m:t>
        </m:r>
      </m:oMath>
      <w:r w:rsidRPr="00403B01">
        <w:rPr>
          <w:lang w:val="es-PE"/>
        </w:rPr>
        <w:t>.</w:t>
      </w:r>
    </w:p>
    <w:p w14:paraId="7BB6DD8B" w14:textId="77777777" w:rsidR="00902FC3" w:rsidRPr="00403B01" w:rsidRDefault="00000000">
      <w:pPr>
        <w:pStyle w:val="Heading1"/>
        <w:rPr>
          <w:lang w:val="es-PE"/>
        </w:rPr>
      </w:pPr>
      <w:bookmarkStart w:id="9" w:name="desarrollo"/>
      <w:bookmarkEnd w:id="2"/>
      <w:bookmarkEnd w:id="8"/>
      <w:r w:rsidRPr="00403B01">
        <w:rPr>
          <w:lang w:val="es-PE"/>
        </w:rPr>
        <w:t>4. Desarrollo</w:t>
      </w:r>
    </w:p>
    <w:p w14:paraId="315E062C" w14:textId="77777777" w:rsidR="00902FC3" w:rsidRPr="00403B01" w:rsidRDefault="00000000">
      <w:pPr>
        <w:pStyle w:val="FirstParagraph"/>
        <w:rPr>
          <w:lang w:val="es-PE"/>
        </w:rPr>
      </w:pPr>
      <w:r w:rsidRPr="00403B01">
        <w:rPr>
          <w:lang w:val="es-PE"/>
        </w:rPr>
        <w:t xml:space="preserve">Los modelos se organizan en tres niveles jerárquicos: (a) el detector, que asigna a cada alerta una familia de </w:t>
      </w:r>
      <w:proofErr w:type="gramStart"/>
      <w:r w:rsidRPr="00403B01">
        <w:rPr>
          <w:lang w:val="es-PE"/>
        </w:rPr>
        <w:t>malware</w:t>
      </w:r>
      <w:proofErr w:type="gramEnd"/>
      <w:r w:rsidRPr="00403B01">
        <w:rPr>
          <w:lang w:val="es-PE"/>
        </w:rPr>
        <w:t>; (b) los explicadores, que asocian a cada alerta un vector de atribuciones; y (c) el evaluador, que mide la calidad de esas explicaciones.</w:t>
      </w:r>
    </w:p>
    <w:p w14:paraId="7F1F9661" w14:textId="77777777" w:rsidR="00902FC3" w:rsidRPr="00403B01" w:rsidRDefault="00000000">
      <w:pPr>
        <w:pStyle w:val="Heading2"/>
        <w:rPr>
          <w:lang w:val="es-PE"/>
        </w:rPr>
      </w:pPr>
      <w:bookmarkStart w:id="10" w:name="detector-random-forest"/>
      <w:r w:rsidRPr="00403B01">
        <w:rPr>
          <w:lang w:val="es-PE"/>
        </w:rPr>
        <w:t>4.1 Detector: Random Forest</w:t>
      </w:r>
    </w:p>
    <w:p w14:paraId="79D9039E" w14:textId="77777777" w:rsidR="00902FC3" w:rsidRPr="00403B01" w:rsidRDefault="00000000">
      <w:pPr>
        <w:pStyle w:val="FirstParagraph"/>
        <w:rPr>
          <w:lang w:val="es-PE"/>
        </w:rPr>
      </w:pPr>
      <w:r w:rsidRPr="00403B01">
        <w:rPr>
          <w:lang w:val="es-PE"/>
        </w:rPr>
        <w:t xml:space="preserve">Random Forest combina </w:t>
      </w:r>
      <m:oMath>
        <m:r>
          <w:rPr>
            <w:rFonts w:ascii="Cambria Math" w:hAnsi="Cambria Math"/>
          </w:rPr>
          <m:t>T</m:t>
        </m:r>
      </m:oMath>
      <w:r w:rsidRPr="00403B01">
        <w:rPr>
          <w:lang w:val="es-PE"/>
        </w:rPr>
        <w:t xml:space="preserve"> árboles de decisión entrenados sobre muestras bootstrap, con un subconjunto aleatorio de características en cada división (Breiman, 2001). En la implementación de scikit-learn, la probabilidad de cada familia </w:t>
      </w:r>
      <m:oMath>
        <m:r>
          <w:rPr>
            <w:rFonts w:ascii="Cambria Math" w:hAnsi="Cambria Math"/>
          </w:rPr>
          <m:t>c</m:t>
        </m:r>
      </m:oMath>
      <w:r w:rsidRPr="00403B01">
        <w:rPr>
          <w:lang w:val="es-PE"/>
        </w:rPr>
        <w:t xml:space="preserve"> es el promedio de las probabilidades estimadas por los árboles:</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475D5B06"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156CB252" w14:textId="77777777" w:rsidR="00902FC3" w:rsidRPr="00403B01" w:rsidRDefault="00902FC3">
            <w:pPr>
              <w:spacing w:after="0"/>
              <w:rPr>
                <w:lang w:val="es-PE"/>
              </w:rPr>
            </w:pPr>
          </w:p>
        </w:tc>
        <w:tc>
          <w:tcPr>
            <w:tcW w:w="7626" w:type="dxa"/>
            <w:vAlign w:val="center"/>
          </w:tcPr>
          <w:p w14:paraId="0601B940" w14:textId="77777777" w:rsidR="00902FC3" w:rsidRDefault="00000000">
            <w:pPr>
              <w:pStyle w:val="BodyText"/>
              <w:spacing w:before="40" w:after="40"/>
              <w:ind w:firstLine="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c</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m:oMathPara>
          </w:p>
        </w:tc>
        <w:tc>
          <w:tcPr>
            <w:tcW w:w="700" w:type="dxa"/>
            <w:vAlign w:val="center"/>
          </w:tcPr>
          <w:p w14:paraId="0B2C8E57" w14:textId="77777777" w:rsidR="00902FC3" w:rsidRDefault="00000000">
            <w:pPr>
              <w:spacing w:after="0"/>
              <w:jc w:val="right"/>
            </w:pPr>
            <w:r>
              <w:t>(8)</w:t>
            </w:r>
          </w:p>
        </w:tc>
      </w:tr>
    </w:tbl>
    <w:p w14:paraId="6379D097" w14:textId="77777777" w:rsidR="00902FC3" w:rsidRPr="00403B01" w:rsidRDefault="00000000">
      <w:pPr>
        <w:pStyle w:val="FirstParagraph"/>
        <w:rPr>
          <w:lang w:val="es-PE"/>
        </w:rPr>
      </w:pPr>
      <w:r w:rsidRPr="00403B01">
        <w:rPr>
          <w:lang w:val="es-PE"/>
        </w:rPr>
        <w:t xml:space="preserve">Cada división minimiza la impureza de Gini </w:t>
      </w:r>
      <m:oMath>
        <m:r>
          <w:rPr>
            <w:rFonts w:ascii="Cambria Math" w:hAnsi="Cambria Math"/>
          </w:rPr>
          <m:t>G</m:t>
        </m:r>
        <m:d>
          <m:dPr>
            <m:ctrlPr>
              <w:rPr>
                <w:rFonts w:ascii="Cambria Math" w:hAnsi="Cambria Math"/>
              </w:rPr>
            </m:ctrlPr>
          </m:dPr>
          <m:e>
            <m:r>
              <w:rPr>
                <w:rFonts w:ascii="Cambria Math" w:hAnsi="Cambria Math"/>
              </w:rPr>
              <m:t>ν</m:t>
            </m:r>
          </m:e>
        </m:d>
        <m:r>
          <m:rPr>
            <m:sty m:val="p"/>
          </m:rPr>
          <w:rPr>
            <w:rFonts w:ascii="Cambria Math" w:hAnsi="Cambria Math"/>
            <w:lang w:val="es-PE"/>
          </w:rPr>
          <m:t>=</m:t>
        </m:r>
        <m:r>
          <w:rPr>
            <w:rFonts w:ascii="Cambria Math" w:hAnsi="Cambria Math"/>
            <w:lang w:val="es-PE"/>
          </w:rPr>
          <m:t>1</m:t>
        </m:r>
        <m:r>
          <m:rPr>
            <m:sty m:val="p"/>
          </m:rPr>
          <w:rPr>
            <w:rFonts w:ascii="Cambria Math" w:hAnsi="Cambria Math"/>
            <w:lang w:val="es-PE"/>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lang w:val="es-PE"/>
              </w:rPr>
              <m:t>​</m:t>
            </m:r>
          </m:sup>
          <m:e>
            <m:sSubSup>
              <m:sSubSupPr>
                <m:ctrlPr>
                  <w:rPr>
                    <w:rFonts w:ascii="Cambria Math" w:hAnsi="Cambria Math"/>
                  </w:rPr>
                </m:ctrlPr>
              </m:sSubSupPr>
              <m:e>
                <m:r>
                  <w:rPr>
                    <w:rFonts w:ascii="Cambria Math" w:hAnsi="Cambria Math"/>
                  </w:rPr>
                  <m:t>p</m:t>
                </m:r>
              </m:e>
              <m:sub>
                <m:r>
                  <w:rPr>
                    <w:rFonts w:ascii="Cambria Math" w:hAnsi="Cambria Math"/>
                  </w:rPr>
                  <m:t>ν</m:t>
                </m:r>
                <m:r>
                  <m:rPr>
                    <m:sty m:val="p"/>
                  </m:rPr>
                  <w:rPr>
                    <w:rFonts w:ascii="Cambria Math" w:hAnsi="Cambria Math"/>
                    <w:lang w:val="es-PE"/>
                  </w:rPr>
                  <m:t>,</m:t>
                </m:r>
                <m:r>
                  <w:rPr>
                    <w:rFonts w:ascii="Cambria Math" w:hAnsi="Cambria Math"/>
                  </w:rPr>
                  <m:t>c</m:t>
                </m:r>
              </m:sub>
              <m:sup>
                <m:r>
                  <w:rPr>
                    <w:rFonts w:ascii="Cambria Math" w:hAnsi="Cambria Math"/>
                    <w:lang w:val="es-PE"/>
                  </w:rPr>
                  <m:t>2</m:t>
                </m:r>
              </m:sup>
            </m:sSubSup>
          </m:e>
        </m:nary>
      </m:oMath>
      <w:r w:rsidRPr="00403B01">
        <w:rPr>
          <w:lang w:val="es-PE"/>
        </w:rPr>
        <w:t xml:space="preserve">. Se usaron </w:t>
      </w:r>
      <m:oMath>
        <m:r>
          <w:rPr>
            <w:rFonts w:ascii="Cambria Math" w:hAnsi="Cambria Math"/>
          </w:rPr>
          <m:t>T</m:t>
        </m:r>
        <m:r>
          <m:rPr>
            <m:sty m:val="p"/>
          </m:rPr>
          <w:rPr>
            <w:rFonts w:ascii="Cambria Math" w:hAnsi="Cambria Math"/>
            <w:lang w:val="es-PE"/>
          </w:rPr>
          <m:t>=</m:t>
        </m:r>
        <m:r>
          <w:rPr>
            <w:rFonts w:ascii="Cambria Math" w:hAnsi="Cambria Math"/>
            <w:lang w:val="es-PE"/>
          </w:rPr>
          <m:t>100</m:t>
        </m:r>
      </m:oMath>
      <w:r w:rsidRPr="00403B01">
        <w:rPr>
          <w:lang w:val="es-PE"/>
        </w:rPr>
        <w:t xml:space="preserve"> árboles con profundidad máxima de 20, para acotar el costo de TreeSHAP sin sacrificar desempeño, y pesos de clase balanceados en cada muestra bootstrap. La condición de línea base (C0) es la importancia MDI, que acumula la reducción ponderada de impureza que produce cada característica </w:t>
      </w:r>
      <m:oMath>
        <m:r>
          <w:rPr>
            <w:rFonts w:ascii="Cambria Math" w:hAnsi="Cambria Math"/>
          </w:rPr>
          <m:t>j</m:t>
        </m:r>
      </m:oMath>
      <w:r w:rsidRPr="00403B01">
        <w:rPr>
          <w:lang w:val="es-PE"/>
        </w:rPr>
        <w:t xml:space="preserve"> en los nodos </w:t>
      </w:r>
      <m:oMath>
        <m:r>
          <w:rPr>
            <w:rFonts w:ascii="Cambria Math" w:hAnsi="Cambria Math"/>
          </w:rPr>
          <m:t>ν</m:t>
        </m:r>
      </m:oMath>
      <w:r w:rsidRPr="00403B01">
        <w:rPr>
          <w:lang w:val="es-PE"/>
        </w:rPr>
        <w:t xml:space="preserve"> que la usan para dividir:</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3F62FF9B"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534421C6" w14:textId="77777777" w:rsidR="00902FC3" w:rsidRPr="00403B01" w:rsidRDefault="00902FC3">
            <w:pPr>
              <w:spacing w:after="0"/>
              <w:rPr>
                <w:lang w:val="es-PE"/>
              </w:rPr>
            </w:pPr>
          </w:p>
        </w:tc>
        <w:tc>
          <w:tcPr>
            <w:tcW w:w="7626" w:type="dxa"/>
            <w:vAlign w:val="center"/>
          </w:tcPr>
          <w:p w14:paraId="77D07880" w14:textId="77777777" w:rsidR="00902FC3" w:rsidRDefault="00000000">
            <w:pPr>
              <w:pStyle w:val="BodyText"/>
              <w:spacing w:before="40" w:after="40"/>
              <w:ind w:firstLine="0"/>
              <w:jc w:val="center"/>
            </w:pPr>
            <m:oMathPara>
              <m:oMathParaPr>
                <m:jc m:val="center"/>
              </m:oMathParaPr>
              <m:oMath>
                <m:r>
                  <w:rPr>
                    <w:rFonts w:ascii="Cambria Math" w:hAnsi="Cambria Math"/>
                  </w:rPr>
                  <m:t>MD</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supHide m:val="1"/>
                        <m:ctrlPr>
                          <w:rPr>
                            <w:rFonts w:ascii="Cambria Math" w:hAnsi="Cambria Math"/>
                          </w:rPr>
                        </m:ctrlPr>
                      </m:naryPr>
                      <m:sub>
                        <m:r>
                          <w:rPr>
                            <w:rFonts w:ascii="Cambria Math" w:hAnsi="Cambria Math"/>
                          </w:rPr>
                          <m:t>ν</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v</m:t>
                        </m:r>
                        <m:d>
                          <m:dPr>
                            <m:ctrlPr>
                              <w:rPr>
                                <w:rFonts w:ascii="Cambria Math" w:hAnsi="Cambria Math"/>
                              </w:rPr>
                            </m:ctrlPr>
                          </m:dPr>
                          <m:e>
                            <m:r>
                              <w:rPr>
                                <w:rFonts w:ascii="Cambria Math" w:hAnsi="Cambria Math"/>
                              </w:rPr>
                              <m:t>ν</m:t>
                            </m:r>
                          </m:e>
                        </m:d>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ν</m:t>
                                </m:r>
                              </m:sub>
                            </m:sSub>
                          </m:num>
                          <m:den>
                            <m:r>
                              <w:rPr>
                                <w:rFonts w:ascii="Cambria Math" w:hAnsi="Cambria Math"/>
                              </w:rPr>
                              <m:t>N</m:t>
                            </m:r>
                          </m:den>
                        </m:f>
                      </m:e>
                    </m:nary>
                  </m:e>
                </m:nary>
                <m:r>
                  <w:rPr>
                    <w:rFonts w:ascii="Cambria Math" w:hAnsi="Cambria Math"/>
                  </w:rPr>
                  <m:t> ΔG</m:t>
                </m:r>
                <m:d>
                  <m:dPr>
                    <m:ctrlPr>
                      <w:rPr>
                        <w:rFonts w:ascii="Cambria Math" w:hAnsi="Cambria Math"/>
                      </w:rPr>
                    </m:ctrlPr>
                  </m:dPr>
                  <m:e>
                    <m:r>
                      <w:rPr>
                        <w:rFonts w:ascii="Cambria Math" w:hAnsi="Cambria Math"/>
                      </w:rPr>
                      <m:t>ν</m:t>
                    </m:r>
                  </m:e>
                </m:d>
              </m:oMath>
            </m:oMathPara>
          </w:p>
        </w:tc>
        <w:tc>
          <w:tcPr>
            <w:tcW w:w="700" w:type="dxa"/>
            <w:vAlign w:val="center"/>
          </w:tcPr>
          <w:p w14:paraId="13ABC2F5" w14:textId="77777777" w:rsidR="00902FC3" w:rsidRDefault="00000000">
            <w:pPr>
              <w:spacing w:after="0"/>
              <w:jc w:val="right"/>
            </w:pPr>
            <w:r>
              <w:t>(9)</w:t>
            </w:r>
          </w:p>
        </w:tc>
      </w:tr>
    </w:tbl>
    <w:p w14:paraId="53F4A58A" w14:textId="77777777" w:rsidR="00902FC3" w:rsidRPr="00403B01" w:rsidRDefault="00000000">
      <w:pPr>
        <w:pStyle w:val="FirstParagraph"/>
        <w:rPr>
          <w:lang w:val="es-PE"/>
        </w:rPr>
      </w:pPr>
      <w:r w:rsidRPr="00403B01">
        <w:rPr>
          <w:lang w:val="es-PE"/>
        </w:rPr>
        <w:t xml:space="preserve">donde </w:t>
      </w:r>
      <m:oMath>
        <m:sSub>
          <m:sSubPr>
            <m:ctrlPr>
              <w:rPr>
                <w:rFonts w:ascii="Cambria Math" w:hAnsi="Cambria Math"/>
              </w:rPr>
            </m:ctrlPr>
          </m:sSubPr>
          <m:e>
            <m:r>
              <w:rPr>
                <w:rFonts w:ascii="Cambria Math" w:hAnsi="Cambria Math"/>
              </w:rPr>
              <m:t>N</m:t>
            </m:r>
          </m:e>
          <m:sub>
            <m:r>
              <w:rPr>
                <w:rFonts w:ascii="Cambria Math" w:hAnsi="Cambria Math"/>
              </w:rPr>
              <m:t>ν</m:t>
            </m:r>
          </m:sub>
        </m:sSub>
      </m:oMath>
      <w:r w:rsidRPr="00403B01">
        <w:rPr>
          <w:lang w:val="es-PE"/>
        </w:rPr>
        <w:t xml:space="preserve"> es el número de muestras que alcanzan el nodo y </w:t>
      </w:r>
      <m:oMath>
        <m:r>
          <w:rPr>
            <w:rFonts w:ascii="Cambria Math" w:hAnsi="Cambria Math"/>
          </w:rPr>
          <m:t>N</m:t>
        </m:r>
      </m:oMath>
      <w:r w:rsidRPr="00403B01">
        <w:rPr>
          <w:lang w:val="es-PE"/>
        </w:rPr>
        <w:t xml:space="preserve"> el total. MDI es una medida global: asigna el mismo vector a todas las alertas y puede sesgarse hacia variables con muchos valores posibles (Strobl et al., 2007), lo que limita su utilidad para explicar casos individuales.</w:t>
      </w:r>
    </w:p>
    <w:p w14:paraId="6B7F7CDE" w14:textId="77777777" w:rsidR="00902FC3" w:rsidRPr="00403B01" w:rsidRDefault="00000000">
      <w:pPr>
        <w:pStyle w:val="Heading2"/>
        <w:rPr>
          <w:lang w:val="es-PE"/>
        </w:rPr>
      </w:pPr>
      <w:bookmarkStart w:id="11" w:name="explicador-1-shap-treeshap"/>
      <w:bookmarkEnd w:id="10"/>
      <w:r w:rsidRPr="00403B01">
        <w:rPr>
          <w:lang w:val="es-PE"/>
        </w:rPr>
        <w:t>4.2 Explicador 1: SHAP (</w:t>
      </w:r>
      <w:proofErr w:type="spellStart"/>
      <w:r w:rsidRPr="00403B01">
        <w:rPr>
          <w:lang w:val="es-PE"/>
        </w:rPr>
        <w:t>TreeSHAP</w:t>
      </w:r>
      <w:proofErr w:type="spellEnd"/>
      <w:r w:rsidRPr="00403B01">
        <w:rPr>
          <w:lang w:val="es-PE"/>
        </w:rPr>
        <w:t>)</w:t>
      </w:r>
    </w:p>
    <w:p w14:paraId="14E63368" w14:textId="77777777" w:rsidR="00902FC3" w:rsidRPr="00403B01" w:rsidRDefault="00000000">
      <w:pPr>
        <w:pStyle w:val="FirstParagraph"/>
        <w:rPr>
          <w:lang w:val="es-PE"/>
        </w:rPr>
      </w:pPr>
      <w:r w:rsidRPr="00403B01">
        <w:rPr>
          <w:lang w:val="es-PE"/>
        </w:rPr>
        <w:t xml:space="preserve">SHAP explica cada predicción con el valor de Shapley de la teoría de juegos cooperativos (Shapley, 1953), que reparte entre las </w:t>
      </w:r>
      <m:oMath>
        <m:r>
          <w:rPr>
            <w:rFonts w:ascii="Cambria Math" w:hAnsi="Cambria Math"/>
          </w:rPr>
          <m:t>d</m:t>
        </m:r>
      </m:oMath>
      <w:r w:rsidRPr="00403B01">
        <w:rPr>
          <w:lang w:val="es-PE"/>
        </w:rPr>
        <w:t xml:space="preserve"> características la diferencia entre la predicción y su valor esperado (Lundberg &amp; Lee, 2017):</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2CD20711"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5E4EDFD7" w14:textId="77777777" w:rsidR="00902FC3" w:rsidRPr="00403B01" w:rsidRDefault="00902FC3">
            <w:pPr>
              <w:spacing w:after="0"/>
              <w:rPr>
                <w:lang w:val="es-PE"/>
              </w:rPr>
            </w:pPr>
          </w:p>
        </w:tc>
        <w:tc>
          <w:tcPr>
            <w:tcW w:w="7626" w:type="dxa"/>
            <w:vAlign w:val="center"/>
          </w:tcPr>
          <w:p w14:paraId="12EE2AC0" w14:textId="77777777" w:rsidR="00902FC3" w:rsidRDefault="00000000">
            <w:pPr>
              <w:pStyle w:val="BodyText"/>
              <w:spacing w:before="40" w:after="40"/>
              <w:ind w:firstLine="0"/>
              <w:jc w:val="center"/>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e>
                        </m:d>
                        <m:r>
                          <m:rPr>
                            <m:sty m:val="p"/>
                          </m:rPr>
                          <w:rPr>
                            <w:rFonts w:ascii="Cambria Math" w:hAnsi="Cambria Math"/>
                          </w:rPr>
                          <m:t>!</m:t>
                        </m:r>
                      </m:num>
                      <m:den>
                        <m:r>
                          <w:rPr>
                            <w:rFonts w:ascii="Cambria Math" w:hAnsi="Cambria Math"/>
                          </w:rPr>
                          <m:t>d</m:t>
                        </m:r>
                        <m:r>
                          <m:rPr>
                            <m:sty m:val="p"/>
                          </m:rPr>
                          <w:rPr>
                            <w:rFonts w:ascii="Cambria Math" w:hAnsi="Cambria Math"/>
                          </w:rPr>
                          <m:t>!</m:t>
                        </m:r>
                      </m:den>
                    </m:f>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b"/>
                          </m:rPr>
                          <w:rPr>
                            <w:rFonts w:ascii="Cambria Math" w:hAnsi="Cambria Math"/>
                          </w:rPr>
                          <m:t>x</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b"/>
                          </m:rPr>
                          <w:rPr>
                            <w:rFonts w:ascii="Cambria Math" w:hAnsi="Cambria Math"/>
                          </w:rPr>
                          <m:t>x</m:t>
                        </m:r>
                      </m:sub>
                    </m:sSub>
                    <m:d>
                      <m:dPr>
                        <m:ctrlPr>
                          <w:rPr>
                            <w:rFonts w:ascii="Cambria Math" w:hAnsi="Cambria Math"/>
                          </w:rPr>
                        </m:ctrlPr>
                      </m:dPr>
                      <m:e>
                        <m:r>
                          <w:rPr>
                            <w:rFonts w:ascii="Cambria Math" w:hAnsi="Cambria Math"/>
                          </w:rPr>
                          <m:t>S</m:t>
                        </m:r>
                      </m:e>
                    </m:d>
                  </m:e>
                </m:d>
              </m:oMath>
            </m:oMathPara>
          </w:p>
        </w:tc>
        <w:tc>
          <w:tcPr>
            <w:tcW w:w="700" w:type="dxa"/>
            <w:vAlign w:val="center"/>
          </w:tcPr>
          <w:p w14:paraId="55EAD3F3" w14:textId="77777777" w:rsidR="00902FC3" w:rsidRDefault="00000000">
            <w:pPr>
              <w:spacing w:after="0"/>
              <w:jc w:val="right"/>
            </w:pPr>
            <w:r>
              <w:t>(10)</w:t>
            </w:r>
          </w:p>
        </w:tc>
      </w:tr>
    </w:tbl>
    <w:p w14:paraId="1065DF56" w14:textId="77777777" w:rsidR="00902FC3" w:rsidRPr="00D1450D" w:rsidRDefault="00000000">
      <w:pPr>
        <w:pStyle w:val="FirstParagraph"/>
        <w:rPr>
          <w:lang w:val="es-PE"/>
        </w:rPr>
      </w:pPr>
      <w:r w:rsidRPr="00403B01">
        <w:rPr>
          <w:lang w:val="es-PE"/>
        </w:rPr>
        <w:t xml:space="preserve">donde </w:t>
      </w:r>
      <m:oMath>
        <m:r>
          <w:rPr>
            <w:rFonts w:ascii="Cambria Math" w:hAnsi="Cambria Math"/>
          </w:rPr>
          <m:t>F</m:t>
        </m:r>
      </m:oMath>
      <w:r w:rsidRPr="00403B01">
        <w:rPr>
          <w:lang w:val="es-PE"/>
        </w:rPr>
        <w:t xml:space="preserve"> es el conjunto de características y </w:t>
      </w:r>
      <m:oMath>
        <m:sSub>
          <m:sSubPr>
            <m:ctrlPr>
              <w:rPr>
                <w:rFonts w:ascii="Cambria Math" w:hAnsi="Cambria Math"/>
              </w:rPr>
            </m:ctrlPr>
          </m:sSubPr>
          <m:e>
            <m:r>
              <w:rPr>
                <w:rFonts w:ascii="Cambria Math" w:hAnsi="Cambria Math"/>
              </w:rPr>
              <m:t>f</m:t>
            </m:r>
          </m:e>
          <m:sub>
            <m:r>
              <m:rPr>
                <m:sty m:val="b"/>
              </m:rPr>
              <w:rPr>
                <w:rFonts w:ascii="Cambria Math" w:hAnsi="Cambria Math"/>
              </w:rPr>
              <m:t>x</m:t>
            </m:r>
          </m:sub>
        </m:sSub>
        <m:d>
          <m:dPr>
            <m:ctrlPr>
              <w:rPr>
                <w:rFonts w:ascii="Cambria Math" w:hAnsi="Cambria Math"/>
              </w:rPr>
            </m:ctrlPr>
          </m:dPr>
          <m:e>
            <m:r>
              <w:rPr>
                <w:rFonts w:ascii="Cambria Math" w:hAnsi="Cambria Math"/>
              </w:rPr>
              <m:t>S</m:t>
            </m:r>
          </m:e>
        </m:d>
        <m:r>
          <m:rPr>
            <m:sty m:val="p"/>
          </m:rPr>
          <w:rPr>
            <w:rFonts w:ascii="Cambria Math" w:hAnsi="Cambria Math"/>
            <w:lang w:val="es-PE"/>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lang w:val="es-PE"/>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lang w:val="es-PE"/>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e>
        </m:d>
      </m:oMath>
      <w:r w:rsidRPr="00403B01">
        <w:rPr>
          <w:lang w:val="es-PE"/>
        </w:rPr>
        <w:t xml:space="preserve"> es la predicción esperada cuando solo se conocen las características de </w:t>
      </w:r>
      <m:oMath>
        <m:r>
          <w:rPr>
            <w:rFonts w:ascii="Cambria Math" w:hAnsi="Cambria Math"/>
          </w:rPr>
          <m:t>S</m:t>
        </m:r>
      </m:oMath>
      <w:r w:rsidRPr="00403B01">
        <w:rPr>
          <w:lang w:val="es-PE"/>
        </w:rPr>
        <w:t>. La explicación resultante es un modelo aditivo que cumple la precisión local:</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6DC023E1"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2F3596A6" w14:textId="77777777" w:rsidR="00902FC3" w:rsidRPr="00403B01" w:rsidRDefault="00902FC3">
            <w:pPr>
              <w:spacing w:after="0"/>
              <w:rPr>
                <w:lang w:val="es-PE"/>
              </w:rPr>
            </w:pPr>
          </w:p>
        </w:tc>
        <w:tc>
          <w:tcPr>
            <w:tcW w:w="7626" w:type="dxa"/>
            <w:vAlign w:val="center"/>
          </w:tcPr>
          <w:p w14:paraId="35E11ED2" w14:textId="77777777" w:rsidR="00902FC3" w:rsidRDefault="00000000">
            <w:pPr>
              <w:pStyle w:val="BodyText"/>
              <w:spacing w:before="40" w:after="40"/>
              <w:ind w:firstLine="0"/>
              <w:jc w:val="center"/>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ϕ</m:t>
                        </m:r>
                      </m:e>
                      <m:sub>
                        <m:r>
                          <w:rPr>
                            <w:rFonts w:ascii="Cambria Math" w:hAnsi="Cambria Math"/>
                          </w:rPr>
                          <m:t>j</m:t>
                        </m:r>
                      </m:sub>
                    </m:sSub>
                  </m:e>
                </m:nary>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0</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f</m:t>
                    </m:r>
                    <m:d>
                      <m:dPr>
                        <m:ctrlPr>
                          <w:rPr>
                            <w:rFonts w:ascii="Cambria Math" w:hAnsi="Cambria Math"/>
                          </w:rPr>
                        </m:ctrlPr>
                      </m:dPr>
                      <m:e>
                        <m:r>
                          <m:rPr>
                            <m:sty m:val="b"/>
                          </m:rPr>
                          <w:rPr>
                            <w:rFonts w:ascii="Cambria Math" w:hAnsi="Cambria Math"/>
                          </w:rPr>
                          <m:t>X</m:t>
                        </m:r>
                      </m:e>
                    </m:d>
                  </m:e>
                </m:d>
              </m:oMath>
            </m:oMathPara>
          </w:p>
        </w:tc>
        <w:tc>
          <w:tcPr>
            <w:tcW w:w="700" w:type="dxa"/>
            <w:vAlign w:val="center"/>
          </w:tcPr>
          <w:p w14:paraId="186820D4" w14:textId="77777777" w:rsidR="00902FC3" w:rsidRDefault="00000000">
            <w:pPr>
              <w:spacing w:after="0"/>
              <w:jc w:val="right"/>
            </w:pPr>
            <w:r>
              <w:t>(11)</w:t>
            </w:r>
          </w:p>
        </w:tc>
      </w:tr>
    </w:tbl>
    <w:p w14:paraId="7F2D57C9" w14:textId="77777777" w:rsidR="00902FC3" w:rsidRPr="00403B01" w:rsidRDefault="00000000">
      <w:pPr>
        <w:pStyle w:val="FirstParagraph"/>
        <w:rPr>
          <w:lang w:val="es-PE"/>
        </w:rPr>
      </w:pPr>
      <w:r w:rsidRPr="00403B01">
        <w:rPr>
          <w:lang w:val="es-PE"/>
        </w:rPr>
        <w:t xml:space="preserve">Junto con las propiedades de ausencia y consistencia, la precisión local hace de SHAP la única atribución aditiva con esas tres garantías (Lundberg &amp; Lee, 2017). El cálculo directo de (10) crece exponencialmente con </w:t>
      </w:r>
      <m:oMath>
        <m:r>
          <w:rPr>
            <w:rFonts w:ascii="Cambria Math" w:hAnsi="Cambria Math"/>
          </w:rPr>
          <m:t>d</m:t>
        </m:r>
      </m:oMath>
      <w:r w:rsidRPr="00403B01">
        <w:rPr>
          <w:lang w:val="es-PE"/>
        </w:rPr>
        <w:t xml:space="preserve">; TreeSHAP lo resuelve de forma exacta para ensambles de árboles en tiempo </w:t>
      </w:r>
      <m:oMath>
        <m:r>
          <w:rPr>
            <w:rFonts w:ascii="Cambria Math" w:hAnsi="Cambria Math"/>
          </w:rPr>
          <m:t>O</m:t>
        </m:r>
        <m:d>
          <m:dPr>
            <m:ctrlPr>
              <w:rPr>
                <w:rFonts w:ascii="Cambria Math" w:hAnsi="Cambria Math"/>
              </w:rPr>
            </m:ctrlPr>
          </m:dPr>
          <m:e>
            <m:r>
              <w:rPr>
                <w:rFonts w:ascii="Cambria Math" w:hAnsi="Cambria Math"/>
              </w:rPr>
              <m:t>TL</m:t>
            </m:r>
            <m:sSup>
              <m:sSupPr>
                <m:ctrlPr>
                  <w:rPr>
                    <w:rFonts w:ascii="Cambria Math" w:hAnsi="Cambria Math"/>
                  </w:rPr>
                </m:ctrlPr>
              </m:sSupPr>
              <m:e>
                <m:r>
                  <w:rPr>
                    <w:rFonts w:ascii="Cambria Math" w:hAnsi="Cambria Math"/>
                  </w:rPr>
                  <m:t>D</m:t>
                </m:r>
              </m:e>
              <m:sup>
                <m:r>
                  <w:rPr>
                    <w:rFonts w:ascii="Cambria Math" w:hAnsi="Cambria Math"/>
                    <w:lang w:val="es-PE"/>
                  </w:rPr>
                  <m:t>2</m:t>
                </m:r>
              </m:sup>
            </m:sSup>
          </m:e>
        </m:d>
      </m:oMath>
      <w:r w:rsidRPr="00403B01">
        <w:rPr>
          <w:lang w:val="es-PE"/>
        </w:rPr>
        <w:t xml:space="preserve">, con </w:t>
      </w:r>
      <m:oMath>
        <m:r>
          <w:rPr>
            <w:rFonts w:ascii="Cambria Math" w:hAnsi="Cambria Math"/>
          </w:rPr>
          <m:t>L</m:t>
        </m:r>
      </m:oMath>
      <w:r w:rsidRPr="00403B01">
        <w:rPr>
          <w:lang w:val="es-PE"/>
        </w:rPr>
        <w:t xml:space="preserve"> hojas por árbol y profundidad </w:t>
      </w:r>
      <m:oMath>
        <m:r>
          <w:rPr>
            <w:rFonts w:ascii="Cambria Math" w:hAnsi="Cambria Math"/>
          </w:rPr>
          <m:t>D</m:t>
        </m:r>
      </m:oMath>
      <w:r w:rsidRPr="00403B01">
        <w:rPr>
          <w:lang w:val="es-PE"/>
        </w:rPr>
        <w:t xml:space="preserve"> (Lundberg et al., 2020). Se empleó TreeExplainer en la modalidad </w:t>
      </w:r>
      <w:proofErr w:type="spellStart"/>
      <w:r w:rsidRPr="00403B01">
        <w:rPr>
          <w:i/>
          <w:iCs/>
          <w:lang w:val="es-PE"/>
        </w:rPr>
        <w:t>tree_path_dependent</w:t>
      </w:r>
      <w:proofErr w:type="spellEnd"/>
      <w:r w:rsidRPr="00403B01">
        <w:rPr>
          <w:lang w:val="es-PE"/>
        </w:rPr>
        <w:t>, que no requiere conjunto de referencia y es determinista, sobre la probabilidad de la familia predicha.</w:t>
      </w:r>
    </w:p>
    <w:p w14:paraId="098DAD56" w14:textId="77777777" w:rsidR="00902FC3" w:rsidRPr="00403B01" w:rsidRDefault="00000000">
      <w:pPr>
        <w:pStyle w:val="Heading2"/>
        <w:rPr>
          <w:lang w:val="es-PE"/>
        </w:rPr>
      </w:pPr>
      <w:bookmarkStart w:id="12" w:name="explicador-2-lime"/>
      <w:bookmarkEnd w:id="11"/>
      <w:r w:rsidRPr="00403B01">
        <w:rPr>
          <w:lang w:val="es-PE"/>
        </w:rPr>
        <w:t>4.3 Explicador 2: LIME</w:t>
      </w:r>
    </w:p>
    <w:p w14:paraId="1B3F84B3" w14:textId="77777777" w:rsidR="00902FC3" w:rsidRPr="00403B01" w:rsidRDefault="00000000">
      <w:pPr>
        <w:pStyle w:val="FirstParagraph"/>
        <w:rPr>
          <w:lang w:val="es-PE"/>
        </w:rPr>
      </w:pPr>
      <w:r w:rsidRPr="00403B01">
        <w:rPr>
          <w:lang w:val="es-PE"/>
        </w:rPr>
        <w:t xml:space="preserve">LIME aproxima el modelo en la vecindad de la alerta con un modelo interpretable </w:t>
      </w:r>
      <m:oMath>
        <m:r>
          <w:rPr>
            <w:rFonts w:ascii="Cambria Math" w:hAnsi="Cambria Math"/>
          </w:rPr>
          <m:t>g</m:t>
        </m:r>
      </m:oMath>
      <w:r w:rsidRPr="00403B01">
        <w:rPr>
          <w:lang w:val="es-PE"/>
        </w:rPr>
        <w:t>, normalmente lineal (Ribeiro et al., 2016):</w:t>
      </w:r>
    </w:p>
    <w:tbl>
      <w:tblPr>
        <w:tblStyle w:val="Table"/>
        <w:tblW w:w="9026" w:type="dxa"/>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7626"/>
        <w:gridCol w:w="700"/>
      </w:tblGrid>
      <w:tr w:rsidR="00902FC3" w14:paraId="37FFFB1B" w14:textId="77777777" w:rsidTr="00902FC3">
        <w:trPr>
          <w:cnfStyle w:val="100000000000" w:firstRow="1" w:lastRow="0" w:firstColumn="0" w:lastColumn="0" w:oddVBand="0" w:evenVBand="0" w:oddHBand="0" w:evenHBand="0" w:firstRowFirstColumn="0" w:firstRowLastColumn="0" w:lastRowFirstColumn="0" w:lastRowLastColumn="0"/>
          <w:cantSplit/>
          <w:jc w:val="center"/>
        </w:trPr>
        <w:tc>
          <w:tcPr>
            <w:tcW w:w="700" w:type="dxa"/>
            <w:vAlign w:val="center"/>
          </w:tcPr>
          <w:p w14:paraId="6ED2934D" w14:textId="77777777" w:rsidR="00902FC3" w:rsidRPr="00403B01" w:rsidRDefault="00902FC3">
            <w:pPr>
              <w:spacing w:after="0"/>
              <w:rPr>
                <w:lang w:val="es-PE"/>
              </w:rPr>
            </w:pPr>
          </w:p>
        </w:tc>
        <w:tc>
          <w:tcPr>
            <w:tcW w:w="7626" w:type="dxa"/>
            <w:vAlign w:val="center"/>
          </w:tcPr>
          <w:p w14:paraId="1F69EDBB" w14:textId="77777777" w:rsidR="00902FC3" w:rsidRDefault="00000000">
            <w:pPr>
              <w:pStyle w:val="BodyText"/>
              <w:spacing w:before="40" w:after="40"/>
              <w:ind w:firstLine="0"/>
              <w:jc w:val="center"/>
            </w:pPr>
            <m:oMathPara>
              <m:oMathParaPr>
                <m:jc m:val="center"/>
              </m:oMathParaPr>
              <m:oMath>
                <m:r>
                  <w:rPr>
                    <w:rFonts w:ascii="Cambria Math" w:hAnsi="Cambria Math"/>
                  </w:rPr>
                  <m:t>ξ</m:t>
                </m:r>
                <m:d>
                  <m:dPr>
                    <m:ctrlPr>
                      <w:rPr>
                        <w:rFonts w:ascii="Cambria Math" w:hAnsi="Cambria Math"/>
                      </w:rPr>
                    </m:ctrlPr>
                  </m:dPr>
                  <m:e>
                    <m:r>
                      <m:rPr>
                        <m:sty m:val="b"/>
                      </m:rP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g</m:t>
                    </m:r>
                    <m:r>
                      <m:rPr>
                        <m:sty m:val="p"/>
                      </m:rPr>
                      <w:rPr>
                        <w:rFonts w:ascii="Cambria Math" w:hAnsi="Cambria Math"/>
                      </w:rPr>
                      <m:t>∈</m:t>
                    </m:r>
                    <m:r>
                      <w:rPr>
                        <w:rFonts w:ascii="Cambria Math" w:hAnsi="Cambria Math"/>
                      </w:rPr>
                      <m:t>G</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b"/>
                          </m:rPr>
                          <w:rPr>
                            <w:rFonts w:ascii="Cambria Math" w:hAnsi="Cambria Math"/>
                          </w:rPr>
                          <m:t>x</m:t>
                        </m:r>
                      </m:sub>
                    </m:sSub>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g</m:t>
                    </m:r>
                  </m:e>
                </m:d>
              </m:oMath>
            </m:oMathPara>
          </w:p>
        </w:tc>
        <w:tc>
          <w:tcPr>
            <w:tcW w:w="700" w:type="dxa"/>
            <w:vAlign w:val="center"/>
          </w:tcPr>
          <w:p w14:paraId="3DD1E30B" w14:textId="77777777" w:rsidR="00902FC3" w:rsidRDefault="00000000">
            <w:pPr>
              <w:spacing w:after="0"/>
              <w:jc w:val="right"/>
            </w:pPr>
            <w:r>
              <w:t>(12)</w:t>
            </w:r>
          </w:p>
        </w:tc>
      </w:tr>
      <w:tr w:rsidR="00902FC3" w14:paraId="2432A12F" w14:textId="77777777" w:rsidTr="00902FC3">
        <w:trPr>
          <w:cantSplit/>
          <w:jc w:val="center"/>
        </w:trPr>
        <w:tc>
          <w:tcPr>
            <w:tcW w:w="700" w:type="dxa"/>
            <w:vAlign w:val="center"/>
          </w:tcPr>
          <w:p w14:paraId="72511A0A" w14:textId="77777777" w:rsidR="00902FC3" w:rsidRDefault="00902FC3">
            <w:pPr>
              <w:spacing w:after="0"/>
            </w:pPr>
          </w:p>
        </w:tc>
        <w:tc>
          <w:tcPr>
            <w:tcW w:w="7626" w:type="dxa"/>
            <w:vAlign w:val="center"/>
          </w:tcPr>
          <w:p w14:paraId="2C60ECAB" w14:textId="77777777" w:rsidR="00902FC3" w:rsidRDefault="00000000">
            <w:pPr>
              <w:pStyle w:val="FirstParagraph"/>
              <w:spacing w:before="40" w:after="40"/>
              <w:ind w:firstLine="0"/>
              <w:jc w:val="center"/>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b"/>
                          </m:rPr>
                          <w:rPr>
                            <w:rFonts w:ascii="Cambria Math" w:hAnsi="Cambria Math"/>
                          </w:rPr>
                          <m:t>x</m:t>
                        </m:r>
                      </m:sub>
                    </m:sSub>
                  </m:e>
                </m:d>
                <m:r>
                  <m:rPr>
                    <m:sty m:val="p"/>
                  </m:rPr>
                  <w:rPr>
                    <w:rFonts w:ascii="Cambria Math" w:hAnsi="Cambria Math"/>
                  </w:rPr>
                  <m:t>=</m:t>
                </m:r>
                <m:nary>
                  <m:naryPr>
                    <m:chr m:val="∑"/>
                    <m:limLoc m:val="undOvr"/>
                    <m:supHide m:val="1"/>
                    <m:ctrlPr>
                      <w:rPr>
                        <w:rFonts w:ascii="Cambria Math" w:hAnsi="Cambria Math"/>
                      </w:rPr>
                    </m:ctrlPr>
                  </m:naryPr>
                  <m:sub>
                    <m:r>
                      <m:rPr>
                        <m:sty m:val="b"/>
                      </m:rPr>
                      <w:rPr>
                        <w:rFonts w:ascii="Cambria Math" w:hAnsi="Cambria Math"/>
                      </w:rPr>
                      <m:t>z</m:t>
                    </m:r>
                    <m:r>
                      <m:rPr>
                        <m:sty m:val="p"/>
                      </m:rPr>
                      <w:rPr>
                        <w:rFonts w:ascii="Cambria Math" w:hAnsi="Cambria Math"/>
                      </w:rPr>
                      <m:t>∈</m:t>
                    </m:r>
                    <m: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π</m:t>
                        </m:r>
                      </m:e>
                      <m:sub>
                        <m:r>
                          <m:rPr>
                            <m:sty m:val="b"/>
                          </m:rPr>
                          <w:rPr>
                            <w:rFonts w:ascii="Cambria Math" w:hAnsi="Cambria Math"/>
                          </w:rPr>
                          <m:t>x</m:t>
                        </m:r>
                      </m:sub>
                    </m:sSub>
                  </m:e>
                </m:nary>
                <m:d>
                  <m:dPr>
                    <m:ctrlPr>
                      <w:rPr>
                        <w:rFonts w:ascii="Cambria Math" w:hAnsi="Cambria Math"/>
                      </w:rPr>
                    </m:ctrlPr>
                  </m:dPr>
                  <m:e>
                    <m:r>
                      <m:rPr>
                        <m:sty m:val="b"/>
                      </m:rPr>
                      <w:rPr>
                        <w:rFonts w:ascii="Cambria Math" w:hAnsi="Cambria Math"/>
                      </w:rPr>
                      <m:t>z</m:t>
                    </m:r>
                  </m:e>
                </m:d>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m:rPr>
                                <m:sty m:val="b"/>
                              </m:rPr>
                              <w:rPr>
                                <w:rFonts w:ascii="Cambria Math" w:hAnsi="Cambria Math"/>
                              </w:rPr>
                              <m:t>z</m:t>
                            </m:r>
                            <m:r>
                              <m:rPr>
                                <m:sty m:val="p"/>
                              </m:rPr>
                              <w:rPr>
                                <w:rFonts w:ascii="Cambria Math" w:hAnsi="Cambria Math"/>
                              </w:rPr>
                              <m:t>'</m:t>
                            </m:r>
                          </m:e>
                        </m:d>
                      </m:e>
                    </m:d>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m:rPr>
                        <m:sty m:val="b"/>
                      </m:rPr>
                      <w:rPr>
                        <w:rFonts w:ascii="Cambria Math" w:hAnsi="Cambria Math"/>
                      </w:rPr>
                      <m:t>x</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tc>
        <w:tc>
          <w:tcPr>
            <w:tcW w:w="700" w:type="dxa"/>
            <w:vAlign w:val="center"/>
          </w:tcPr>
          <w:p w14:paraId="1D64197D" w14:textId="77777777" w:rsidR="00902FC3" w:rsidRDefault="00000000">
            <w:pPr>
              <w:spacing w:after="0"/>
              <w:jc w:val="right"/>
            </w:pPr>
            <w:r>
              <w:t>(13)</w:t>
            </w:r>
          </w:p>
        </w:tc>
      </w:tr>
    </w:tbl>
    <w:p w14:paraId="455E5A92" w14:textId="77777777" w:rsidR="00902FC3" w:rsidRPr="00403B01" w:rsidRDefault="00000000">
      <w:pPr>
        <w:pStyle w:val="FirstParagraph"/>
        <w:rPr>
          <w:lang w:val="es-PE"/>
        </w:rPr>
      </w:pPr>
      <w:r w:rsidRPr="00403B01">
        <w:rPr>
          <w:lang w:val="es-PE"/>
        </w:rPr>
        <w:t xml:space="preserve">donde </w:t>
      </w:r>
      <m:oMath>
        <m:r>
          <w:rPr>
            <w:rFonts w:ascii="Cambria Math" w:hAnsi="Cambria Math"/>
          </w:rPr>
          <m:t>Z</m:t>
        </m:r>
      </m:oMath>
      <w:r w:rsidRPr="00403B01">
        <w:rPr>
          <w:lang w:val="es-PE"/>
        </w:rPr>
        <w:t xml:space="preserve"> contiene 5 000 muestras perturbadas alrededor de </w:t>
      </w:r>
      <m:oMath>
        <m:r>
          <m:rPr>
            <m:sty m:val="b"/>
          </m:rPr>
          <w:rPr>
            <w:rFonts w:ascii="Cambria Math" w:hAnsi="Cambria Math"/>
          </w:rPr>
          <m:t>x</m:t>
        </m:r>
      </m:oMath>
      <w:r w:rsidRPr="00403B01">
        <w:rPr>
          <w:lang w:val="es-PE"/>
        </w:rPr>
        <w:t xml:space="preserve">, </w:t>
      </w:r>
      <m:oMath>
        <m:r>
          <m:rPr>
            <m:sty m:val="b"/>
          </m:rPr>
          <w:rPr>
            <w:rFonts w:ascii="Cambria Math" w:hAnsi="Cambria Math"/>
          </w:rPr>
          <m:t>z</m:t>
        </m:r>
        <m:r>
          <m:rPr>
            <m:sty m:val="p"/>
          </m:rPr>
          <w:rPr>
            <w:rFonts w:ascii="Cambria Math" w:hAnsi="Cambria Math"/>
            <w:lang w:val="es-PE"/>
          </w:rPr>
          <m:t>'</m:t>
        </m:r>
      </m:oMath>
      <w:r w:rsidRPr="00403B01">
        <w:rPr>
          <w:lang w:val="es-PE"/>
        </w:rPr>
        <w:t xml:space="preserve"> es su representación interpretable (características discretizadas por cuartiles), </w:t>
      </w:r>
      <m:oMath>
        <m:sSub>
          <m:sSubPr>
            <m:ctrlPr>
              <w:rPr>
                <w:rFonts w:ascii="Cambria Math" w:hAnsi="Cambria Math"/>
              </w:rPr>
            </m:ctrlPr>
          </m:sSubPr>
          <m:e>
            <m:r>
              <w:rPr>
                <w:rFonts w:ascii="Cambria Math" w:hAnsi="Cambria Math"/>
              </w:rPr>
              <m:t>π</m:t>
            </m:r>
          </m:e>
          <m:sub>
            <m:r>
              <m:rPr>
                <m:sty m:val="b"/>
              </m:rPr>
              <w:rPr>
                <w:rFonts w:ascii="Cambria Math" w:hAnsi="Cambria Math"/>
              </w:rPr>
              <m:t>x</m:t>
            </m:r>
          </m:sub>
        </m:sSub>
      </m:oMath>
      <w:r w:rsidRPr="00403B01">
        <w:rPr>
          <w:lang w:val="es-PE"/>
        </w:rPr>
        <w:t xml:space="preserve"> es un núcleo exponencial de proximidad con ancho </w:t>
      </w:r>
      <m:oMath>
        <m:r>
          <w:rPr>
            <w:rFonts w:ascii="Cambria Math" w:hAnsi="Cambria Math"/>
          </w:rPr>
          <m:t>σ</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75</m:t>
        </m:r>
        <m:rad>
          <m:radPr>
            <m:degHide m:val="1"/>
            <m:ctrlPr>
              <w:rPr>
                <w:rFonts w:ascii="Cambria Math" w:hAnsi="Cambria Math"/>
              </w:rPr>
            </m:ctrlPr>
          </m:radPr>
          <m:deg/>
          <m:e>
            <m:r>
              <w:rPr>
                <w:rFonts w:ascii="Cambria Math" w:hAnsi="Cambria Math"/>
              </w:rPr>
              <m:t>d</m:t>
            </m:r>
          </m:e>
        </m:rad>
      </m:oMath>
      <w:r w:rsidRPr="00403B01">
        <w:rPr>
          <w:lang w:val="es-PE"/>
        </w:rPr>
        <w:t xml:space="preserve"> (valor por defecto de LimeTabularExplainer) y </w:t>
      </w:r>
      <m:oMath>
        <m:r>
          <w:rPr>
            <w:rFonts w:ascii="Cambria Math" w:hAnsi="Cambria Math"/>
          </w:rPr>
          <m:t>Ω</m:t>
        </m:r>
        <m:d>
          <m:dPr>
            <m:ctrlPr>
              <w:rPr>
                <w:rFonts w:ascii="Cambria Math" w:hAnsi="Cambria Math"/>
              </w:rPr>
            </m:ctrlPr>
          </m:dPr>
          <m:e>
            <m:r>
              <w:rPr>
                <w:rFonts w:ascii="Cambria Math" w:hAnsi="Cambria Math"/>
              </w:rPr>
              <m:t>g</m:t>
            </m:r>
          </m:e>
        </m:d>
      </m:oMath>
      <w:r w:rsidRPr="00403B01">
        <w:rPr>
          <w:lang w:val="es-PE"/>
        </w:rPr>
        <w:t xml:space="preserve"> penaliza la complejidad de </w:t>
      </w:r>
      <m:oMath>
        <m:r>
          <w:rPr>
            <w:rFonts w:ascii="Cambria Math" w:hAnsi="Cambria Math"/>
          </w:rPr>
          <m:t>g</m:t>
        </m:r>
      </m:oMath>
      <w:r w:rsidRPr="00403B01">
        <w:rPr>
          <w:lang w:val="es-PE"/>
        </w:rPr>
        <w:t xml:space="preserve">. Los coeficientes de </w:t>
      </w:r>
      <m:oMath>
        <m:r>
          <w:rPr>
            <w:rFonts w:ascii="Cambria Math" w:hAnsi="Cambria Math"/>
          </w:rPr>
          <m:t>g</m:t>
        </m:r>
      </m:oMath>
      <w:r w:rsidRPr="00403B01">
        <w:rPr>
          <w:lang w:val="es-PE"/>
        </w:rPr>
        <w:t xml:space="preserve"> para la familia predicha se toman como </w:t>
      </w:r>
      <w:r w:rsidRPr="00403B01">
        <w:rPr>
          <w:lang w:val="es-PE"/>
        </w:rPr>
        <w:lastRenderedPageBreak/>
        <w:t xml:space="preserve">el vector </w:t>
      </w:r>
      <m:oMath>
        <m:r>
          <m:rPr>
            <m:sty m:val="b"/>
          </m:rPr>
          <w:rPr>
            <w:rFonts w:ascii="Cambria Math" w:hAnsi="Cambria Math"/>
          </w:rPr>
          <m:t>ϕ</m:t>
        </m:r>
        <m:d>
          <m:dPr>
            <m:ctrlPr>
              <w:rPr>
                <w:rFonts w:ascii="Cambria Math" w:hAnsi="Cambria Math"/>
              </w:rPr>
            </m:ctrlPr>
          </m:dPr>
          <m:e>
            <m:r>
              <m:rPr>
                <m:sty m:val="b"/>
              </m:rPr>
              <w:rPr>
                <w:rFonts w:ascii="Cambria Math" w:hAnsi="Cambria Math"/>
              </w:rPr>
              <m:t>x</m:t>
            </m:r>
          </m:e>
        </m:d>
      </m:oMath>
      <w:r w:rsidRPr="00403B01">
        <w:rPr>
          <w:lang w:val="es-PE"/>
        </w:rPr>
        <w:t xml:space="preserve">. Para medir la parsimonia sobre la atribución completa se recuperan los </w:t>
      </w:r>
      <m:oMath>
        <m:r>
          <w:rPr>
            <w:rFonts w:ascii="Cambria Math" w:hAnsi="Cambria Math"/>
          </w:rPr>
          <m:t>d</m:t>
        </m:r>
      </m:oMath>
      <w:r w:rsidRPr="00403B01">
        <w:rPr>
          <w:lang w:val="es-PE"/>
        </w:rPr>
        <w:t xml:space="preserve"> coeficientes, aunque al analista solo se le presentan los </w:t>
      </w:r>
      <m:oMath>
        <m:r>
          <w:rPr>
            <w:rFonts w:ascii="Cambria Math" w:hAnsi="Cambria Math"/>
          </w:rPr>
          <m:t>k</m:t>
        </m:r>
      </m:oMath>
      <w:r w:rsidRPr="00403B01">
        <w:rPr>
          <w:lang w:val="es-PE"/>
        </w:rPr>
        <w:t xml:space="preserve"> principales. Debido a su muestreo aleatorio, LIME puede producir explicaciones distintas para una misma alerta, lo que motiva la métrica </w:t>
      </w:r>
      <m:oMath>
        <m:r>
          <w:rPr>
            <w:rFonts w:ascii="Cambria Math" w:hAnsi="Cambria Math"/>
          </w:rPr>
          <m:t>EE</m:t>
        </m:r>
      </m:oMath>
      <w:r w:rsidRPr="00403B01">
        <w:rPr>
          <w:lang w:val="es-PE"/>
        </w:rPr>
        <w:t>.</w:t>
      </w:r>
    </w:p>
    <w:p w14:paraId="4FC56C5A" w14:textId="77777777" w:rsidR="00902FC3" w:rsidRPr="00403B01" w:rsidRDefault="00000000">
      <w:pPr>
        <w:pStyle w:val="Heading2"/>
        <w:rPr>
          <w:lang w:val="es-PE"/>
        </w:rPr>
      </w:pPr>
      <w:bookmarkStart w:id="13" w:name="integración-en-el-marco"/>
      <w:bookmarkEnd w:id="12"/>
      <w:r w:rsidRPr="00403B01">
        <w:rPr>
          <w:lang w:val="es-PE"/>
        </w:rPr>
        <w:t>4.4 Integración en el marco</w:t>
      </w:r>
    </w:p>
    <w:p w14:paraId="63DAA650" w14:textId="77777777" w:rsidR="00902FC3" w:rsidRPr="00403B01" w:rsidRDefault="00000000">
      <w:pPr>
        <w:pStyle w:val="FirstParagraph"/>
        <w:rPr>
          <w:lang w:val="es-PE"/>
        </w:rPr>
      </w:pPr>
      <w:r w:rsidRPr="00403B01">
        <w:rPr>
          <w:lang w:val="es-PE"/>
        </w:rPr>
        <w:t xml:space="preserve">El Algoritmo 1 resume la integración de los tres niveles. Para cada alerta, el marco devuelve un informe con la familia predicha y su probabilidad, las </w:t>
      </w:r>
      <m:oMath>
        <m:r>
          <w:rPr>
            <w:rFonts w:ascii="Cambria Math" w:hAnsi="Cambria Math"/>
          </w:rPr>
          <m:t>k</m:t>
        </m:r>
      </m:oMath>
      <w:r w:rsidRPr="00403B01">
        <w:rPr>
          <w:lang w:val="es-PE"/>
        </w:rPr>
        <w:t xml:space="preserve"> características principales de cada explicador con su signo y su valor observado, y las métricas de calidad asociadas.</w:t>
      </w:r>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9242"/>
      </w:tblGrid>
      <w:tr w:rsidR="00902FC3" w:rsidRPr="00774C95" w14:paraId="5474F293" w14:textId="77777777" w:rsidTr="00902FC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nil"/>
              <w:left w:val="nil"/>
              <w:bottom w:val="single" w:sz="8" w:space="0" w:color="000000"/>
              <w:right w:val="nil"/>
            </w:tcBorders>
          </w:tcPr>
          <w:p w14:paraId="562B414C" w14:textId="77777777" w:rsidR="00902FC3" w:rsidRPr="00403B01" w:rsidRDefault="00000000">
            <w:pPr>
              <w:pStyle w:val="Compact"/>
              <w:keepNext/>
              <w:spacing w:before="20" w:after="20"/>
              <w:ind w:firstLine="0"/>
              <w:jc w:val="left"/>
              <w:rPr>
                <w:lang w:val="es-PE"/>
              </w:rPr>
            </w:pPr>
            <w:r w:rsidRPr="00403B01">
              <w:rPr>
                <w:b/>
                <w:bCs/>
                <w:sz w:val="20"/>
                <w:lang w:val="es-PE"/>
              </w:rPr>
              <w:t>Algoritmo 1.</w:t>
            </w:r>
            <w:r w:rsidRPr="00403B01">
              <w:rPr>
                <w:sz w:val="20"/>
                <w:lang w:val="es-PE"/>
              </w:rPr>
              <w:t xml:space="preserve"> Generación y evaluación de explicaciones por alerta</w:t>
            </w:r>
          </w:p>
        </w:tc>
      </w:tr>
      <w:tr w:rsidR="00902FC3" w:rsidRPr="00774C95" w14:paraId="5A3928F6" w14:textId="77777777" w:rsidTr="00902FC3">
        <w:trPr>
          <w:cantSplit/>
        </w:trPr>
        <w:tc>
          <w:tcPr>
            <w:tcW w:w="0" w:type="auto"/>
          </w:tcPr>
          <w:p w14:paraId="258AD5CF" w14:textId="77777777" w:rsidR="00902FC3" w:rsidRPr="00403B01" w:rsidRDefault="00000000">
            <w:pPr>
              <w:pStyle w:val="Compact"/>
              <w:keepNext/>
              <w:spacing w:before="20" w:after="20"/>
              <w:ind w:firstLine="0"/>
              <w:jc w:val="left"/>
              <w:rPr>
                <w:lang w:val="es-PE"/>
              </w:rPr>
            </w:pPr>
            <w:r w:rsidRPr="00403B01">
              <w:rPr>
                <w:b/>
                <w:bCs/>
                <w:sz w:val="20"/>
                <w:lang w:val="es-PE"/>
              </w:rPr>
              <w:t>Entrada:</w:t>
            </w:r>
            <w:r w:rsidRPr="00403B01">
              <w:rPr>
                <w:sz w:val="20"/>
                <w:lang w:val="es-PE"/>
              </w:rPr>
              <w:t xml:space="preserve"> detector </w:t>
            </w:r>
            <m:oMath>
              <m:r>
                <w:rPr>
                  <w:rFonts w:ascii="Cambria Math" w:hAnsi="Cambria Math"/>
                </w:rPr>
                <m:t>f</m:t>
              </m:r>
            </m:oMath>
            <w:r w:rsidRPr="00403B01">
              <w:rPr>
                <w:sz w:val="20"/>
                <w:lang w:val="es-PE"/>
              </w:rPr>
              <w:t xml:space="preserve">; alertas muestreadas </w:t>
            </w:r>
            <m:oMath>
              <m:r>
                <m:rPr>
                  <m:sty m:val="p"/>
                </m:rPr>
                <w:rPr>
                  <w:rFonts w:ascii="Cambria Math" w:hAnsi="Cambria Math"/>
                  <w:lang w:val="es-PE"/>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sSubSup>
                <m:sSubSupPr>
                  <m:ctrlPr>
                    <w:rPr>
                      <w:rFonts w:ascii="Cambria Math" w:hAnsi="Cambria Math"/>
                    </w:rPr>
                  </m:ctrlPr>
                </m:sSubSupPr>
                <m:e>
                  <m:r>
                    <m:rPr>
                      <m:sty m:val="p"/>
                    </m:rPr>
                    <w:rPr>
                      <w:rFonts w:ascii="Cambria Math" w:hAnsi="Cambria Math"/>
                      <w:lang w:val="es-PE"/>
                    </w:rPr>
                    <m:t>}</m:t>
                  </m:r>
                </m:e>
                <m:sub>
                  <m:r>
                    <w:rPr>
                      <w:rFonts w:ascii="Cambria Math" w:hAnsi="Cambria Math"/>
                    </w:rPr>
                    <m:t>i</m:t>
                  </m:r>
                  <m:r>
                    <m:rPr>
                      <m:sty m:val="p"/>
                    </m:rPr>
                    <w:rPr>
                      <w:rFonts w:ascii="Cambria Math" w:hAnsi="Cambria Math"/>
                      <w:lang w:val="es-PE"/>
                    </w:rPr>
                    <m:t>=</m:t>
                  </m:r>
                  <m:r>
                    <w:rPr>
                      <w:rFonts w:ascii="Cambria Math" w:hAnsi="Cambria Math"/>
                      <w:lang w:val="es-PE"/>
                    </w:rPr>
                    <m:t>1</m:t>
                  </m:r>
                </m:sub>
                <m:sup>
                  <m:r>
                    <w:rPr>
                      <w:rFonts w:ascii="Cambria Math" w:hAnsi="Cambria Math"/>
                    </w:rPr>
                    <m:t>n</m:t>
                  </m:r>
                </m:sup>
              </m:sSubSup>
            </m:oMath>
            <w:r w:rsidRPr="00403B01">
              <w:rPr>
                <w:sz w:val="20"/>
                <w:lang w:val="es-PE"/>
              </w:rPr>
              <w:t xml:space="preserve">; </w:t>
            </w:r>
            <m:oMath>
              <m:r>
                <w:rPr>
                  <w:rFonts w:ascii="Cambria Math" w:hAnsi="Cambria Math"/>
                </w:rPr>
                <m:t>k</m:t>
              </m:r>
              <m:r>
                <m:rPr>
                  <m:sty m:val="p"/>
                </m:rPr>
                <w:rPr>
                  <w:rFonts w:ascii="Cambria Math" w:hAnsi="Cambria Math"/>
                  <w:lang w:val="es-PE"/>
                </w:rPr>
                <m:t>=</m:t>
              </m:r>
              <m:r>
                <w:rPr>
                  <w:rFonts w:ascii="Cambria Math" w:hAnsi="Cambria Math"/>
                  <w:lang w:val="es-PE"/>
                </w:rPr>
                <m:t>5</m:t>
              </m:r>
            </m:oMath>
            <w:r w:rsidRPr="00403B01">
              <w:rPr>
                <w:sz w:val="20"/>
                <w:lang w:val="es-PE"/>
              </w:rPr>
              <w:t xml:space="preserve">; </w:t>
            </w:r>
            <m:oMath>
              <m:r>
                <w:rPr>
                  <w:rFonts w:ascii="Cambria Math" w:hAnsi="Cambria Math"/>
                </w:rPr>
                <m:t>R</m:t>
              </m:r>
              <m:r>
                <m:rPr>
                  <m:sty m:val="p"/>
                </m:rPr>
                <w:rPr>
                  <w:rFonts w:ascii="Cambria Math" w:hAnsi="Cambria Math"/>
                  <w:lang w:val="es-PE"/>
                </w:rPr>
                <m:t>=</m:t>
              </m:r>
              <m:r>
                <w:rPr>
                  <w:rFonts w:ascii="Cambria Math" w:hAnsi="Cambria Math"/>
                  <w:lang w:val="es-PE"/>
                </w:rPr>
                <m:t>10</m:t>
              </m:r>
            </m:oMath>
          </w:p>
        </w:tc>
      </w:tr>
      <w:tr w:rsidR="00902FC3" w:rsidRPr="00774C95" w14:paraId="3DCDD067" w14:textId="77777777" w:rsidTr="00902FC3">
        <w:trPr>
          <w:cantSplit/>
        </w:trPr>
        <w:tc>
          <w:tcPr>
            <w:tcW w:w="0" w:type="auto"/>
          </w:tcPr>
          <w:p w14:paraId="5DE53923" w14:textId="77777777" w:rsidR="00902FC3" w:rsidRPr="00403B01" w:rsidRDefault="00000000">
            <w:pPr>
              <w:pStyle w:val="Compact"/>
              <w:keepNext/>
              <w:spacing w:before="20" w:after="20"/>
              <w:ind w:firstLine="0"/>
              <w:jc w:val="left"/>
              <w:rPr>
                <w:lang w:val="es-PE"/>
              </w:rPr>
            </w:pPr>
            <w:r w:rsidRPr="00403B01">
              <w:rPr>
                <w:sz w:val="20"/>
                <w:lang w:val="es-PE"/>
              </w:rPr>
              <w:t xml:space="preserve">1. Calcular MDI (9) una sola vez y obtener </w:t>
            </w:r>
            <m:oMath>
              <m:sSubSup>
                <m:sSubSupPr>
                  <m:ctrlPr>
                    <w:rPr>
                      <w:rFonts w:ascii="Cambria Math" w:hAnsi="Cambria Math"/>
                    </w:rPr>
                  </m:ctrlPr>
                </m:sSubSupPr>
                <m:e>
                  <m:r>
                    <w:rPr>
                      <w:rFonts w:ascii="Cambria Math" w:hAnsi="Cambria Math"/>
                    </w:rPr>
                    <m:t>T</m:t>
                  </m:r>
                </m:e>
                <m:sub>
                  <m:r>
                    <w:rPr>
                      <w:rFonts w:ascii="Cambria Math" w:hAnsi="Cambria Math"/>
                    </w:rPr>
                    <m:t>k</m:t>
                  </m:r>
                </m:sub>
                <m:sup>
                  <m:r>
                    <w:rPr>
                      <w:rFonts w:ascii="Cambria Math" w:hAnsi="Cambria Math"/>
                    </w:rPr>
                    <m:t>C</m:t>
                  </m:r>
                  <m:r>
                    <w:rPr>
                      <w:rFonts w:ascii="Cambria Math" w:hAnsi="Cambria Math"/>
                      <w:lang w:val="es-PE"/>
                    </w:rPr>
                    <m:t>0</m:t>
                  </m:r>
                </m:sup>
              </m:sSubSup>
            </m:oMath>
            <w:r w:rsidRPr="00403B01">
              <w:rPr>
                <w:sz w:val="20"/>
                <w:lang w:val="es-PE"/>
              </w:rPr>
              <w:t>.</w:t>
            </w:r>
          </w:p>
        </w:tc>
      </w:tr>
      <w:tr w:rsidR="00902FC3" w:rsidRPr="00774C95" w14:paraId="4E927F36" w14:textId="77777777" w:rsidTr="00902FC3">
        <w:trPr>
          <w:cantSplit/>
        </w:trPr>
        <w:tc>
          <w:tcPr>
            <w:tcW w:w="0" w:type="auto"/>
          </w:tcPr>
          <w:p w14:paraId="1BC0CD59" w14:textId="77777777" w:rsidR="00902FC3" w:rsidRPr="00403B01" w:rsidRDefault="00000000">
            <w:pPr>
              <w:pStyle w:val="Compact"/>
              <w:keepNext/>
              <w:spacing w:before="20" w:after="20"/>
              <w:ind w:firstLine="0"/>
              <w:jc w:val="left"/>
              <w:rPr>
                <w:lang w:val="es-PE"/>
              </w:rPr>
            </w:pPr>
            <w:r w:rsidRPr="00403B01">
              <w:rPr>
                <w:sz w:val="20"/>
                <w:lang w:val="es-PE"/>
              </w:rPr>
              <w:t xml:space="preserve">2. Para cada alerta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403B01">
              <w:rPr>
                <w:sz w:val="20"/>
                <w:lang w:val="es-PE"/>
              </w:rPr>
              <w:t xml:space="preserve">: (a) </w:t>
            </w:r>
            <m:oMath>
              <m:sSup>
                <m:sSupPr>
                  <m:ctrlPr>
                    <w:rPr>
                      <w:rFonts w:ascii="Cambria Math" w:hAnsi="Cambria Math"/>
                    </w:rPr>
                  </m:ctrlPr>
                </m:sSupPr>
                <m:e>
                  <m:r>
                    <m:rPr>
                      <m:sty m:val="b"/>
                    </m:rPr>
                    <w:rPr>
                      <w:rFonts w:ascii="Cambria Math" w:hAnsi="Cambria Math"/>
                    </w:rPr>
                    <m:t>ϕ</m:t>
                  </m:r>
                </m:e>
                <m:sup>
                  <m:r>
                    <w:rPr>
                      <w:rFonts w:ascii="Cambria Math" w:hAnsi="Cambria Math"/>
                    </w:rPr>
                    <m:t>C</m:t>
                  </m:r>
                  <m:r>
                    <w:rPr>
                      <w:rFonts w:ascii="Cambria Math" w:hAnsi="Cambria Math"/>
                      <w:lang w:val="es-PE"/>
                    </w:rPr>
                    <m:t>1</m:t>
                  </m:r>
                </m:sup>
              </m:sSup>
              <m:r>
                <m:rPr>
                  <m:sty m:val="p"/>
                </m:rPr>
                <w:rPr>
                  <w:rFonts w:ascii="Cambria Math" w:hAnsi="Cambria Math"/>
                  <w:lang w:val="es-PE"/>
                </w:rPr>
                <m:t>←</m:t>
              </m:r>
            </m:oMath>
            <w:r w:rsidRPr="00403B01">
              <w:rPr>
                <w:sz w:val="20"/>
                <w:lang w:val="es-PE"/>
              </w:rPr>
              <w:t xml:space="preserve"> TreeSHAP</w:t>
            </w:r>
            <m:oMath>
              <m:d>
                <m:dPr>
                  <m:ctrlPr>
                    <w:rPr>
                      <w:rFonts w:ascii="Cambria Math" w:hAnsi="Cambria Math"/>
                    </w:rPr>
                  </m:ctrlPr>
                </m:dPr>
                <m:e>
                  <m:r>
                    <w:rPr>
                      <w:rFonts w:ascii="Cambria Math" w:hAnsi="Cambria Math"/>
                    </w:rPr>
                    <m:t>f</m:t>
                  </m:r>
                  <m:r>
                    <m:rPr>
                      <m:sty m:val="p"/>
                    </m:rPr>
                    <w:rPr>
                      <w:rFonts w:ascii="Cambria Math" w:hAnsi="Cambria Math"/>
                      <w:lang w:val="es-PE"/>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w:r w:rsidRPr="00403B01">
              <w:rPr>
                <w:sz w:val="20"/>
                <w:lang w:val="es-PE"/>
              </w:rPr>
              <w:t xml:space="preserve"> y registrar su tiempo; (b) para </w:t>
            </w:r>
            <m:oMath>
              <m:r>
                <w:rPr>
                  <w:rFonts w:ascii="Cambria Math" w:hAnsi="Cambria Math"/>
                </w:rPr>
                <m:t>r</m:t>
              </m:r>
              <m:r>
                <m:rPr>
                  <m:sty m:val="p"/>
                </m:rPr>
                <w:rPr>
                  <w:rFonts w:ascii="Cambria Math" w:hAnsi="Cambria Math"/>
                  <w:lang w:val="es-PE"/>
                </w:rPr>
                <m:t>=</m:t>
              </m:r>
              <m:r>
                <w:rPr>
                  <w:rFonts w:ascii="Cambria Math" w:hAnsi="Cambria Math"/>
                  <w:lang w:val="es-PE"/>
                </w:rPr>
                <m:t>1</m:t>
              </m:r>
              <m:r>
                <m:rPr>
                  <m:sty m:val="p"/>
                </m:rPr>
                <w:rPr>
                  <w:rFonts w:ascii="Cambria Math" w:hAnsi="Cambria Math"/>
                  <w:lang w:val="es-PE"/>
                </w:rPr>
                <m:t>,…,</m:t>
              </m:r>
              <m:r>
                <w:rPr>
                  <w:rFonts w:ascii="Cambria Math" w:hAnsi="Cambria Math"/>
                </w:rPr>
                <m:t>R</m:t>
              </m:r>
            </m:oMath>
            <w:r w:rsidRPr="00403B01">
              <w:rPr>
                <w:sz w:val="20"/>
                <w:lang w:val="es-PE"/>
              </w:rPr>
              <w:t xml:space="preserve">: </w:t>
            </w:r>
            <m:oMath>
              <m:sSup>
                <m:sSupPr>
                  <m:ctrlPr>
                    <w:rPr>
                      <w:rFonts w:ascii="Cambria Math" w:hAnsi="Cambria Math"/>
                    </w:rPr>
                  </m:ctrlPr>
                </m:sSupPr>
                <m:e>
                  <m:r>
                    <m:rPr>
                      <m:sty m:val="b"/>
                    </m:rPr>
                    <w:rPr>
                      <w:rFonts w:ascii="Cambria Math" w:hAnsi="Cambria Math"/>
                    </w:rPr>
                    <m:t>ϕ</m:t>
                  </m:r>
                </m:e>
                <m:sup>
                  <m:r>
                    <w:rPr>
                      <w:rFonts w:ascii="Cambria Math" w:hAnsi="Cambria Math"/>
                    </w:rPr>
                    <m:t>C</m:t>
                  </m:r>
                  <m:r>
                    <w:rPr>
                      <w:rFonts w:ascii="Cambria Math" w:hAnsi="Cambria Math"/>
                      <w:lang w:val="es-PE"/>
                    </w:rPr>
                    <m:t>2</m:t>
                  </m:r>
                  <m:r>
                    <m:rPr>
                      <m:sty m:val="p"/>
                    </m:rPr>
                    <w:rPr>
                      <w:rFonts w:ascii="Cambria Math" w:hAnsi="Cambria Math"/>
                      <w:lang w:val="es-PE"/>
                    </w:rPr>
                    <m:t>,</m:t>
                  </m:r>
                  <m:r>
                    <w:rPr>
                      <w:rFonts w:ascii="Cambria Math" w:hAnsi="Cambria Math"/>
                    </w:rPr>
                    <m:t>r</m:t>
                  </m:r>
                </m:sup>
              </m:sSup>
              <m:r>
                <m:rPr>
                  <m:sty m:val="p"/>
                </m:rPr>
                <w:rPr>
                  <w:rFonts w:ascii="Cambria Math" w:hAnsi="Cambria Math"/>
                  <w:lang w:val="es-PE"/>
                </w:rPr>
                <m:t>←</m:t>
              </m:r>
            </m:oMath>
            <w:r w:rsidRPr="00403B01">
              <w:rPr>
                <w:sz w:val="20"/>
                <w:lang w:val="es-PE"/>
              </w:rPr>
              <w:t xml:space="preserve"> LIME</w:t>
            </w:r>
            <m:oMath>
              <m:d>
                <m:dPr>
                  <m:ctrlPr>
                    <w:rPr>
                      <w:rFonts w:ascii="Cambria Math" w:hAnsi="Cambria Math"/>
                    </w:rPr>
                  </m:ctrlPr>
                </m:dPr>
                <m:e>
                  <m:r>
                    <w:rPr>
                      <w:rFonts w:ascii="Cambria Math" w:hAnsi="Cambria Math"/>
                    </w:rPr>
                    <m:t>f</m:t>
                  </m:r>
                  <m:r>
                    <m:rPr>
                      <m:sty m:val="p"/>
                    </m:rPr>
                    <w:rPr>
                      <w:rFonts w:ascii="Cambria Math" w:hAnsi="Cambria Math"/>
                      <w:lang w:val="es-PE"/>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lang w:val="es-PE"/>
                    </w:rPr>
                    <m:t>,</m:t>
                  </m:r>
                  <m:r>
                    <w:rPr>
                      <w:rFonts w:ascii="Cambria Math" w:hAnsi="Cambria Math"/>
                    </w:rPr>
                    <m:t>r</m:t>
                  </m:r>
                </m:e>
              </m:d>
            </m:oMath>
            <w:r w:rsidRPr="00403B01">
              <w:rPr>
                <w:sz w:val="20"/>
                <w:lang w:val="es-PE"/>
              </w:rPr>
              <w:t xml:space="preserve"> y registrar su tiempo; (c) para cada condición </w:t>
            </w:r>
            <m:oMath>
              <m:r>
                <w:rPr>
                  <w:rFonts w:ascii="Cambria Math" w:hAnsi="Cambria Math"/>
                </w:rPr>
                <m:t>c</m:t>
              </m:r>
              <m:r>
                <m:rPr>
                  <m:sty m:val="p"/>
                </m:rPr>
                <w:rPr>
                  <w:rFonts w:ascii="Cambria Math" w:hAnsi="Cambria Math"/>
                  <w:lang w:val="es-PE"/>
                </w:rPr>
                <m:t>∈{</m:t>
              </m:r>
              <m:r>
                <w:rPr>
                  <w:rFonts w:ascii="Cambria Math" w:hAnsi="Cambria Math"/>
                </w:rPr>
                <m:t>C</m:t>
              </m:r>
              <m:r>
                <w:rPr>
                  <w:rFonts w:ascii="Cambria Math" w:hAnsi="Cambria Math"/>
                  <w:lang w:val="es-PE"/>
                </w:rPr>
                <m:t>0</m:t>
              </m:r>
              <m:r>
                <m:rPr>
                  <m:sty m:val="p"/>
                </m:rPr>
                <w:rPr>
                  <w:rFonts w:ascii="Cambria Math" w:hAnsi="Cambria Math"/>
                  <w:lang w:val="es-PE"/>
                </w:rPr>
                <m:t>,</m:t>
              </m:r>
              <m:r>
                <w:rPr>
                  <w:rFonts w:ascii="Cambria Math" w:hAnsi="Cambria Math"/>
                </w:rPr>
                <m:t>C</m:t>
              </m:r>
              <m:r>
                <w:rPr>
                  <w:rFonts w:ascii="Cambria Math" w:hAnsi="Cambria Math"/>
                  <w:lang w:val="es-PE"/>
                </w:rPr>
                <m:t>1</m:t>
              </m:r>
              <m:r>
                <m:rPr>
                  <m:sty m:val="p"/>
                </m:rPr>
                <w:rPr>
                  <w:rFonts w:ascii="Cambria Math" w:hAnsi="Cambria Math"/>
                  <w:lang w:val="es-PE"/>
                </w:rPr>
                <m:t>,</m:t>
              </m:r>
              <m:r>
                <w:rPr>
                  <w:rFonts w:ascii="Cambria Math" w:hAnsi="Cambria Math"/>
                </w:rPr>
                <m:t>C</m:t>
              </m:r>
              <m:r>
                <w:rPr>
                  <w:rFonts w:ascii="Cambria Math" w:hAnsi="Cambria Math"/>
                  <w:lang w:val="es-PE"/>
                </w:rPr>
                <m:t>2</m:t>
              </m:r>
              <m:r>
                <m:rPr>
                  <m:sty m:val="p"/>
                </m:rPr>
                <w:rPr>
                  <w:rFonts w:ascii="Cambria Math" w:hAnsi="Cambria Math"/>
                  <w:lang w:val="es-PE"/>
                </w:rPr>
                <m:t>}</m:t>
              </m:r>
            </m:oMath>
            <w:r w:rsidRPr="00403B01">
              <w:rPr>
                <w:sz w:val="20"/>
                <w:lang w:val="es-PE"/>
              </w:rPr>
              <w:t xml:space="preserve">, calcular </w:t>
            </w:r>
            <m:oMath>
              <m:r>
                <w:rPr>
                  <w:rFonts w:ascii="Cambria Math" w:hAnsi="Cambria Math"/>
                </w:rPr>
                <m:t>Δp</m:t>
              </m:r>
              <m:r>
                <m:rPr>
                  <m:sty m:val="p"/>
                </m:rPr>
                <w:rPr>
                  <w:rFonts w:ascii="Cambria Math" w:hAnsi="Cambria Math"/>
                  <w:lang w:val="es-PE"/>
                </w:rPr>
                <m:t>@</m:t>
              </m:r>
              <m:r>
                <w:rPr>
                  <w:rFonts w:ascii="Cambria Math" w:hAnsi="Cambria Math"/>
                </w:rPr>
                <m:t>k</m:t>
              </m:r>
            </m:oMath>
            <w:r w:rsidRPr="00403B01">
              <w:rPr>
                <w:sz w:val="20"/>
                <w:lang w:val="es-PE"/>
              </w:rPr>
              <w:t xml:space="preserve"> y </w:t>
            </w:r>
            <m:oMath>
              <m:r>
                <w:rPr>
                  <w:rFonts w:ascii="Cambria Math" w:hAnsi="Cambria Math"/>
                </w:rPr>
                <m:t>TID</m:t>
              </m:r>
              <m:r>
                <m:rPr>
                  <m:sty m:val="p"/>
                </m:rPr>
                <w:rPr>
                  <w:rFonts w:ascii="Cambria Math" w:hAnsi="Cambria Math"/>
                  <w:lang w:val="es-PE"/>
                </w:rPr>
                <m:t>@</m:t>
              </m:r>
              <m:r>
                <w:rPr>
                  <w:rFonts w:ascii="Cambria Math" w:hAnsi="Cambria Math"/>
                </w:rPr>
                <m:t>k</m:t>
              </m:r>
            </m:oMath>
            <w:r w:rsidRPr="00403B01">
              <w:rPr>
                <w:sz w:val="20"/>
                <w:lang w:val="es-PE"/>
              </w:rPr>
              <w:t xml:space="preserve"> (1–2), </w:t>
            </w:r>
            <m:oMath>
              <m:r>
                <w:rPr>
                  <w:rFonts w:ascii="Cambria Math" w:hAnsi="Cambria Math"/>
                </w:rPr>
                <m:t>RP</m:t>
              </m:r>
            </m:oMath>
            <w:r w:rsidRPr="00403B01">
              <w:rPr>
                <w:sz w:val="20"/>
                <w:lang w:val="es-PE"/>
              </w:rPr>
              <w:t xml:space="preserve"> (4), </w:t>
            </w:r>
            <m:oMath>
              <m:r>
                <w:rPr>
                  <w:rFonts w:ascii="Cambria Math" w:hAnsi="Cambria Math"/>
                </w:rPr>
                <m:t>NC</m:t>
              </m:r>
              <m:r>
                <w:rPr>
                  <w:rFonts w:ascii="Cambria Math" w:hAnsi="Cambria Math"/>
                  <w:lang w:val="es-PE"/>
                </w:rPr>
                <m:t>80</m:t>
              </m:r>
            </m:oMath>
            <w:r w:rsidRPr="00403B01">
              <w:rPr>
                <w:sz w:val="20"/>
                <w:lang w:val="es-PE"/>
              </w:rPr>
              <w:t xml:space="preserve"> y </w:t>
            </w:r>
            <m:oMath>
              <m:r>
                <w:rPr>
                  <w:rFonts w:ascii="Cambria Math" w:hAnsi="Cambria Math"/>
                </w:rPr>
                <m:t>CT</m:t>
              </m:r>
              <m:r>
                <w:rPr>
                  <w:rFonts w:ascii="Cambria Math" w:hAnsi="Cambria Math"/>
                  <w:lang w:val="es-PE"/>
                </w:rPr>
                <m:t>3</m:t>
              </m:r>
            </m:oMath>
            <w:r w:rsidRPr="00403B01">
              <w:rPr>
                <w:sz w:val="20"/>
                <w:lang w:val="es-PE"/>
              </w:rPr>
              <w:t xml:space="preserve"> (5–6); (d) calcular </w:t>
            </w:r>
            <m:oMath>
              <m:r>
                <w:rPr>
                  <w:rFonts w:ascii="Cambria Math" w:hAnsi="Cambria Math"/>
                </w:rPr>
                <m:t>EE</m:t>
              </m:r>
            </m:oMath>
            <w:r w:rsidRPr="00403B01">
              <w:rPr>
                <w:sz w:val="20"/>
                <w:lang w:val="es-PE"/>
              </w:rPr>
              <w:t xml:space="preserve"> (3) para C2 y la concordancia C1–C2.</w:t>
            </w:r>
          </w:p>
        </w:tc>
      </w:tr>
      <w:tr w:rsidR="00902FC3" w:rsidRPr="00774C95" w14:paraId="27AD39A7" w14:textId="77777777" w:rsidTr="00902FC3">
        <w:trPr>
          <w:cantSplit/>
        </w:trPr>
        <w:tc>
          <w:tcPr>
            <w:tcW w:w="0" w:type="auto"/>
          </w:tcPr>
          <w:p w14:paraId="65271714" w14:textId="77777777" w:rsidR="00902FC3" w:rsidRPr="00403B01" w:rsidRDefault="00000000">
            <w:pPr>
              <w:pStyle w:val="Compact"/>
              <w:keepNext/>
              <w:spacing w:before="20" w:after="20"/>
              <w:ind w:firstLine="0"/>
              <w:jc w:val="left"/>
              <w:rPr>
                <w:lang w:val="es-PE"/>
              </w:rPr>
            </w:pPr>
            <w:r w:rsidRPr="00403B01">
              <w:rPr>
                <w:sz w:val="20"/>
                <w:lang w:val="es-PE"/>
              </w:rPr>
              <w:t>3. Aplicar las pruebas de la Sección 3.6 y exportar el registro de observación estructurada.</w:t>
            </w:r>
          </w:p>
        </w:tc>
      </w:tr>
      <w:tr w:rsidR="00902FC3" w:rsidRPr="00774C95" w14:paraId="23CA00FC" w14:textId="77777777" w:rsidTr="00902FC3">
        <w:trPr>
          <w:cantSplit/>
        </w:trPr>
        <w:tc>
          <w:tcPr>
            <w:tcW w:w="0" w:type="auto"/>
          </w:tcPr>
          <w:p w14:paraId="3B8977E9" w14:textId="77777777" w:rsidR="00902FC3" w:rsidRPr="00403B01" w:rsidRDefault="00000000">
            <w:pPr>
              <w:pStyle w:val="Compact"/>
              <w:spacing w:before="20" w:after="20"/>
              <w:ind w:firstLine="0"/>
              <w:jc w:val="left"/>
              <w:rPr>
                <w:lang w:val="es-PE"/>
              </w:rPr>
            </w:pPr>
            <w:r w:rsidRPr="00403B01">
              <w:rPr>
                <w:b/>
                <w:bCs/>
                <w:sz w:val="20"/>
                <w:lang w:val="es-PE"/>
              </w:rPr>
              <w:t>Salida:</w:t>
            </w:r>
            <w:r w:rsidRPr="00403B01">
              <w:rPr>
                <w:sz w:val="20"/>
                <w:lang w:val="es-PE"/>
              </w:rPr>
              <w:t xml:space="preserve"> registro por alerta y estadísticos de contraste.</w:t>
            </w:r>
          </w:p>
        </w:tc>
      </w:tr>
    </w:tbl>
    <w:p w14:paraId="17948723" w14:textId="77777777" w:rsidR="00902FC3" w:rsidRPr="00403B01" w:rsidRDefault="00000000">
      <w:pPr>
        <w:pStyle w:val="Heading1"/>
        <w:rPr>
          <w:lang w:val="es-PE"/>
        </w:rPr>
      </w:pPr>
      <w:bookmarkStart w:id="14" w:name="resultados"/>
      <w:bookmarkEnd w:id="9"/>
      <w:bookmarkEnd w:id="13"/>
      <w:r w:rsidRPr="00403B01">
        <w:rPr>
          <w:lang w:val="es-PE"/>
        </w:rPr>
        <w:t>5. Resultados</w:t>
      </w:r>
    </w:p>
    <w:p w14:paraId="3810F70C" w14:textId="77777777" w:rsidR="00902FC3" w:rsidRPr="00403B01" w:rsidRDefault="00000000">
      <w:pPr>
        <w:pStyle w:val="Heading2"/>
        <w:rPr>
          <w:lang w:val="es-PE"/>
        </w:rPr>
      </w:pPr>
      <w:bookmarkStart w:id="15" w:name="desempeño-del-detector"/>
      <w:r w:rsidRPr="00403B01">
        <w:rPr>
          <w:lang w:val="es-PE"/>
        </w:rPr>
        <w:t>5.1 Desempeño del detector</w:t>
      </w:r>
    </w:p>
    <w:p w14:paraId="7DE25D13" w14:textId="77777777" w:rsidR="00902FC3" w:rsidRPr="00403B01" w:rsidRDefault="00000000">
      <w:pPr>
        <w:pStyle w:val="FirstParagraph"/>
        <w:rPr>
          <w:lang w:val="es-PE"/>
        </w:rPr>
      </w:pPr>
      <w:r w:rsidRPr="00403B01">
        <w:rPr>
          <w:lang w:val="es-PE"/>
        </w:rPr>
        <w:t xml:space="preserve">El Random Forest se entrenó en 6,9 s y alcanzó una exactitud de 0,886, un F1 macro de 0,553 y una TFP macro de 0,162 (Tabla 3). El desempeño es alto para Mirai y bajo para las familias minoritarias: el 52,3 % de las ventanas de </w:t>
      </w:r>
      <w:proofErr w:type="spellStart"/>
      <w:r w:rsidRPr="00403B01">
        <w:rPr>
          <w:lang w:val="es-PE"/>
        </w:rPr>
        <w:t>DarkNexus</w:t>
      </w:r>
      <w:proofErr w:type="spellEnd"/>
      <w:r w:rsidRPr="00403B01">
        <w:rPr>
          <w:lang w:val="es-PE"/>
        </w:rPr>
        <w:t xml:space="preserve"> y el 19,2 % de las de </w:t>
      </w:r>
      <w:proofErr w:type="spellStart"/>
      <w:r w:rsidRPr="00403B01">
        <w:rPr>
          <w:lang w:val="es-PE"/>
        </w:rPr>
        <w:t>Gafgyt</w:t>
      </w:r>
      <w:proofErr w:type="spellEnd"/>
      <w:r w:rsidRPr="00403B01">
        <w:rPr>
          <w:lang w:val="es-PE"/>
        </w:rPr>
        <w:t xml:space="preserve"> se clasificaron como Mirai, lo que explica la TFP de 0,425 de esta familia (Figura 2). Las características con mayor importancia global (C0) fueron Rate (0,440), Telnet (0,148), </w:t>
      </w:r>
      <w:proofErr w:type="spellStart"/>
      <w:r w:rsidRPr="00403B01">
        <w:rPr>
          <w:lang w:val="es-PE"/>
        </w:rPr>
        <w:t>Time_To_Live</w:t>
      </w:r>
      <w:proofErr w:type="spellEnd"/>
      <w:r w:rsidRPr="00403B01">
        <w:rPr>
          <w:lang w:val="es-PE"/>
        </w:rPr>
        <w:t xml:space="preserve"> (0,050), AVG (0,037) y Tot </w:t>
      </w:r>
      <w:proofErr w:type="spellStart"/>
      <w:r w:rsidRPr="00403B01">
        <w:rPr>
          <w:lang w:val="es-PE"/>
        </w:rPr>
        <w:t>size</w:t>
      </w:r>
      <w:proofErr w:type="spellEnd"/>
      <w:r w:rsidRPr="00403B01">
        <w:rPr>
          <w:lang w:val="es-PE"/>
        </w:rPr>
        <w:t xml:space="preserve"> (0,029). En la muestra de 390 alertas, el detector acertó la familia en el 98,5 % de las de Mirai y en el 30,8 % de las de </w:t>
      </w:r>
      <w:proofErr w:type="spellStart"/>
      <w:r w:rsidRPr="00403B01">
        <w:rPr>
          <w:lang w:val="es-PE"/>
        </w:rPr>
        <w:t>DarkNexus</w:t>
      </w:r>
      <w:proofErr w:type="spellEnd"/>
      <w:r w:rsidRPr="00403B01">
        <w:rPr>
          <w:lang w:val="es-PE"/>
        </w:rPr>
        <w:t xml:space="preserve"> y de </w:t>
      </w:r>
      <w:proofErr w:type="spellStart"/>
      <w:r w:rsidRPr="00403B01">
        <w:rPr>
          <w:lang w:val="es-PE"/>
        </w:rPr>
        <w:t>Gafgyt</w:t>
      </w:r>
      <w:proofErr w:type="spellEnd"/>
      <w:r w:rsidRPr="00403B01">
        <w:rPr>
          <w:lang w:val="es-PE"/>
        </w:rPr>
        <w:t>.</w:t>
      </w:r>
    </w:p>
    <w:p w14:paraId="70199A4F" w14:textId="77777777" w:rsidR="00902FC3" w:rsidRPr="00403B01" w:rsidRDefault="00000000">
      <w:pPr>
        <w:pStyle w:val="BodyText"/>
        <w:keepNext/>
        <w:spacing w:before="160" w:after="0"/>
        <w:ind w:firstLine="0"/>
        <w:rPr>
          <w:lang w:val="es-PE"/>
        </w:rPr>
      </w:pPr>
      <w:r w:rsidRPr="00403B01">
        <w:rPr>
          <w:b/>
          <w:bCs/>
          <w:lang w:val="es-PE"/>
        </w:rPr>
        <w:t>Tabla 3</w:t>
      </w:r>
    </w:p>
    <w:p w14:paraId="2141C502" w14:textId="77777777" w:rsidR="00902FC3" w:rsidRPr="00403B01" w:rsidRDefault="00000000">
      <w:pPr>
        <w:pStyle w:val="BodyText"/>
        <w:keepNext/>
        <w:ind w:firstLine="0"/>
        <w:rPr>
          <w:lang w:val="es-PE"/>
        </w:rPr>
      </w:pPr>
      <w:r w:rsidRPr="00403B01">
        <w:rPr>
          <w:i/>
          <w:iCs/>
          <w:lang w:val="es-PE"/>
        </w:rPr>
        <w:t>Desempeño del detector Random Forest en el conjunto de prueba</w:t>
      </w:r>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813"/>
        <w:gridCol w:w="1547"/>
        <w:gridCol w:w="2191"/>
        <w:gridCol w:w="1072"/>
        <w:gridCol w:w="1072"/>
        <w:gridCol w:w="1547"/>
      </w:tblGrid>
      <w:tr w:rsidR="00902FC3" w14:paraId="1CFC4040" w14:textId="77777777" w:rsidTr="00902FC3">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bottom w:val="single" w:sz="8" w:space="0" w:color="000000"/>
              <w:right w:val="nil"/>
            </w:tcBorders>
          </w:tcPr>
          <w:p w14:paraId="732F9E63" w14:textId="77777777" w:rsidR="00902FC3" w:rsidRDefault="00000000">
            <w:pPr>
              <w:pStyle w:val="Compact"/>
              <w:spacing w:before="20" w:after="20"/>
              <w:ind w:firstLine="0"/>
              <w:jc w:val="left"/>
            </w:pPr>
            <w:r>
              <w:rPr>
                <w:sz w:val="20"/>
              </w:rPr>
              <w:t>Familia</w:t>
            </w:r>
          </w:p>
        </w:tc>
        <w:tc>
          <w:tcPr>
            <w:tcW w:w="0" w:type="auto"/>
            <w:tcBorders>
              <w:top w:val="nil"/>
              <w:left w:val="nil"/>
              <w:bottom w:val="single" w:sz="8" w:space="0" w:color="000000"/>
              <w:right w:val="nil"/>
            </w:tcBorders>
          </w:tcPr>
          <w:p w14:paraId="04DC32CE" w14:textId="77777777" w:rsidR="00902FC3" w:rsidRDefault="00000000">
            <w:pPr>
              <w:pStyle w:val="Compact"/>
              <w:spacing w:before="20" w:after="20"/>
              <w:ind w:firstLine="0"/>
              <w:jc w:val="right"/>
            </w:pPr>
            <w:proofErr w:type="spellStart"/>
            <w:r>
              <w:rPr>
                <w:sz w:val="20"/>
              </w:rPr>
              <w:t>Precisión</w:t>
            </w:r>
            <w:proofErr w:type="spellEnd"/>
          </w:p>
        </w:tc>
        <w:tc>
          <w:tcPr>
            <w:tcW w:w="0" w:type="auto"/>
            <w:tcBorders>
              <w:top w:val="nil"/>
              <w:left w:val="nil"/>
              <w:bottom w:val="single" w:sz="8" w:space="0" w:color="000000"/>
              <w:right w:val="nil"/>
            </w:tcBorders>
          </w:tcPr>
          <w:p w14:paraId="0E95BF9D" w14:textId="77777777" w:rsidR="00902FC3" w:rsidRDefault="00000000">
            <w:pPr>
              <w:pStyle w:val="Compact"/>
              <w:spacing w:before="20" w:after="20"/>
              <w:ind w:firstLine="0"/>
              <w:jc w:val="right"/>
            </w:pPr>
            <w:proofErr w:type="spellStart"/>
            <w:r>
              <w:rPr>
                <w:sz w:val="20"/>
              </w:rPr>
              <w:t>Exhaustividad</w:t>
            </w:r>
            <w:proofErr w:type="spellEnd"/>
          </w:p>
        </w:tc>
        <w:tc>
          <w:tcPr>
            <w:tcW w:w="0" w:type="auto"/>
            <w:tcBorders>
              <w:top w:val="nil"/>
              <w:left w:val="nil"/>
              <w:bottom w:val="single" w:sz="8" w:space="0" w:color="000000"/>
              <w:right w:val="nil"/>
            </w:tcBorders>
          </w:tcPr>
          <w:p w14:paraId="21E4950C" w14:textId="77777777" w:rsidR="00902FC3" w:rsidRDefault="00000000">
            <w:pPr>
              <w:pStyle w:val="Compact"/>
              <w:spacing w:before="20" w:after="20"/>
              <w:ind w:firstLine="0"/>
              <w:jc w:val="right"/>
            </w:pPr>
            <w:r>
              <w:rPr>
                <w:sz w:val="20"/>
              </w:rPr>
              <w:t>F1</w:t>
            </w:r>
          </w:p>
        </w:tc>
        <w:tc>
          <w:tcPr>
            <w:tcW w:w="0" w:type="auto"/>
            <w:tcBorders>
              <w:top w:val="nil"/>
              <w:left w:val="nil"/>
              <w:bottom w:val="single" w:sz="8" w:space="0" w:color="000000"/>
              <w:right w:val="nil"/>
            </w:tcBorders>
          </w:tcPr>
          <w:p w14:paraId="5936AAE0" w14:textId="77777777" w:rsidR="00902FC3" w:rsidRDefault="00000000">
            <w:pPr>
              <w:pStyle w:val="Compact"/>
              <w:spacing w:before="20" w:after="20"/>
              <w:ind w:firstLine="0"/>
              <w:jc w:val="right"/>
            </w:pPr>
            <w:r>
              <w:rPr>
                <w:sz w:val="20"/>
              </w:rPr>
              <w:t>TFP</w:t>
            </w:r>
          </w:p>
        </w:tc>
        <w:tc>
          <w:tcPr>
            <w:tcW w:w="0" w:type="auto"/>
            <w:tcBorders>
              <w:top w:val="nil"/>
              <w:left w:val="nil"/>
              <w:bottom w:val="single" w:sz="8" w:space="0" w:color="000000"/>
              <w:right w:val="nil"/>
            </w:tcBorders>
          </w:tcPr>
          <w:p w14:paraId="21463216" w14:textId="77777777" w:rsidR="00902FC3" w:rsidRDefault="00000000">
            <w:pPr>
              <w:pStyle w:val="Compact"/>
              <w:spacing w:before="20" w:after="20"/>
              <w:ind w:firstLine="0"/>
              <w:jc w:val="right"/>
            </w:pPr>
            <w:r>
              <w:rPr>
                <w:sz w:val="20"/>
              </w:rPr>
              <w:t>Ventanas</w:t>
            </w:r>
          </w:p>
        </w:tc>
      </w:tr>
      <w:tr w:rsidR="00902FC3" w14:paraId="2208F4E1" w14:textId="77777777">
        <w:tc>
          <w:tcPr>
            <w:tcW w:w="0" w:type="auto"/>
          </w:tcPr>
          <w:p w14:paraId="14398AF4" w14:textId="77777777" w:rsidR="00902FC3" w:rsidRDefault="00000000">
            <w:pPr>
              <w:pStyle w:val="Compact"/>
              <w:spacing w:before="20" w:after="20"/>
              <w:ind w:firstLine="0"/>
              <w:jc w:val="left"/>
            </w:pPr>
            <w:proofErr w:type="spellStart"/>
            <w:r>
              <w:rPr>
                <w:sz w:val="20"/>
              </w:rPr>
              <w:t>DarkNexus</w:t>
            </w:r>
            <w:proofErr w:type="spellEnd"/>
          </w:p>
        </w:tc>
        <w:tc>
          <w:tcPr>
            <w:tcW w:w="0" w:type="auto"/>
          </w:tcPr>
          <w:p w14:paraId="7E9472DA" w14:textId="77777777" w:rsidR="00902FC3" w:rsidRDefault="00000000">
            <w:pPr>
              <w:pStyle w:val="Compact"/>
              <w:spacing w:before="20" w:after="20"/>
              <w:ind w:firstLine="0"/>
              <w:jc w:val="right"/>
            </w:pPr>
            <w:r>
              <w:rPr>
                <w:sz w:val="20"/>
              </w:rPr>
              <w:t>0,443</w:t>
            </w:r>
          </w:p>
        </w:tc>
        <w:tc>
          <w:tcPr>
            <w:tcW w:w="0" w:type="auto"/>
          </w:tcPr>
          <w:p w14:paraId="20070896" w14:textId="77777777" w:rsidR="00902FC3" w:rsidRDefault="00000000">
            <w:pPr>
              <w:pStyle w:val="Compact"/>
              <w:spacing w:before="20" w:after="20"/>
              <w:ind w:firstLine="0"/>
              <w:jc w:val="right"/>
            </w:pPr>
            <w:r>
              <w:rPr>
                <w:sz w:val="20"/>
              </w:rPr>
              <w:t>0,366</w:t>
            </w:r>
          </w:p>
        </w:tc>
        <w:tc>
          <w:tcPr>
            <w:tcW w:w="0" w:type="auto"/>
          </w:tcPr>
          <w:p w14:paraId="48E131D7" w14:textId="77777777" w:rsidR="00902FC3" w:rsidRDefault="00000000">
            <w:pPr>
              <w:pStyle w:val="Compact"/>
              <w:spacing w:before="20" w:after="20"/>
              <w:ind w:firstLine="0"/>
              <w:jc w:val="right"/>
            </w:pPr>
            <w:r>
              <w:rPr>
                <w:sz w:val="20"/>
              </w:rPr>
              <w:t>0,401</w:t>
            </w:r>
          </w:p>
        </w:tc>
        <w:tc>
          <w:tcPr>
            <w:tcW w:w="0" w:type="auto"/>
          </w:tcPr>
          <w:p w14:paraId="0241ECA9" w14:textId="77777777" w:rsidR="00902FC3" w:rsidRDefault="00000000">
            <w:pPr>
              <w:pStyle w:val="Compact"/>
              <w:spacing w:before="20" w:after="20"/>
              <w:ind w:firstLine="0"/>
              <w:jc w:val="right"/>
            </w:pPr>
            <w:r>
              <w:rPr>
                <w:sz w:val="20"/>
              </w:rPr>
              <w:t>0,049</w:t>
            </w:r>
          </w:p>
        </w:tc>
        <w:tc>
          <w:tcPr>
            <w:tcW w:w="0" w:type="auto"/>
          </w:tcPr>
          <w:p w14:paraId="3620C3EC" w14:textId="77777777" w:rsidR="00902FC3" w:rsidRDefault="00000000">
            <w:pPr>
              <w:pStyle w:val="Compact"/>
              <w:spacing w:before="20" w:after="20"/>
              <w:ind w:firstLine="0"/>
              <w:jc w:val="right"/>
            </w:pPr>
            <w:r>
              <w:rPr>
                <w:sz w:val="20"/>
              </w:rPr>
              <w:t>4 252</w:t>
            </w:r>
          </w:p>
        </w:tc>
      </w:tr>
      <w:tr w:rsidR="00902FC3" w14:paraId="4C8F7B42" w14:textId="77777777">
        <w:tc>
          <w:tcPr>
            <w:tcW w:w="0" w:type="auto"/>
          </w:tcPr>
          <w:p w14:paraId="4CA7126F" w14:textId="77777777" w:rsidR="00902FC3" w:rsidRDefault="00000000">
            <w:pPr>
              <w:pStyle w:val="Compact"/>
              <w:spacing w:before="20" w:after="20"/>
              <w:ind w:firstLine="0"/>
              <w:jc w:val="left"/>
            </w:pPr>
            <w:proofErr w:type="spellStart"/>
            <w:r>
              <w:rPr>
                <w:sz w:val="20"/>
              </w:rPr>
              <w:t>Gafgyt</w:t>
            </w:r>
            <w:proofErr w:type="spellEnd"/>
          </w:p>
        </w:tc>
        <w:tc>
          <w:tcPr>
            <w:tcW w:w="0" w:type="auto"/>
          </w:tcPr>
          <w:p w14:paraId="407B1D17" w14:textId="77777777" w:rsidR="00902FC3" w:rsidRDefault="00000000">
            <w:pPr>
              <w:pStyle w:val="Compact"/>
              <w:spacing w:before="20" w:after="20"/>
              <w:ind w:firstLine="0"/>
              <w:jc w:val="right"/>
            </w:pPr>
            <w:r>
              <w:rPr>
                <w:sz w:val="20"/>
              </w:rPr>
              <w:t>0,446</w:t>
            </w:r>
          </w:p>
        </w:tc>
        <w:tc>
          <w:tcPr>
            <w:tcW w:w="0" w:type="auto"/>
          </w:tcPr>
          <w:p w14:paraId="4E17E35B" w14:textId="77777777" w:rsidR="00902FC3" w:rsidRDefault="00000000">
            <w:pPr>
              <w:pStyle w:val="Compact"/>
              <w:spacing w:before="20" w:after="20"/>
              <w:ind w:firstLine="0"/>
              <w:jc w:val="right"/>
            </w:pPr>
            <w:r>
              <w:rPr>
                <w:sz w:val="20"/>
              </w:rPr>
              <w:t>0,229</w:t>
            </w:r>
          </w:p>
        </w:tc>
        <w:tc>
          <w:tcPr>
            <w:tcW w:w="0" w:type="auto"/>
          </w:tcPr>
          <w:p w14:paraId="0579F866" w14:textId="77777777" w:rsidR="00902FC3" w:rsidRDefault="00000000">
            <w:pPr>
              <w:pStyle w:val="Compact"/>
              <w:spacing w:before="20" w:after="20"/>
              <w:ind w:firstLine="0"/>
              <w:jc w:val="right"/>
            </w:pPr>
            <w:r>
              <w:rPr>
                <w:sz w:val="20"/>
              </w:rPr>
              <w:t>0,303</w:t>
            </w:r>
          </w:p>
        </w:tc>
        <w:tc>
          <w:tcPr>
            <w:tcW w:w="0" w:type="auto"/>
          </w:tcPr>
          <w:p w14:paraId="333B0878" w14:textId="77777777" w:rsidR="00902FC3" w:rsidRDefault="00000000">
            <w:pPr>
              <w:pStyle w:val="Compact"/>
              <w:spacing w:before="20" w:after="20"/>
              <w:ind w:firstLine="0"/>
              <w:jc w:val="right"/>
            </w:pPr>
            <w:r>
              <w:rPr>
                <w:sz w:val="20"/>
              </w:rPr>
              <w:t>0,012</w:t>
            </w:r>
          </w:p>
        </w:tc>
        <w:tc>
          <w:tcPr>
            <w:tcW w:w="0" w:type="auto"/>
          </w:tcPr>
          <w:p w14:paraId="7AC0ABE5" w14:textId="77777777" w:rsidR="00902FC3" w:rsidRDefault="00000000">
            <w:pPr>
              <w:pStyle w:val="Compact"/>
              <w:spacing w:before="20" w:after="20"/>
              <w:ind w:firstLine="0"/>
              <w:jc w:val="right"/>
            </w:pPr>
            <w:r>
              <w:rPr>
                <w:sz w:val="20"/>
              </w:rPr>
              <w:t>1 775</w:t>
            </w:r>
          </w:p>
        </w:tc>
      </w:tr>
      <w:tr w:rsidR="00902FC3" w14:paraId="48C4828A" w14:textId="77777777">
        <w:tc>
          <w:tcPr>
            <w:tcW w:w="0" w:type="auto"/>
          </w:tcPr>
          <w:p w14:paraId="3778719D" w14:textId="77777777" w:rsidR="00902FC3" w:rsidRDefault="00000000">
            <w:pPr>
              <w:pStyle w:val="Compact"/>
              <w:spacing w:before="20" w:after="20"/>
              <w:ind w:firstLine="0"/>
              <w:jc w:val="left"/>
            </w:pPr>
            <w:r>
              <w:rPr>
                <w:sz w:val="20"/>
              </w:rPr>
              <w:t>Mirai</w:t>
            </w:r>
          </w:p>
        </w:tc>
        <w:tc>
          <w:tcPr>
            <w:tcW w:w="0" w:type="auto"/>
          </w:tcPr>
          <w:p w14:paraId="22AB5753" w14:textId="77777777" w:rsidR="00902FC3" w:rsidRDefault="00000000">
            <w:pPr>
              <w:pStyle w:val="Compact"/>
              <w:spacing w:before="20" w:after="20"/>
              <w:ind w:firstLine="0"/>
              <w:jc w:val="right"/>
            </w:pPr>
            <w:r>
              <w:rPr>
                <w:sz w:val="20"/>
              </w:rPr>
              <w:t>0,936</w:t>
            </w:r>
          </w:p>
        </w:tc>
        <w:tc>
          <w:tcPr>
            <w:tcW w:w="0" w:type="auto"/>
          </w:tcPr>
          <w:p w14:paraId="2241C2FA" w14:textId="77777777" w:rsidR="00902FC3" w:rsidRDefault="00000000">
            <w:pPr>
              <w:pStyle w:val="Compact"/>
              <w:spacing w:before="20" w:after="20"/>
              <w:ind w:firstLine="0"/>
              <w:jc w:val="right"/>
            </w:pPr>
            <w:r>
              <w:rPr>
                <w:sz w:val="20"/>
              </w:rPr>
              <w:t>0,975</w:t>
            </w:r>
          </w:p>
        </w:tc>
        <w:tc>
          <w:tcPr>
            <w:tcW w:w="0" w:type="auto"/>
          </w:tcPr>
          <w:p w14:paraId="4FE1B0A9" w14:textId="77777777" w:rsidR="00902FC3" w:rsidRDefault="00000000">
            <w:pPr>
              <w:pStyle w:val="Compact"/>
              <w:spacing w:before="20" w:after="20"/>
              <w:ind w:firstLine="0"/>
              <w:jc w:val="right"/>
            </w:pPr>
            <w:r>
              <w:rPr>
                <w:sz w:val="20"/>
              </w:rPr>
              <w:t>0,955</w:t>
            </w:r>
          </w:p>
        </w:tc>
        <w:tc>
          <w:tcPr>
            <w:tcW w:w="0" w:type="auto"/>
          </w:tcPr>
          <w:p w14:paraId="204313F2" w14:textId="77777777" w:rsidR="00902FC3" w:rsidRDefault="00000000">
            <w:pPr>
              <w:pStyle w:val="Compact"/>
              <w:spacing w:before="20" w:after="20"/>
              <w:ind w:firstLine="0"/>
              <w:jc w:val="right"/>
            </w:pPr>
            <w:r>
              <w:rPr>
                <w:sz w:val="20"/>
              </w:rPr>
              <w:t>0,425</w:t>
            </w:r>
          </w:p>
        </w:tc>
        <w:tc>
          <w:tcPr>
            <w:tcW w:w="0" w:type="auto"/>
          </w:tcPr>
          <w:p w14:paraId="4860E881" w14:textId="77777777" w:rsidR="00902FC3" w:rsidRDefault="00000000">
            <w:pPr>
              <w:pStyle w:val="Compact"/>
              <w:spacing w:before="20" w:after="20"/>
              <w:ind w:firstLine="0"/>
              <w:jc w:val="right"/>
            </w:pPr>
            <w:r>
              <w:rPr>
                <w:sz w:val="20"/>
              </w:rPr>
              <w:t>38 155</w:t>
            </w:r>
          </w:p>
        </w:tc>
      </w:tr>
      <w:tr w:rsidR="00902FC3" w14:paraId="745C3005" w14:textId="77777777">
        <w:tc>
          <w:tcPr>
            <w:tcW w:w="0" w:type="auto"/>
          </w:tcPr>
          <w:p w14:paraId="35D0D4A1" w14:textId="77777777" w:rsidR="00902FC3" w:rsidRDefault="00000000">
            <w:pPr>
              <w:pStyle w:val="Compact"/>
              <w:spacing w:before="20" w:after="20"/>
              <w:ind w:firstLine="0"/>
              <w:jc w:val="left"/>
            </w:pPr>
            <w:r>
              <w:rPr>
                <w:sz w:val="20"/>
              </w:rPr>
              <w:t>Macro</w:t>
            </w:r>
          </w:p>
        </w:tc>
        <w:tc>
          <w:tcPr>
            <w:tcW w:w="0" w:type="auto"/>
          </w:tcPr>
          <w:p w14:paraId="2779FEEE" w14:textId="77777777" w:rsidR="00902FC3" w:rsidRDefault="00000000">
            <w:pPr>
              <w:pStyle w:val="Compact"/>
              <w:spacing w:before="20" w:after="20"/>
              <w:ind w:firstLine="0"/>
              <w:jc w:val="right"/>
            </w:pPr>
            <w:r>
              <w:rPr>
                <w:sz w:val="20"/>
              </w:rPr>
              <w:t>0,608</w:t>
            </w:r>
          </w:p>
        </w:tc>
        <w:tc>
          <w:tcPr>
            <w:tcW w:w="0" w:type="auto"/>
          </w:tcPr>
          <w:p w14:paraId="0E35AD28" w14:textId="77777777" w:rsidR="00902FC3" w:rsidRDefault="00000000">
            <w:pPr>
              <w:pStyle w:val="Compact"/>
              <w:spacing w:before="20" w:after="20"/>
              <w:ind w:firstLine="0"/>
              <w:jc w:val="right"/>
            </w:pPr>
            <w:r>
              <w:rPr>
                <w:sz w:val="20"/>
              </w:rPr>
              <w:t>0,523</w:t>
            </w:r>
          </w:p>
        </w:tc>
        <w:tc>
          <w:tcPr>
            <w:tcW w:w="0" w:type="auto"/>
          </w:tcPr>
          <w:p w14:paraId="3C408FF4" w14:textId="77777777" w:rsidR="00902FC3" w:rsidRDefault="00000000">
            <w:pPr>
              <w:pStyle w:val="Compact"/>
              <w:spacing w:before="20" w:after="20"/>
              <w:ind w:firstLine="0"/>
              <w:jc w:val="right"/>
            </w:pPr>
            <w:r>
              <w:rPr>
                <w:sz w:val="20"/>
              </w:rPr>
              <w:t>0,553</w:t>
            </w:r>
          </w:p>
        </w:tc>
        <w:tc>
          <w:tcPr>
            <w:tcW w:w="0" w:type="auto"/>
          </w:tcPr>
          <w:p w14:paraId="13DF54DE" w14:textId="77777777" w:rsidR="00902FC3" w:rsidRDefault="00000000">
            <w:pPr>
              <w:pStyle w:val="Compact"/>
              <w:spacing w:before="20" w:after="20"/>
              <w:ind w:firstLine="0"/>
              <w:jc w:val="right"/>
            </w:pPr>
            <w:r>
              <w:rPr>
                <w:sz w:val="20"/>
              </w:rPr>
              <w:t>0,162</w:t>
            </w:r>
          </w:p>
        </w:tc>
        <w:tc>
          <w:tcPr>
            <w:tcW w:w="0" w:type="auto"/>
          </w:tcPr>
          <w:p w14:paraId="79C7783A" w14:textId="77777777" w:rsidR="00902FC3" w:rsidRDefault="00000000">
            <w:pPr>
              <w:pStyle w:val="Compact"/>
              <w:spacing w:before="20" w:after="20"/>
              <w:ind w:firstLine="0"/>
              <w:jc w:val="right"/>
            </w:pPr>
            <w:r>
              <w:rPr>
                <w:sz w:val="20"/>
              </w:rPr>
              <w:t>44 182</w:t>
            </w:r>
          </w:p>
        </w:tc>
      </w:tr>
    </w:tbl>
    <w:p w14:paraId="0FAB1FD6" w14:textId="77777777" w:rsidR="00902FC3" w:rsidRPr="00403B01" w:rsidRDefault="00000000">
      <w:pPr>
        <w:pStyle w:val="BodyText"/>
        <w:ind w:firstLine="0"/>
        <w:rPr>
          <w:lang w:val="es-PE"/>
        </w:rPr>
      </w:pPr>
      <w:r w:rsidRPr="00403B01">
        <w:rPr>
          <w:i/>
          <w:iCs/>
          <w:sz w:val="20"/>
          <w:lang w:val="es-PE"/>
        </w:rPr>
        <w:t>Nota.</w:t>
      </w:r>
      <w:r w:rsidRPr="00403B01">
        <w:rPr>
          <w:sz w:val="20"/>
          <w:lang w:val="es-PE"/>
        </w:rPr>
        <w:t xml:space="preserve"> Elaborado con src/03_entrenar_detector.py (</w:t>
      </w:r>
      <w:proofErr w:type="spellStart"/>
      <w:r w:rsidRPr="00403B01">
        <w:rPr>
          <w:sz w:val="20"/>
          <w:lang w:val="es-PE"/>
        </w:rPr>
        <w:t>results</w:t>
      </w:r>
      <w:proofErr w:type="spellEnd"/>
      <w:r w:rsidRPr="00403B01">
        <w:rPr>
          <w:sz w:val="20"/>
          <w:lang w:val="es-PE"/>
        </w:rPr>
        <w:t>/tablas/desempeno_detector.csv).</w:t>
      </w:r>
    </w:p>
    <w:p w14:paraId="32F11D80" w14:textId="77777777" w:rsidR="00902FC3" w:rsidRPr="00403B01" w:rsidRDefault="00000000">
      <w:pPr>
        <w:pStyle w:val="BodyText"/>
        <w:keepNext/>
        <w:spacing w:before="160" w:after="0"/>
        <w:ind w:firstLine="0"/>
        <w:rPr>
          <w:lang w:val="es-PE"/>
        </w:rPr>
      </w:pPr>
      <w:r w:rsidRPr="00403B01">
        <w:rPr>
          <w:b/>
          <w:bCs/>
          <w:lang w:val="es-PE"/>
        </w:rPr>
        <w:lastRenderedPageBreak/>
        <w:t>Figura 2</w:t>
      </w:r>
    </w:p>
    <w:p w14:paraId="67057949" w14:textId="77777777" w:rsidR="00902FC3" w:rsidRPr="00403B01" w:rsidRDefault="00000000">
      <w:pPr>
        <w:pStyle w:val="BodyText"/>
        <w:keepNext/>
        <w:ind w:firstLine="0"/>
        <w:rPr>
          <w:lang w:val="es-PE"/>
        </w:rPr>
      </w:pPr>
      <w:r w:rsidRPr="00403B01">
        <w:rPr>
          <w:i/>
          <w:iCs/>
          <w:lang w:val="es-PE"/>
        </w:rPr>
        <w:t>Matriz de confusión normalizada por familia real</w:t>
      </w:r>
    </w:p>
    <w:p w14:paraId="580AD1CA" w14:textId="77777777" w:rsidR="00902FC3" w:rsidRDefault="00000000">
      <w:pPr>
        <w:pStyle w:val="BodyText"/>
      </w:pPr>
      <w:r>
        <w:rPr>
          <w:noProof/>
        </w:rPr>
        <w:drawing>
          <wp:inline distT="0" distB="0" distL="0" distR="0" wp14:anchorId="1DD21036" wp14:editId="1EC4AC67">
            <wp:extent cx="2377440" cy="179548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2_matriz_confusion.png"/>
                    <pic:cNvPicPr>
                      <a:picLocks noChangeAspect="1" noChangeArrowheads="1"/>
                    </pic:cNvPicPr>
                  </pic:nvPicPr>
                  <pic:blipFill>
                    <a:blip r:embed="rId8"/>
                    <a:stretch>
                      <a:fillRect/>
                    </a:stretch>
                  </pic:blipFill>
                  <pic:spPr bwMode="auto">
                    <a:xfrm>
                      <a:off x="0" y="0"/>
                      <a:ext cx="2377440" cy="1795485"/>
                    </a:xfrm>
                    <a:prstGeom prst="rect">
                      <a:avLst/>
                    </a:prstGeom>
                    <a:noFill/>
                    <a:ln w="9525">
                      <a:noFill/>
                      <a:headEnd/>
                      <a:tailEnd/>
                    </a:ln>
                  </pic:spPr>
                </pic:pic>
              </a:graphicData>
            </a:graphic>
          </wp:inline>
        </w:drawing>
      </w:r>
    </w:p>
    <w:p w14:paraId="321F1E48" w14:textId="77777777" w:rsidR="00902FC3" w:rsidRPr="00403B01" w:rsidRDefault="00000000">
      <w:pPr>
        <w:pStyle w:val="Heading2"/>
        <w:rPr>
          <w:lang w:val="es-PE"/>
        </w:rPr>
      </w:pPr>
      <w:bookmarkStart w:id="16" w:name="calidad-de-las-explicaciones"/>
      <w:bookmarkEnd w:id="15"/>
      <w:r w:rsidRPr="00403B01">
        <w:rPr>
          <w:lang w:val="es-PE"/>
        </w:rPr>
        <w:t>5.2 Calidad de las explicaciones</w:t>
      </w:r>
    </w:p>
    <w:p w14:paraId="6ED97935" w14:textId="77777777" w:rsidR="00902FC3" w:rsidRPr="00403B01" w:rsidRDefault="00000000">
      <w:pPr>
        <w:pStyle w:val="FirstParagraph"/>
        <w:rPr>
          <w:lang w:val="es-PE"/>
        </w:rPr>
      </w:pPr>
      <w:r w:rsidRPr="00403B01">
        <w:rPr>
          <w:lang w:val="es-PE"/>
        </w:rPr>
        <w:t xml:space="preserve">La Tabla 4 resume las métricas y la Figura 3 su distribución. En fidelidad, las tres condiciones fueron casi iguales: aunque Friedman detectó diferencias en </w:t>
      </w:r>
      <m:oMath>
        <m:r>
          <w:rPr>
            <w:rFonts w:ascii="Cambria Math" w:hAnsi="Cambria Math"/>
          </w:rPr>
          <m:t>Δp</m:t>
        </m:r>
        <m:r>
          <m:rPr>
            <m:sty m:val="p"/>
          </m:rPr>
          <w:rPr>
            <w:rFonts w:ascii="Cambria Math" w:hAnsi="Cambria Math"/>
            <w:lang w:val="es-PE"/>
          </w:rPr>
          <m:t>@</m:t>
        </m:r>
        <m:r>
          <w:rPr>
            <w:rFonts w:ascii="Cambria Math" w:hAnsi="Cambria Math"/>
          </w:rPr>
          <m:t>k</m:t>
        </m:r>
      </m:oMath>
      <w:r w:rsidRPr="00403B01">
        <w:rPr>
          <w:lang w:val="es-PE"/>
        </w:rPr>
        <w:t xml:space="preserve"> (</w:t>
      </w:r>
      <m:oMath>
        <m:r>
          <w:rPr>
            <w:rFonts w:ascii="Cambria Math" w:hAnsi="Cambria Math"/>
          </w:rPr>
          <m:t>p</m:t>
        </m:r>
        <m:r>
          <m:rPr>
            <m:sty m:val="p"/>
          </m:rPr>
          <w:rPr>
            <w:rFonts w:ascii="Cambria Math" w:hAnsi="Cambria Math"/>
            <w:lang w:val="es-PE"/>
          </w:rPr>
          <m:t>&lt;</m:t>
        </m:r>
        <m:r>
          <w:rPr>
            <w:rFonts w:ascii="Cambria Math" w:hAnsi="Cambria Math"/>
            <w:lang w:val="es-PE"/>
          </w:rPr>
          <m:t>0</m:t>
        </m:r>
        <m:r>
          <m:rPr>
            <m:sty m:val="p"/>
          </m:rPr>
          <w:rPr>
            <w:rFonts w:ascii="Cambria Math" w:hAnsi="Cambria Math"/>
            <w:lang w:val="es-PE"/>
          </w:rPr>
          <m:t>,</m:t>
        </m:r>
        <m:r>
          <w:rPr>
            <w:rFonts w:ascii="Cambria Math" w:hAnsi="Cambria Math"/>
            <w:lang w:val="es-PE"/>
          </w:rPr>
          <m:t>001</m:t>
        </m:r>
      </m:oMath>
      <w:r w:rsidRPr="00403B01">
        <w:rPr>
          <w:lang w:val="es-PE"/>
        </w:rPr>
        <w:t>), el efecto fue muy pequeño (</w:t>
      </w:r>
      <m:oMath>
        <m:r>
          <w:rPr>
            <w:rFonts w:ascii="Cambria Math" w:hAnsi="Cambria Math"/>
          </w:rPr>
          <m:t>W</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07</m:t>
        </m:r>
      </m:oMath>
      <w:r w:rsidRPr="00403B01">
        <w:rPr>
          <w:lang w:val="es-PE"/>
        </w:rPr>
        <w:t>), ni TreeSHAP (</w:t>
      </w:r>
      <m:oMath>
        <m:sSub>
          <m:sSubPr>
            <m:ctrlPr>
              <w:rPr>
                <w:rFonts w:ascii="Cambria Math" w:hAnsi="Cambria Math"/>
              </w:rPr>
            </m:ctrlPr>
          </m:sSubPr>
          <m:e>
            <m:r>
              <w:rPr>
                <w:rFonts w:ascii="Cambria Math" w:hAnsi="Cambria Math"/>
              </w:rPr>
              <m:t>p</m:t>
            </m:r>
          </m:e>
          <m:sub>
            <m:r>
              <w:rPr>
                <w:rFonts w:ascii="Cambria Math" w:hAnsi="Cambria Math"/>
              </w:rPr>
              <m:t>Holm</m:t>
            </m:r>
          </m:sub>
        </m:sSub>
        <m:r>
          <m:rPr>
            <m:sty m:val="p"/>
          </m:rPr>
          <w:rPr>
            <w:rFonts w:ascii="Cambria Math" w:hAnsi="Cambria Math"/>
            <w:lang w:val="es-PE"/>
          </w:rPr>
          <m:t>=</m:t>
        </m:r>
        <m:r>
          <w:rPr>
            <w:rFonts w:ascii="Cambria Math" w:hAnsi="Cambria Math"/>
            <w:lang w:val="es-PE"/>
          </w:rPr>
          <m:t>1</m:t>
        </m:r>
        <m:r>
          <m:rPr>
            <m:sty m:val="p"/>
          </m:rPr>
          <w:rPr>
            <w:rFonts w:ascii="Cambria Math" w:hAnsi="Cambria Math"/>
            <w:lang w:val="es-PE"/>
          </w:rPr>
          <m:t>,</m:t>
        </m:r>
        <m:r>
          <w:rPr>
            <w:rFonts w:ascii="Cambria Math" w:hAnsi="Cambria Math"/>
            <w:lang w:val="es-PE"/>
          </w:rPr>
          <m:t>00</m:t>
        </m:r>
      </m:oMath>
      <w:r w:rsidRPr="00403B01">
        <w:rPr>
          <w:lang w:val="es-PE"/>
        </w:rPr>
        <w:t>) ni LIME (</w:t>
      </w:r>
      <m:oMath>
        <m:sSub>
          <m:sSubPr>
            <m:ctrlPr>
              <w:rPr>
                <w:rFonts w:ascii="Cambria Math" w:hAnsi="Cambria Math"/>
              </w:rPr>
            </m:ctrlPr>
          </m:sSubPr>
          <m:e>
            <m:r>
              <w:rPr>
                <w:rFonts w:ascii="Cambria Math" w:hAnsi="Cambria Math"/>
              </w:rPr>
              <m:t>p</m:t>
            </m:r>
          </m:e>
          <m:sub>
            <m:r>
              <w:rPr>
                <w:rFonts w:ascii="Cambria Math" w:hAnsi="Cambria Math"/>
              </w:rPr>
              <m:t>Holm</m:t>
            </m:r>
          </m:sub>
        </m:sSub>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152</m:t>
        </m:r>
      </m:oMath>
      <w:r w:rsidRPr="00403B01">
        <w:rPr>
          <w:lang w:val="es-PE"/>
        </w:rPr>
        <w:t>) superaron a C0, y la inversión no difirió (</w:t>
      </w:r>
      <m:oMath>
        <m:r>
          <w:rPr>
            <w:rFonts w:ascii="Cambria Math" w:hAnsi="Cambria Math"/>
          </w:rPr>
          <m:t>Q</m:t>
        </m:r>
        <m:r>
          <m:rPr>
            <m:sty m:val="p"/>
          </m:rPr>
          <w:rPr>
            <w:rFonts w:ascii="Cambria Math" w:hAnsi="Cambria Math"/>
            <w:lang w:val="es-PE"/>
          </w:rPr>
          <m:t>=</m:t>
        </m:r>
        <m:r>
          <w:rPr>
            <w:rFonts w:ascii="Cambria Math" w:hAnsi="Cambria Math"/>
            <w:lang w:val="es-PE"/>
          </w:rPr>
          <m:t>3</m:t>
        </m:r>
        <m:r>
          <m:rPr>
            <m:sty m:val="p"/>
          </m:rPr>
          <w:rPr>
            <w:rFonts w:ascii="Cambria Math" w:hAnsi="Cambria Math"/>
            <w:lang w:val="es-PE"/>
          </w:rPr>
          <m:t>,</m:t>
        </m:r>
        <m:r>
          <w:rPr>
            <w:rFonts w:ascii="Cambria Math" w:hAnsi="Cambria Math"/>
            <w:lang w:val="es-PE"/>
          </w:rPr>
          <m:t>5</m:t>
        </m:r>
      </m:oMath>
      <w:r w:rsidRPr="00403B01">
        <w:rPr>
          <w:lang w:val="es-PE"/>
        </w:rPr>
        <w:t xml:space="preserve">; </w:t>
      </w:r>
      <m:oMath>
        <m:r>
          <w:rPr>
            <w:rFonts w:ascii="Cambria Math" w:hAnsi="Cambria Math"/>
          </w:rPr>
          <m:t>p</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174</m:t>
        </m:r>
      </m:oMath>
      <w:r w:rsidRPr="00403B01">
        <w:rPr>
          <w:lang w:val="es-PE"/>
        </w:rPr>
        <w:t>). En estabilidad, TreeSHAP fue determinista (</w:t>
      </w:r>
      <m:oMath>
        <m:r>
          <w:rPr>
            <w:rFonts w:ascii="Cambria Math" w:hAnsi="Cambria Math"/>
          </w:rPr>
          <m:t>EE</m:t>
        </m:r>
        <m:r>
          <m:rPr>
            <m:sty m:val="p"/>
          </m:rPr>
          <w:rPr>
            <w:rFonts w:ascii="Cambria Math" w:hAnsi="Cambria Math"/>
            <w:lang w:val="es-PE"/>
          </w:rPr>
          <m:t>=</m:t>
        </m:r>
        <m:r>
          <w:rPr>
            <w:rFonts w:ascii="Cambria Math" w:hAnsi="Cambria Math"/>
            <w:lang w:val="es-PE"/>
          </w:rPr>
          <m:t>1</m:t>
        </m:r>
      </m:oMath>
      <w:r w:rsidRPr="00403B01">
        <w:rPr>
          <w:lang w:val="es-PE"/>
        </w:rPr>
        <w:t xml:space="preserve">), pero su robustez quedó en 0,667, y LIME obtuvo </w:t>
      </w:r>
      <m:oMath>
        <m:r>
          <w:rPr>
            <w:rFonts w:ascii="Cambria Math" w:hAnsi="Cambria Math"/>
          </w:rPr>
          <m:t>EE</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504</m:t>
        </m:r>
      </m:oMath>
      <w:r w:rsidRPr="00403B01">
        <w:rPr>
          <w:lang w:val="es-PE"/>
        </w:rPr>
        <w:t xml:space="preserve"> y </w:t>
      </w:r>
      <m:oMath>
        <m:r>
          <w:rPr>
            <w:rFonts w:ascii="Cambria Math" w:hAnsi="Cambria Math"/>
          </w:rPr>
          <m:t>RP</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429</m:t>
        </m:r>
      </m:oMath>
      <w:r w:rsidRPr="00403B01">
        <w:rPr>
          <w:lang w:val="es-PE"/>
        </w:rPr>
        <w:t>; ninguna mediana alcanzó 0,80. En parsimonia, las diferencias fueron grandes (</w:t>
      </w:r>
      <m:oMath>
        <m:r>
          <w:rPr>
            <w:rFonts w:ascii="Cambria Math" w:hAnsi="Cambria Math"/>
          </w:rPr>
          <m:t>W</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62</m:t>
        </m:r>
      </m:oMath>
      <w:r w:rsidRPr="00403B01">
        <w:rPr>
          <w:lang w:val="es-PE"/>
        </w:rPr>
        <w:t xml:space="preserve"> y </w:t>
      </w:r>
      <m:oMath>
        <m:r>
          <w:rPr>
            <w:rFonts w:ascii="Cambria Math" w:hAnsi="Cambria Math"/>
            <w:lang w:val="es-PE"/>
          </w:rPr>
          <m:t>0</m:t>
        </m:r>
        <m:r>
          <m:rPr>
            <m:sty m:val="p"/>
          </m:rPr>
          <w:rPr>
            <w:rFonts w:ascii="Cambria Math" w:hAnsi="Cambria Math"/>
            <w:lang w:val="es-PE"/>
          </w:rPr>
          <m:t>,</m:t>
        </m:r>
        <m:r>
          <w:rPr>
            <w:rFonts w:ascii="Cambria Math" w:hAnsi="Cambria Math"/>
            <w:lang w:val="es-PE"/>
          </w:rPr>
          <m:t>52</m:t>
        </m:r>
      </m:oMath>
      <w:r w:rsidRPr="00403B01">
        <w:rPr>
          <w:lang w:val="es-PE"/>
        </w:rPr>
        <w:t>): TreeSHAP concentró el 80 % de la atribución en 7 características, frente a 9 de C0 (</w:t>
      </w:r>
      <m:oMath>
        <m:sSub>
          <m:sSubPr>
            <m:ctrlPr>
              <w:rPr>
                <w:rFonts w:ascii="Cambria Math" w:hAnsi="Cambria Math"/>
              </w:rPr>
            </m:ctrlPr>
          </m:sSubPr>
          <m:e>
            <m:r>
              <w:rPr>
                <w:rFonts w:ascii="Cambria Math" w:hAnsi="Cambria Math"/>
              </w:rPr>
              <m:t>p</m:t>
            </m:r>
          </m:e>
          <m:sub>
            <m:r>
              <w:rPr>
                <w:rFonts w:ascii="Cambria Math" w:hAnsi="Cambria Math"/>
              </w:rPr>
              <m:t>Holm</m:t>
            </m:r>
          </m:sub>
        </m:sSub>
        <m:r>
          <m:rPr>
            <m:sty m:val="p"/>
          </m:rPr>
          <w:rPr>
            <w:rFonts w:ascii="Cambria Math" w:hAnsi="Cambria Math"/>
            <w:lang w:val="es-PE"/>
          </w:rPr>
          <m:t>&lt;</m:t>
        </m:r>
        <m:r>
          <w:rPr>
            <w:rFonts w:ascii="Cambria Math" w:hAnsi="Cambria Math"/>
            <w:lang w:val="es-PE"/>
          </w:rPr>
          <m:t>0</m:t>
        </m:r>
        <m:r>
          <m:rPr>
            <m:sty m:val="p"/>
          </m:rPr>
          <w:rPr>
            <w:rFonts w:ascii="Cambria Math" w:hAnsi="Cambria Math"/>
            <w:lang w:val="es-PE"/>
          </w:rPr>
          <m:t>,</m:t>
        </m:r>
        <m:r>
          <w:rPr>
            <w:rFonts w:ascii="Cambria Math" w:hAnsi="Cambria Math"/>
            <w:lang w:val="es-PE"/>
          </w:rPr>
          <m:t>001</m:t>
        </m:r>
      </m:oMath>
      <w:r w:rsidRPr="00403B01">
        <w:rPr>
          <w:lang w:val="es-PE"/>
        </w:rPr>
        <w:t xml:space="preserve">; </w:t>
      </w:r>
      <m:oMath>
        <m:r>
          <w:rPr>
            <w:rFonts w:ascii="Cambria Math" w:hAnsi="Cambria Math"/>
          </w:rPr>
          <m:t>r</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70</m:t>
        </m:r>
      </m:oMath>
      <w:r w:rsidRPr="00403B01">
        <w:rPr>
          <w:lang w:val="es-PE"/>
        </w:rPr>
        <w:t>), mientras que LIME necesitó 12.</w:t>
      </w:r>
    </w:p>
    <w:p w14:paraId="280BEA48" w14:textId="77777777" w:rsidR="00902FC3" w:rsidRPr="00403B01" w:rsidRDefault="00000000">
      <w:pPr>
        <w:pStyle w:val="BodyText"/>
        <w:keepNext/>
        <w:spacing w:before="160" w:after="0"/>
        <w:ind w:firstLine="0"/>
        <w:rPr>
          <w:lang w:val="es-PE"/>
        </w:rPr>
      </w:pPr>
      <w:r w:rsidRPr="00403B01">
        <w:rPr>
          <w:b/>
          <w:bCs/>
          <w:lang w:val="es-PE"/>
        </w:rPr>
        <w:t>Tabla 4</w:t>
      </w:r>
    </w:p>
    <w:p w14:paraId="6C2781BA" w14:textId="77777777" w:rsidR="00902FC3" w:rsidRPr="00403B01" w:rsidRDefault="00000000">
      <w:pPr>
        <w:pStyle w:val="BodyText"/>
        <w:keepNext/>
        <w:ind w:firstLine="0"/>
        <w:rPr>
          <w:lang w:val="es-PE"/>
        </w:rPr>
      </w:pPr>
      <w:r w:rsidRPr="00403B01">
        <w:rPr>
          <w:i/>
          <w:iCs/>
          <w:lang w:val="es-PE"/>
        </w:rPr>
        <w:t>Métricas de interpretabilidad por condición y contrastes estadísticos (n = 390 alertas)</w:t>
      </w:r>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523"/>
        <w:gridCol w:w="856"/>
        <w:gridCol w:w="856"/>
        <w:gridCol w:w="856"/>
        <w:gridCol w:w="2553"/>
        <w:gridCol w:w="1362"/>
        <w:gridCol w:w="1236"/>
      </w:tblGrid>
      <w:tr w:rsidR="00902FC3" w14:paraId="6783AC28" w14:textId="77777777" w:rsidTr="00902FC3">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bottom w:val="single" w:sz="8" w:space="0" w:color="000000"/>
              <w:right w:val="nil"/>
            </w:tcBorders>
          </w:tcPr>
          <w:p w14:paraId="42A8B7E7" w14:textId="77777777" w:rsidR="00902FC3" w:rsidRDefault="00000000">
            <w:pPr>
              <w:pStyle w:val="Compact"/>
              <w:spacing w:before="20" w:after="20"/>
              <w:ind w:firstLine="0"/>
              <w:jc w:val="left"/>
            </w:pPr>
            <w:proofErr w:type="spellStart"/>
            <w:r>
              <w:rPr>
                <w:sz w:val="20"/>
              </w:rPr>
              <w:t>Métrica</w:t>
            </w:r>
            <w:proofErr w:type="spellEnd"/>
          </w:p>
        </w:tc>
        <w:tc>
          <w:tcPr>
            <w:tcW w:w="0" w:type="auto"/>
            <w:tcBorders>
              <w:top w:val="nil"/>
              <w:left w:val="nil"/>
              <w:bottom w:val="single" w:sz="8" w:space="0" w:color="000000"/>
              <w:right w:val="nil"/>
            </w:tcBorders>
          </w:tcPr>
          <w:p w14:paraId="5DA3F228" w14:textId="77777777" w:rsidR="00902FC3" w:rsidRDefault="00000000">
            <w:pPr>
              <w:pStyle w:val="Compact"/>
              <w:spacing w:before="20" w:after="20"/>
              <w:ind w:firstLine="0"/>
              <w:jc w:val="right"/>
            </w:pPr>
            <w:r>
              <w:rPr>
                <w:sz w:val="20"/>
              </w:rPr>
              <w:t>C0</w:t>
            </w:r>
          </w:p>
        </w:tc>
        <w:tc>
          <w:tcPr>
            <w:tcW w:w="0" w:type="auto"/>
            <w:tcBorders>
              <w:top w:val="nil"/>
              <w:left w:val="nil"/>
              <w:bottom w:val="single" w:sz="8" w:space="0" w:color="000000"/>
              <w:right w:val="nil"/>
            </w:tcBorders>
          </w:tcPr>
          <w:p w14:paraId="758DCF2E" w14:textId="77777777" w:rsidR="00902FC3" w:rsidRDefault="00000000">
            <w:pPr>
              <w:pStyle w:val="Compact"/>
              <w:spacing w:before="20" w:after="20"/>
              <w:ind w:firstLine="0"/>
              <w:jc w:val="right"/>
            </w:pPr>
            <w:r>
              <w:rPr>
                <w:sz w:val="20"/>
              </w:rPr>
              <w:t>C1</w:t>
            </w:r>
          </w:p>
        </w:tc>
        <w:tc>
          <w:tcPr>
            <w:tcW w:w="0" w:type="auto"/>
            <w:tcBorders>
              <w:top w:val="nil"/>
              <w:left w:val="nil"/>
              <w:bottom w:val="single" w:sz="8" w:space="0" w:color="000000"/>
              <w:right w:val="nil"/>
            </w:tcBorders>
          </w:tcPr>
          <w:p w14:paraId="5C521211" w14:textId="77777777" w:rsidR="00902FC3" w:rsidRDefault="00000000">
            <w:pPr>
              <w:pStyle w:val="Compact"/>
              <w:spacing w:before="20" w:after="20"/>
              <w:ind w:firstLine="0"/>
              <w:jc w:val="right"/>
            </w:pPr>
            <w:r>
              <w:rPr>
                <w:sz w:val="20"/>
              </w:rPr>
              <w:t>C2</w:t>
            </w:r>
          </w:p>
        </w:tc>
        <w:tc>
          <w:tcPr>
            <w:tcW w:w="0" w:type="auto"/>
            <w:tcBorders>
              <w:top w:val="nil"/>
              <w:left w:val="nil"/>
              <w:bottom w:val="single" w:sz="8" w:space="0" w:color="000000"/>
              <w:right w:val="nil"/>
            </w:tcBorders>
          </w:tcPr>
          <w:p w14:paraId="538C07D7" w14:textId="77777777" w:rsidR="00902FC3" w:rsidRDefault="00000000">
            <w:pPr>
              <w:pStyle w:val="Compact"/>
              <w:spacing w:before="20" w:after="20"/>
              <w:ind w:firstLine="0"/>
              <w:jc w:val="left"/>
            </w:pPr>
            <w:proofErr w:type="spellStart"/>
            <w:r>
              <w:rPr>
                <w:sz w:val="20"/>
              </w:rPr>
              <w:t>Prueba</w:t>
            </w:r>
            <w:proofErr w:type="spellEnd"/>
            <w:r>
              <w:rPr>
                <w:sz w:val="20"/>
              </w:rPr>
              <w:t xml:space="preserve"> global</w:t>
            </w:r>
          </w:p>
        </w:tc>
        <w:tc>
          <w:tcPr>
            <w:tcW w:w="0" w:type="auto"/>
            <w:tcBorders>
              <w:top w:val="nil"/>
              <w:left w:val="nil"/>
              <w:bottom w:val="single" w:sz="8" w:space="0" w:color="000000"/>
              <w:right w:val="nil"/>
            </w:tcBorders>
          </w:tcPr>
          <w:p w14:paraId="3E15B200" w14:textId="77777777" w:rsidR="00902FC3" w:rsidRDefault="00000000">
            <w:pPr>
              <w:pStyle w:val="Compact"/>
              <w:spacing w:before="20" w:after="20"/>
              <w:ind w:firstLine="0"/>
              <w:jc w:val="left"/>
            </w:pPr>
            <w:r>
              <w:rPr>
                <w:sz w:val="20"/>
              </w:rPr>
              <w:t>C1 vs C0</w:t>
            </w:r>
          </w:p>
        </w:tc>
        <w:tc>
          <w:tcPr>
            <w:tcW w:w="0" w:type="auto"/>
            <w:tcBorders>
              <w:top w:val="nil"/>
              <w:left w:val="nil"/>
              <w:bottom w:val="single" w:sz="8" w:space="0" w:color="000000"/>
              <w:right w:val="nil"/>
            </w:tcBorders>
          </w:tcPr>
          <w:p w14:paraId="615A7D3E" w14:textId="77777777" w:rsidR="00902FC3" w:rsidRDefault="00000000">
            <w:pPr>
              <w:pStyle w:val="Compact"/>
              <w:spacing w:before="20" w:after="20"/>
              <w:ind w:firstLine="0"/>
              <w:jc w:val="left"/>
            </w:pPr>
            <w:r>
              <w:rPr>
                <w:sz w:val="20"/>
              </w:rPr>
              <w:t>C2 vs C0</w:t>
            </w:r>
          </w:p>
        </w:tc>
      </w:tr>
      <w:tr w:rsidR="00902FC3" w14:paraId="0C8712D3" w14:textId="77777777">
        <w:tc>
          <w:tcPr>
            <w:tcW w:w="0" w:type="auto"/>
          </w:tcPr>
          <w:p w14:paraId="4170654E" w14:textId="77777777" w:rsidR="00902FC3" w:rsidRDefault="00000000">
            <w:pPr>
              <w:pStyle w:val="Compact"/>
              <w:spacing w:before="20" w:after="20"/>
              <w:ind w:firstLine="0"/>
              <w:jc w:val="left"/>
            </w:pPr>
            <w:proofErr w:type="spellStart"/>
            <w:r>
              <w:rPr>
                <w:sz w:val="20"/>
              </w:rPr>
              <w:t>Δp@k</w:t>
            </w:r>
            <w:proofErr w:type="spellEnd"/>
          </w:p>
        </w:tc>
        <w:tc>
          <w:tcPr>
            <w:tcW w:w="0" w:type="auto"/>
          </w:tcPr>
          <w:p w14:paraId="0FEB34F6" w14:textId="77777777" w:rsidR="00902FC3" w:rsidRDefault="00000000">
            <w:pPr>
              <w:pStyle w:val="Compact"/>
              <w:spacing w:before="20" w:after="20"/>
              <w:ind w:firstLine="0"/>
              <w:jc w:val="right"/>
            </w:pPr>
            <w:r>
              <w:rPr>
                <w:sz w:val="20"/>
              </w:rPr>
              <w:t>0,024</w:t>
            </w:r>
          </w:p>
        </w:tc>
        <w:tc>
          <w:tcPr>
            <w:tcW w:w="0" w:type="auto"/>
          </w:tcPr>
          <w:p w14:paraId="4D5B69C1" w14:textId="77777777" w:rsidR="00902FC3" w:rsidRDefault="00000000">
            <w:pPr>
              <w:pStyle w:val="Compact"/>
              <w:spacing w:before="20" w:after="20"/>
              <w:ind w:firstLine="0"/>
              <w:jc w:val="right"/>
            </w:pPr>
            <w:r>
              <w:rPr>
                <w:sz w:val="20"/>
              </w:rPr>
              <w:t>0,031</w:t>
            </w:r>
          </w:p>
        </w:tc>
        <w:tc>
          <w:tcPr>
            <w:tcW w:w="0" w:type="auto"/>
          </w:tcPr>
          <w:p w14:paraId="46F4E748" w14:textId="77777777" w:rsidR="00902FC3" w:rsidRDefault="00000000">
            <w:pPr>
              <w:pStyle w:val="Compact"/>
              <w:spacing w:before="20" w:after="20"/>
              <w:ind w:firstLine="0"/>
              <w:jc w:val="right"/>
            </w:pPr>
            <w:r>
              <w:rPr>
                <w:sz w:val="20"/>
              </w:rPr>
              <w:t>0,033</w:t>
            </w:r>
          </w:p>
        </w:tc>
        <w:tc>
          <w:tcPr>
            <w:tcW w:w="0" w:type="auto"/>
          </w:tcPr>
          <w:p w14:paraId="3C598AA6" w14:textId="77777777" w:rsidR="00902FC3" w:rsidRDefault="00000000">
            <w:pPr>
              <w:pStyle w:val="Compact"/>
              <w:spacing w:before="20" w:after="20"/>
              <w:ind w:firstLine="0"/>
              <w:jc w:val="left"/>
            </w:pPr>
            <w:r>
              <w:rPr>
                <w:sz w:val="20"/>
              </w:rPr>
              <w:t>χ² = 58,4*; W = 0,07</w:t>
            </w:r>
          </w:p>
        </w:tc>
        <w:tc>
          <w:tcPr>
            <w:tcW w:w="0" w:type="auto"/>
          </w:tcPr>
          <w:p w14:paraId="5228E5CF" w14:textId="77777777" w:rsidR="00902FC3" w:rsidRDefault="00000000">
            <w:pPr>
              <w:pStyle w:val="Compact"/>
              <w:spacing w:before="20" w:after="20"/>
              <w:ind w:firstLine="0"/>
              <w:jc w:val="left"/>
            </w:pPr>
            <w:r>
              <w:rPr>
                <w:sz w:val="20"/>
              </w:rPr>
              <w:t>r = −0,21</w:t>
            </w:r>
          </w:p>
        </w:tc>
        <w:tc>
          <w:tcPr>
            <w:tcW w:w="0" w:type="auto"/>
          </w:tcPr>
          <w:p w14:paraId="0605186F" w14:textId="77777777" w:rsidR="00902FC3" w:rsidRDefault="00000000">
            <w:pPr>
              <w:pStyle w:val="Compact"/>
              <w:spacing w:before="20" w:after="20"/>
              <w:ind w:firstLine="0"/>
              <w:jc w:val="left"/>
            </w:pPr>
            <w:r>
              <w:rPr>
                <w:sz w:val="20"/>
              </w:rPr>
              <w:t>r = 0,08</w:t>
            </w:r>
          </w:p>
        </w:tc>
      </w:tr>
      <w:tr w:rsidR="00902FC3" w14:paraId="48CD2F36" w14:textId="77777777">
        <w:tc>
          <w:tcPr>
            <w:tcW w:w="0" w:type="auto"/>
          </w:tcPr>
          <w:p w14:paraId="34E9DA7B" w14:textId="77777777" w:rsidR="00902FC3" w:rsidRDefault="00000000">
            <w:pPr>
              <w:pStyle w:val="Compact"/>
              <w:spacing w:before="20" w:after="20"/>
              <w:ind w:firstLine="0"/>
              <w:jc w:val="left"/>
            </w:pPr>
            <w:proofErr w:type="spellStart"/>
            <w:r>
              <w:rPr>
                <w:sz w:val="20"/>
              </w:rPr>
              <w:t>TID@k</w:t>
            </w:r>
            <w:proofErr w:type="spellEnd"/>
            <w:r>
              <w:rPr>
                <w:sz w:val="20"/>
              </w:rPr>
              <w:t xml:space="preserve"> (%)</w:t>
            </w:r>
          </w:p>
        </w:tc>
        <w:tc>
          <w:tcPr>
            <w:tcW w:w="0" w:type="auto"/>
          </w:tcPr>
          <w:p w14:paraId="0A6F7282" w14:textId="77777777" w:rsidR="00902FC3" w:rsidRDefault="00000000">
            <w:pPr>
              <w:pStyle w:val="Compact"/>
              <w:spacing w:before="20" w:after="20"/>
              <w:ind w:firstLine="0"/>
              <w:jc w:val="right"/>
            </w:pPr>
            <w:r>
              <w:rPr>
                <w:sz w:val="20"/>
              </w:rPr>
              <w:t>41,0</w:t>
            </w:r>
          </w:p>
        </w:tc>
        <w:tc>
          <w:tcPr>
            <w:tcW w:w="0" w:type="auto"/>
          </w:tcPr>
          <w:p w14:paraId="7088A630" w14:textId="77777777" w:rsidR="00902FC3" w:rsidRDefault="00000000">
            <w:pPr>
              <w:pStyle w:val="Compact"/>
              <w:spacing w:before="20" w:after="20"/>
              <w:ind w:firstLine="0"/>
              <w:jc w:val="right"/>
            </w:pPr>
            <w:r>
              <w:rPr>
                <w:sz w:val="20"/>
              </w:rPr>
              <w:t>41,8</w:t>
            </w:r>
          </w:p>
        </w:tc>
        <w:tc>
          <w:tcPr>
            <w:tcW w:w="0" w:type="auto"/>
          </w:tcPr>
          <w:p w14:paraId="455C6BC9" w14:textId="77777777" w:rsidR="00902FC3" w:rsidRDefault="00000000">
            <w:pPr>
              <w:pStyle w:val="Compact"/>
              <w:spacing w:before="20" w:after="20"/>
              <w:ind w:firstLine="0"/>
              <w:jc w:val="right"/>
            </w:pPr>
            <w:r>
              <w:rPr>
                <w:sz w:val="20"/>
              </w:rPr>
              <w:t>41,3</w:t>
            </w:r>
          </w:p>
        </w:tc>
        <w:tc>
          <w:tcPr>
            <w:tcW w:w="0" w:type="auto"/>
          </w:tcPr>
          <w:p w14:paraId="059FCAAD" w14:textId="77777777" w:rsidR="00902FC3" w:rsidRDefault="00000000">
            <w:pPr>
              <w:pStyle w:val="Compact"/>
              <w:spacing w:before="20" w:after="20"/>
              <w:ind w:firstLine="0"/>
              <w:jc w:val="left"/>
            </w:pPr>
            <w:r>
              <w:rPr>
                <w:sz w:val="20"/>
              </w:rPr>
              <w:t>Q = 3,5; p = 0,174</w:t>
            </w:r>
          </w:p>
        </w:tc>
        <w:tc>
          <w:tcPr>
            <w:tcW w:w="0" w:type="auto"/>
          </w:tcPr>
          <w:p w14:paraId="5E2EFB5B" w14:textId="77777777" w:rsidR="00902FC3" w:rsidRDefault="00000000">
            <w:pPr>
              <w:pStyle w:val="Compact"/>
              <w:spacing w:before="20" w:after="20"/>
              <w:ind w:firstLine="0"/>
              <w:jc w:val="left"/>
            </w:pPr>
            <w:r>
              <w:rPr>
                <w:sz w:val="20"/>
              </w:rPr>
              <w:t>p = 0,75</w:t>
            </w:r>
          </w:p>
        </w:tc>
        <w:tc>
          <w:tcPr>
            <w:tcW w:w="0" w:type="auto"/>
          </w:tcPr>
          <w:p w14:paraId="4B6DA7DA" w14:textId="77777777" w:rsidR="00902FC3" w:rsidRDefault="00000000">
            <w:pPr>
              <w:pStyle w:val="Compact"/>
              <w:spacing w:before="20" w:after="20"/>
              <w:ind w:firstLine="0"/>
              <w:jc w:val="left"/>
            </w:pPr>
            <w:r>
              <w:rPr>
                <w:sz w:val="20"/>
              </w:rPr>
              <w:t>p = 1,00</w:t>
            </w:r>
          </w:p>
        </w:tc>
      </w:tr>
      <w:tr w:rsidR="00902FC3" w14:paraId="0BEF48CC" w14:textId="77777777">
        <w:tc>
          <w:tcPr>
            <w:tcW w:w="0" w:type="auto"/>
          </w:tcPr>
          <w:p w14:paraId="0298FC5E" w14:textId="77777777" w:rsidR="00902FC3" w:rsidRDefault="00000000">
            <w:pPr>
              <w:pStyle w:val="Compact"/>
              <w:spacing w:before="20" w:after="20"/>
              <w:ind w:firstLine="0"/>
              <w:jc w:val="left"/>
            </w:pPr>
            <w:r>
              <w:rPr>
                <w:sz w:val="20"/>
              </w:rPr>
              <w:t>EE</w:t>
            </w:r>
          </w:p>
        </w:tc>
        <w:tc>
          <w:tcPr>
            <w:tcW w:w="0" w:type="auto"/>
          </w:tcPr>
          <w:p w14:paraId="42165C25" w14:textId="77777777" w:rsidR="00902FC3" w:rsidRDefault="00000000">
            <w:pPr>
              <w:pStyle w:val="Compact"/>
              <w:spacing w:before="20" w:after="20"/>
              <w:ind w:firstLine="0"/>
              <w:jc w:val="right"/>
            </w:pPr>
            <w:r>
              <w:rPr>
                <w:sz w:val="20"/>
              </w:rPr>
              <w:t>1,000</w:t>
            </w:r>
          </w:p>
        </w:tc>
        <w:tc>
          <w:tcPr>
            <w:tcW w:w="0" w:type="auto"/>
          </w:tcPr>
          <w:p w14:paraId="6ED9C18C" w14:textId="77777777" w:rsidR="00902FC3" w:rsidRDefault="00000000">
            <w:pPr>
              <w:pStyle w:val="Compact"/>
              <w:spacing w:before="20" w:after="20"/>
              <w:ind w:firstLine="0"/>
              <w:jc w:val="right"/>
            </w:pPr>
            <w:r>
              <w:rPr>
                <w:sz w:val="20"/>
              </w:rPr>
              <w:t>1,000</w:t>
            </w:r>
          </w:p>
        </w:tc>
        <w:tc>
          <w:tcPr>
            <w:tcW w:w="0" w:type="auto"/>
          </w:tcPr>
          <w:p w14:paraId="32E2FAFE" w14:textId="77777777" w:rsidR="00902FC3" w:rsidRDefault="00000000">
            <w:pPr>
              <w:pStyle w:val="Compact"/>
              <w:spacing w:before="20" w:after="20"/>
              <w:ind w:firstLine="0"/>
              <w:jc w:val="right"/>
            </w:pPr>
            <w:r>
              <w:rPr>
                <w:sz w:val="20"/>
              </w:rPr>
              <w:t>0,504</w:t>
            </w:r>
          </w:p>
        </w:tc>
        <w:tc>
          <w:tcPr>
            <w:tcW w:w="0" w:type="auto"/>
          </w:tcPr>
          <w:p w14:paraId="48C3A1BD" w14:textId="77777777" w:rsidR="00902FC3" w:rsidRDefault="00000000">
            <w:pPr>
              <w:pStyle w:val="Compact"/>
              <w:spacing w:before="20" w:after="20"/>
              <w:ind w:firstLine="0"/>
              <w:jc w:val="left"/>
            </w:pPr>
            <w:r>
              <w:rPr>
                <w:sz w:val="20"/>
              </w:rPr>
              <w:t>—</w:t>
            </w:r>
          </w:p>
        </w:tc>
        <w:tc>
          <w:tcPr>
            <w:tcW w:w="0" w:type="auto"/>
          </w:tcPr>
          <w:p w14:paraId="1420A3BC" w14:textId="77777777" w:rsidR="00902FC3" w:rsidRDefault="00000000">
            <w:pPr>
              <w:pStyle w:val="Compact"/>
              <w:spacing w:before="20" w:after="20"/>
              <w:ind w:firstLine="0"/>
              <w:jc w:val="left"/>
            </w:pPr>
            <w:r>
              <w:rPr>
                <w:sz w:val="20"/>
              </w:rPr>
              <w:t>—</w:t>
            </w:r>
          </w:p>
        </w:tc>
        <w:tc>
          <w:tcPr>
            <w:tcW w:w="0" w:type="auto"/>
          </w:tcPr>
          <w:p w14:paraId="43360F21" w14:textId="77777777" w:rsidR="00902FC3" w:rsidRDefault="00000000">
            <w:pPr>
              <w:pStyle w:val="Compact"/>
              <w:spacing w:before="20" w:after="20"/>
              <w:ind w:firstLine="0"/>
              <w:jc w:val="left"/>
            </w:pPr>
            <w:r>
              <w:rPr>
                <w:sz w:val="20"/>
              </w:rPr>
              <w:t>p = 1,00</w:t>
            </w:r>
          </w:p>
        </w:tc>
      </w:tr>
      <w:tr w:rsidR="00902FC3" w14:paraId="094810AE" w14:textId="77777777">
        <w:tc>
          <w:tcPr>
            <w:tcW w:w="0" w:type="auto"/>
          </w:tcPr>
          <w:p w14:paraId="75C86B7C" w14:textId="77777777" w:rsidR="00902FC3" w:rsidRDefault="00000000">
            <w:pPr>
              <w:pStyle w:val="Compact"/>
              <w:spacing w:before="20" w:after="20"/>
              <w:ind w:firstLine="0"/>
              <w:jc w:val="left"/>
            </w:pPr>
            <w:r>
              <w:rPr>
                <w:sz w:val="20"/>
              </w:rPr>
              <w:t>RP</w:t>
            </w:r>
          </w:p>
        </w:tc>
        <w:tc>
          <w:tcPr>
            <w:tcW w:w="0" w:type="auto"/>
          </w:tcPr>
          <w:p w14:paraId="24D068CA" w14:textId="77777777" w:rsidR="00902FC3" w:rsidRDefault="00000000">
            <w:pPr>
              <w:pStyle w:val="Compact"/>
              <w:spacing w:before="20" w:after="20"/>
              <w:ind w:firstLine="0"/>
              <w:jc w:val="right"/>
            </w:pPr>
            <w:r>
              <w:rPr>
                <w:sz w:val="20"/>
              </w:rPr>
              <w:t>1,000</w:t>
            </w:r>
          </w:p>
        </w:tc>
        <w:tc>
          <w:tcPr>
            <w:tcW w:w="0" w:type="auto"/>
          </w:tcPr>
          <w:p w14:paraId="6A50C0DB" w14:textId="77777777" w:rsidR="00902FC3" w:rsidRDefault="00000000">
            <w:pPr>
              <w:pStyle w:val="Compact"/>
              <w:spacing w:before="20" w:after="20"/>
              <w:ind w:firstLine="0"/>
              <w:jc w:val="right"/>
            </w:pPr>
            <w:r>
              <w:rPr>
                <w:sz w:val="20"/>
              </w:rPr>
              <w:t>0,667</w:t>
            </w:r>
          </w:p>
        </w:tc>
        <w:tc>
          <w:tcPr>
            <w:tcW w:w="0" w:type="auto"/>
          </w:tcPr>
          <w:p w14:paraId="37038998" w14:textId="77777777" w:rsidR="00902FC3" w:rsidRDefault="00000000">
            <w:pPr>
              <w:pStyle w:val="Compact"/>
              <w:spacing w:before="20" w:after="20"/>
              <w:ind w:firstLine="0"/>
              <w:jc w:val="right"/>
            </w:pPr>
            <w:r>
              <w:rPr>
                <w:sz w:val="20"/>
              </w:rPr>
              <w:t>0,429</w:t>
            </w:r>
          </w:p>
        </w:tc>
        <w:tc>
          <w:tcPr>
            <w:tcW w:w="0" w:type="auto"/>
          </w:tcPr>
          <w:p w14:paraId="1DC2659C" w14:textId="77777777" w:rsidR="00902FC3" w:rsidRDefault="00000000">
            <w:pPr>
              <w:pStyle w:val="Compact"/>
              <w:spacing w:before="20" w:after="20"/>
              <w:ind w:firstLine="0"/>
              <w:jc w:val="left"/>
            </w:pPr>
            <w:r>
              <w:rPr>
                <w:sz w:val="20"/>
              </w:rPr>
              <w:t>—</w:t>
            </w:r>
          </w:p>
        </w:tc>
        <w:tc>
          <w:tcPr>
            <w:tcW w:w="0" w:type="auto"/>
          </w:tcPr>
          <w:p w14:paraId="45C0DFE6" w14:textId="77777777" w:rsidR="00902FC3" w:rsidRDefault="00000000">
            <w:pPr>
              <w:pStyle w:val="Compact"/>
              <w:spacing w:before="20" w:after="20"/>
              <w:ind w:firstLine="0"/>
              <w:jc w:val="left"/>
            </w:pPr>
            <w:r>
              <w:rPr>
                <w:sz w:val="20"/>
              </w:rPr>
              <w:t>p = 1,00</w:t>
            </w:r>
          </w:p>
        </w:tc>
        <w:tc>
          <w:tcPr>
            <w:tcW w:w="0" w:type="auto"/>
          </w:tcPr>
          <w:p w14:paraId="135A464F" w14:textId="77777777" w:rsidR="00902FC3" w:rsidRDefault="00000000">
            <w:pPr>
              <w:pStyle w:val="Compact"/>
              <w:spacing w:before="20" w:after="20"/>
              <w:ind w:firstLine="0"/>
              <w:jc w:val="left"/>
            </w:pPr>
            <w:r>
              <w:rPr>
                <w:sz w:val="20"/>
              </w:rPr>
              <w:t>p = 1,00</w:t>
            </w:r>
          </w:p>
        </w:tc>
      </w:tr>
      <w:tr w:rsidR="00902FC3" w14:paraId="4548C281" w14:textId="77777777">
        <w:tc>
          <w:tcPr>
            <w:tcW w:w="0" w:type="auto"/>
          </w:tcPr>
          <w:p w14:paraId="2CB49DBB" w14:textId="77777777" w:rsidR="00902FC3" w:rsidRDefault="00000000">
            <w:pPr>
              <w:pStyle w:val="Compact"/>
              <w:spacing w:before="20" w:after="20"/>
              <w:ind w:firstLine="0"/>
              <w:jc w:val="left"/>
            </w:pPr>
            <w:r>
              <w:rPr>
                <w:sz w:val="20"/>
              </w:rPr>
              <w:t>NC80</w:t>
            </w:r>
          </w:p>
        </w:tc>
        <w:tc>
          <w:tcPr>
            <w:tcW w:w="0" w:type="auto"/>
          </w:tcPr>
          <w:p w14:paraId="2813E374" w14:textId="77777777" w:rsidR="00902FC3" w:rsidRDefault="00000000">
            <w:pPr>
              <w:pStyle w:val="Compact"/>
              <w:spacing w:before="20" w:after="20"/>
              <w:ind w:firstLine="0"/>
              <w:jc w:val="right"/>
            </w:pPr>
            <w:r>
              <w:rPr>
                <w:sz w:val="20"/>
              </w:rPr>
              <w:t>9</w:t>
            </w:r>
          </w:p>
        </w:tc>
        <w:tc>
          <w:tcPr>
            <w:tcW w:w="0" w:type="auto"/>
          </w:tcPr>
          <w:p w14:paraId="1E09AEC9" w14:textId="77777777" w:rsidR="00902FC3" w:rsidRDefault="00000000">
            <w:pPr>
              <w:pStyle w:val="Compact"/>
              <w:spacing w:before="20" w:after="20"/>
              <w:ind w:firstLine="0"/>
              <w:jc w:val="right"/>
            </w:pPr>
            <w:r>
              <w:rPr>
                <w:sz w:val="20"/>
              </w:rPr>
              <w:t>7</w:t>
            </w:r>
          </w:p>
        </w:tc>
        <w:tc>
          <w:tcPr>
            <w:tcW w:w="0" w:type="auto"/>
          </w:tcPr>
          <w:p w14:paraId="74832018" w14:textId="77777777" w:rsidR="00902FC3" w:rsidRDefault="00000000">
            <w:pPr>
              <w:pStyle w:val="Compact"/>
              <w:spacing w:before="20" w:after="20"/>
              <w:ind w:firstLine="0"/>
              <w:jc w:val="right"/>
            </w:pPr>
            <w:r>
              <w:rPr>
                <w:sz w:val="20"/>
              </w:rPr>
              <w:t>12</w:t>
            </w:r>
          </w:p>
        </w:tc>
        <w:tc>
          <w:tcPr>
            <w:tcW w:w="0" w:type="auto"/>
          </w:tcPr>
          <w:p w14:paraId="65733912" w14:textId="77777777" w:rsidR="00902FC3" w:rsidRDefault="00000000">
            <w:pPr>
              <w:pStyle w:val="Compact"/>
              <w:spacing w:before="20" w:after="20"/>
              <w:ind w:firstLine="0"/>
              <w:jc w:val="left"/>
            </w:pPr>
            <w:r>
              <w:rPr>
                <w:sz w:val="20"/>
              </w:rPr>
              <w:t>χ² = 482,7*; W = 0,62</w:t>
            </w:r>
          </w:p>
        </w:tc>
        <w:tc>
          <w:tcPr>
            <w:tcW w:w="0" w:type="auto"/>
          </w:tcPr>
          <w:p w14:paraId="1061473A" w14:textId="77777777" w:rsidR="00902FC3" w:rsidRDefault="00000000">
            <w:pPr>
              <w:pStyle w:val="Compact"/>
              <w:spacing w:before="20" w:after="20"/>
              <w:ind w:firstLine="0"/>
              <w:jc w:val="left"/>
            </w:pPr>
            <w:r>
              <w:rPr>
                <w:sz w:val="20"/>
              </w:rPr>
              <w:t>r = −0,70*</w:t>
            </w:r>
          </w:p>
        </w:tc>
        <w:tc>
          <w:tcPr>
            <w:tcW w:w="0" w:type="auto"/>
          </w:tcPr>
          <w:p w14:paraId="7EF62DD2" w14:textId="77777777" w:rsidR="00902FC3" w:rsidRDefault="00000000">
            <w:pPr>
              <w:pStyle w:val="Compact"/>
              <w:spacing w:before="20" w:after="20"/>
              <w:ind w:firstLine="0"/>
              <w:jc w:val="left"/>
            </w:pPr>
            <w:r>
              <w:rPr>
                <w:sz w:val="20"/>
              </w:rPr>
              <w:t>r = 0,86</w:t>
            </w:r>
          </w:p>
        </w:tc>
      </w:tr>
      <w:tr w:rsidR="00902FC3" w14:paraId="0953F676" w14:textId="77777777">
        <w:tc>
          <w:tcPr>
            <w:tcW w:w="0" w:type="auto"/>
          </w:tcPr>
          <w:p w14:paraId="135ABA63" w14:textId="77777777" w:rsidR="00902FC3" w:rsidRDefault="00000000">
            <w:pPr>
              <w:pStyle w:val="Compact"/>
              <w:spacing w:before="20" w:after="20"/>
              <w:ind w:firstLine="0"/>
              <w:jc w:val="left"/>
            </w:pPr>
            <w:r>
              <w:rPr>
                <w:sz w:val="20"/>
              </w:rPr>
              <w:t>CT3 (%)</w:t>
            </w:r>
          </w:p>
        </w:tc>
        <w:tc>
          <w:tcPr>
            <w:tcW w:w="0" w:type="auto"/>
          </w:tcPr>
          <w:p w14:paraId="1AAD348B" w14:textId="77777777" w:rsidR="00902FC3" w:rsidRDefault="00000000">
            <w:pPr>
              <w:pStyle w:val="Compact"/>
              <w:spacing w:before="20" w:after="20"/>
              <w:ind w:firstLine="0"/>
              <w:jc w:val="right"/>
            </w:pPr>
            <w:r>
              <w:rPr>
                <w:sz w:val="20"/>
              </w:rPr>
              <w:t>63,8</w:t>
            </w:r>
          </w:p>
        </w:tc>
        <w:tc>
          <w:tcPr>
            <w:tcW w:w="0" w:type="auto"/>
          </w:tcPr>
          <w:p w14:paraId="01C58467" w14:textId="77777777" w:rsidR="00902FC3" w:rsidRDefault="00000000">
            <w:pPr>
              <w:pStyle w:val="Compact"/>
              <w:spacing w:before="20" w:after="20"/>
              <w:ind w:firstLine="0"/>
              <w:jc w:val="right"/>
            </w:pPr>
            <w:r>
              <w:rPr>
                <w:sz w:val="20"/>
              </w:rPr>
              <w:t>66,7</w:t>
            </w:r>
          </w:p>
        </w:tc>
        <w:tc>
          <w:tcPr>
            <w:tcW w:w="0" w:type="auto"/>
          </w:tcPr>
          <w:p w14:paraId="117516F9" w14:textId="77777777" w:rsidR="00902FC3" w:rsidRDefault="00000000">
            <w:pPr>
              <w:pStyle w:val="Compact"/>
              <w:spacing w:before="20" w:after="20"/>
              <w:ind w:firstLine="0"/>
              <w:jc w:val="right"/>
            </w:pPr>
            <w:r>
              <w:rPr>
                <w:sz w:val="20"/>
              </w:rPr>
              <w:t>48,5</w:t>
            </w:r>
          </w:p>
        </w:tc>
        <w:tc>
          <w:tcPr>
            <w:tcW w:w="0" w:type="auto"/>
          </w:tcPr>
          <w:p w14:paraId="53FF00BC" w14:textId="77777777" w:rsidR="00902FC3" w:rsidRDefault="00000000">
            <w:pPr>
              <w:pStyle w:val="Compact"/>
              <w:spacing w:before="20" w:after="20"/>
              <w:ind w:firstLine="0"/>
              <w:jc w:val="left"/>
            </w:pPr>
            <w:r>
              <w:rPr>
                <w:sz w:val="20"/>
              </w:rPr>
              <w:t>χ² = 405,2*; W = 0,52</w:t>
            </w:r>
          </w:p>
        </w:tc>
        <w:tc>
          <w:tcPr>
            <w:tcW w:w="0" w:type="auto"/>
          </w:tcPr>
          <w:p w14:paraId="78CC1891" w14:textId="77777777" w:rsidR="00902FC3" w:rsidRDefault="00000000">
            <w:pPr>
              <w:pStyle w:val="Compact"/>
              <w:spacing w:before="20" w:after="20"/>
              <w:ind w:firstLine="0"/>
              <w:jc w:val="left"/>
            </w:pPr>
            <w:r>
              <w:rPr>
                <w:sz w:val="20"/>
              </w:rPr>
              <w:t>r = 0,26*</w:t>
            </w:r>
          </w:p>
        </w:tc>
        <w:tc>
          <w:tcPr>
            <w:tcW w:w="0" w:type="auto"/>
          </w:tcPr>
          <w:p w14:paraId="48D75E93" w14:textId="77777777" w:rsidR="00902FC3" w:rsidRDefault="00000000">
            <w:pPr>
              <w:pStyle w:val="Compact"/>
              <w:spacing w:before="20" w:after="20"/>
              <w:ind w:firstLine="0"/>
              <w:jc w:val="left"/>
            </w:pPr>
            <w:r>
              <w:rPr>
                <w:sz w:val="20"/>
              </w:rPr>
              <w:t>r = −0,87</w:t>
            </w:r>
          </w:p>
        </w:tc>
      </w:tr>
    </w:tbl>
    <w:p w14:paraId="7522C429" w14:textId="77777777" w:rsidR="00902FC3" w:rsidRPr="00403B01" w:rsidRDefault="00000000">
      <w:pPr>
        <w:pStyle w:val="BodyText"/>
        <w:ind w:firstLine="0"/>
        <w:rPr>
          <w:lang w:val="es-PE"/>
        </w:rPr>
      </w:pPr>
      <w:r w:rsidRPr="00403B01">
        <w:rPr>
          <w:i/>
          <w:iCs/>
          <w:sz w:val="20"/>
          <w:lang w:val="es-PE"/>
        </w:rPr>
        <w:t>Nota.</w:t>
      </w:r>
      <w:r w:rsidRPr="00403B01">
        <w:rPr>
          <w:sz w:val="20"/>
          <w:lang w:val="es-PE"/>
        </w:rPr>
        <w:t xml:space="preserve"> Medianas, salvo </w:t>
      </w:r>
      <w:proofErr w:type="spellStart"/>
      <w:r w:rsidRPr="00403B01">
        <w:rPr>
          <w:sz w:val="20"/>
          <w:lang w:val="es-PE"/>
        </w:rPr>
        <w:t>TID@k</w:t>
      </w:r>
      <w:proofErr w:type="spellEnd"/>
      <w:r w:rsidRPr="00403B01">
        <w:rPr>
          <w:sz w:val="20"/>
          <w:lang w:val="es-PE"/>
        </w:rPr>
        <w:t xml:space="preserve">. C0 = MDI; C1 = </w:t>
      </w:r>
      <w:proofErr w:type="spellStart"/>
      <w:r w:rsidRPr="00403B01">
        <w:rPr>
          <w:sz w:val="20"/>
          <w:lang w:val="es-PE"/>
        </w:rPr>
        <w:t>TreeSHAP</w:t>
      </w:r>
      <w:proofErr w:type="spellEnd"/>
      <w:r w:rsidRPr="00403B01">
        <w:rPr>
          <w:sz w:val="20"/>
          <w:lang w:val="es-PE"/>
        </w:rPr>
        <w:t xml:space="preserve">; C2 = LIME. </w:t>
      </w:r>
      <w:r>
        <w:rPr>
          <w:sz w:val="20"/>
        </w:rPr>
        <w:t>χ</w:t>
      </w:r>
      <w:r w:rsidRPr="00403B01">
        <w:rPr>
          <w:sz w:val="20"/>
          <w:lang w:val="es-PE"/>
        </w:rPr>
        <w:t>² de Friedman y W de Kendall; post hoc de Wilcoxon unilateral (r) o McNemar exacto (</w:t>
      </w:r>
      <w:proofErr w:type="spellStart"/>
      <w:r w:rsidRPr="00403B01">
        <w:rPr>
          <w:sz w:val="20"/>
          <w:lang w:val="es-PE"/>
        </w:rPr>
        <w:t>TID@k</w:t>
      </w:r>
      <w:proofErr w:type="spellEnd"/>
      <w:r w:rsidRPr="00403B01">
        <w:rPr>
          <w:sz w:val="20"/>
          <w:lang w:val="es-PE"/>
        </w:rPr>
        <w:t xml:space="preserve">) con p ajustado por Holm; </w:t>
      </w:r>
      <w:proofErr w:type="gramStart"/>
      <w:r w:rsidRPr="00403B01">
        <w:rPr>
          <w:sz w:val="20"/>
          <w:lang w:val="es-PE"/>
        </w:rPr>
        <w:t>para EE</w:t>
      </w:r>
      <w:proofErr w:type="gramEnd"/>
      <w:r w:rsidRPr="00403B01">
        <w:rPr>
          <w:sz w:val="20"/>
          <w:lang w:val="es-PE"/>
        </w:rPr>
        <w:t xml:space="preserve"> y RP, Wilcoxon de una muestra frente a 0,80. C0 es global e invariante (EE = RP = 1). * </w:t>
      </w:r>
      <m:oMath>
        <m:sSub>
          <m:sSubPr>
            <m:ctrlPr>
              <w:rPr>
                <w:rFonts w:ascii="Cambria Math" w:hAnsi="Cambria Math"/>
              </w:rPr>
            </m:ctrlPr>
          </m:sSubPr>
          <m:e>
            <m:r>
              <w:rPr>
                <w:rFonts w:ascii="Cambria Math" w:hAnsi="Cambria Math"/>
              </w:rPr>
              <m:t>p</m:t>
            </m:r>
          </m:e>
          <m:sub>
            <m:r>
              <w:rPr>
                <w:rFonts w:ascii="Cambria Math" w:hAnsi="Cambria Math"/>
              </w:rPr>
              <m:t>Holm</m:t>
            </m:r>
          </m:sub>
        </m:sSub>
        <m:r>
          <m:rPr>
            <m:sty m:val="p"/>
          </m:rPr>
          <w:rPr>
            <w:rFonts w:ascii="Cambria Math" w:hAnsi="Cambria Math"/>
            <w:lang w:val="es-PE"/>
          </w:rPr>
          <m:t>&lt;</m:t>
        </m:r>
        <m:r>
          <w:rPr>
            <w:rFonts w:ascii="Cambria Math" w:hAnsi="Cambria Math"/>
            <w:lang w:val="es-PE"/>
          </w:rPr>
          <m:t>0</m:t>
        </m:r>
        <m:r>
          <m:rPr>
            <m:sty m:val="p"/>
          </m:rPr>
          <w:rPr>
            <w:rFonts w:ascii="Cambria Math" w:hAnsi="Cambria Math"/>
            <w:lang w:val="es-PE"/>
          </w:rPr>
          <m:t>,</m:t>
        </m:r>
        <m:r>
          <w:rPr>
            <w:rFonts w:ascii="Cambria Math" w:hAnsi="Cambria Math"/>
            <w:lang w:val="es-PE"/>
          </w:rPr>
          <m:t>001</m:t>
        </m:r>
      </m:oMath>
      <w:r w:rsidRPr="00403B01">
        <w:rPr>
          <w:sz w:val="20"/>
          <w:lang w:val="es-PE"/>
        </w:rPr>
        <w:t>. Elaborado con src/05_analisis_estadistico.py (results/tablas/contrastes.csv).</w:t>
      </w:r>
    </w:p>
    <w:p w14:paraId="51CC5B0B" w14:textId="77777777" w:rsidR="00902FC3" w:rsidRPr="00403B01" w:rsidRDefault="00000000">
      <w:pPr>
        <w:pStyle w:val="BodyText"/>
        <w:keepNext/>
        <w:spacing w:before="160" w:after="0"/>
        <w:ind w:firstLine="0"/>
        <w:rPr>
          <w:lang w:val="es-PE"/>
        </w:rPr>
      </w:pPr>
      <w:r w:rsidRPr="00403B01">
        <w:rPr>
          <w:b/>
          <w:bCs/>
          <w:lang w:val="es-PE"/>
        </w:rPr>
        <w:t>Figura 3</w:t>
      </w:r>
    </w:p>
    <w:p w14:paraId="27CDA278" w14:textId="77777777" w:rsidR="00902FC3" w:rsidRPr="00403B01" w:rsidRDefault="00000000">
      <w:pPr>
        <w:pStyle w:val="BodyText"/>
        <w:keepNext/>
        <w:ind w:firstLine="0"/>
        <w:rPr>
          <w:lang w:val="es-PE"/>
        </w:rPr>
      </w:pPr>
      <w:r w:rsidRPr="00403B01">
        <w:rPr>
          <w:i/>
          <w:iCs/>
          <w:lang w:val="es-PE"/>
        </w:rPr>
        <w:t>Distribución de la fidelidad y la parsimonia por condición</w:t>
      </w:r>
    </w:p>
    <w:p w14:paraId="16DE9789" w14:textId="77777777" w:rsidR="00902FC3" w:rsidRDefault="00000000">
      <w:pPr>
        <w:pStyle w:val="BodyText"/>
      </w:pPr>
      <w:r>
        <w:rPr>
          <w:noProof/>
        </w:rPr>
        <w:drawing>
          <wp:inline distT="0" distB="0" distL="0" distR="0" wp14:anchorId="7A16BB83" wp14:editId="55249776">
            <wp:extent cx="4572000" cy="1551372"/>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3_metricas_explicacion.png"/>
                    <pic:cNvPicPr>
                      <a:picLocks noChangeAspect="1" noChangeArrowheads="1"/>
                    </pic:cNvPicPr>
                  </pic:nvPicPr>
                  <pic:blipFill>
                    <a:blip r:embed="rId9"/>
                    <a:stretch>
                      <a:fillRect/>
                    </a:stretch>
                  </pic:blipFill>
                  <pic:spPr bwMode="auto">
                    <a:xfrm>
                      <a:off x="0" y="0"/>
                      <a:ext cx="4572000" cy="1551372"/>
                    </a:xfrm>
                    <a:prstGeom prst="rect">
                      <a:avLst/>
                    </a:prstGeom>
                    <a:noFill/>
                    <a:ln w="9525">
                      <a:noFill/>
                      <a:headEnd/>
                      <a:tailEnd/>
                    </a:ln>
                  </pic:spPr>
                </pic:pic>
              </a:graphicData>
            </a:graphic>
          </wp:inline>
        </w:drawing>
      </w:r>
    </w:p>
    <w:p w14:paraId="74681040" w14:textId="77777777" w:rsidR="00902FC3" w:rsidRPr="00403B01" w:rsidRDefault="00000000">
      <w:pPr>
        <w:pStyle w:val="Heading2"/>
        <w:rPr>
          <w:lang w:val="es-PE"/>
        </w:rPr>
      </w:pPr>
      <w:bookmarkStart w:id="17" w:name="costo-y-concordancia-de-los-explicadores"/>
      <w:bookmarkEnd w:id="16"/>
      <w:r w:rsidRPr="00403B01">
        <w:rPr>
          <w:lang w:val="es-PE"/>
        </w:rPr>
        <w:lastRenderedPageBreak/>
        <w:t>5.3 Costo y concordancia de los explicadores</w:t>
      </w:r>
    </w:p>
    <w:p w14:paraId="57444AE7" w14:textId="77777777" w:rsidR="00902FC3" w:rsidRPr="00403B01" w:rsidRDefault="00000000">
      <w:pPr>
        <w:pStyle w:val="FirstParagraph"/>
        <w:rPr>
          <w:lang w:val="es-PE"/>
        </w:rPr>
      </w:pPr>
      <w:r w:rsidRPr="00403B01">
        <w:rPr>
          <w:lang w:val="es-PE"/>
        </w:rPr>
        <w:t xml:space="preserve">La mediana del tiempo por alerta fue de 244 ms para </w:t>
      </w:r>
      <w:proofErr w:type="spellStart"/>
      <w:r w:rsidRPr="00403B01">
        <w:rPr>
          <w:lang w:val="es-PE"/>
        </w:rPr>
        <w:t>TreeSHAP</w:t>
      </w:r>
      <w:proofErr w:type="spellEnd"/>
      <w:r w:rsidRPr="00403B01">
        <w:rPr>
          <w:lang w:val="es-PE"/>
        </w:rPr>
        <w:t xml:space="preserve"> y de 119 ms por ejecución para LIME, que con </w:t>
      </w:r>
      <m:oMath>
        <m:r>
          <w:rPr>
            <w:rFonts w:ascii="Cambria Math" w:hAnsi="Cambria Math"/>
          </w:rPr>
          <m:t>R</m:t>
        </m:r>
        <m:r>
          <m:rPr>
            <m:sty m:val="p"/>
          </m:rPr>
          <w:rPr>
            <w:rFonts w:ascii="Cambria Math" w:hAnsi="Cambria Math"/>
            <w:lang w:val="es-PE"/>
          </w:rPr>
          <m:t>=</m:t>
        </m:r>
        <m:r>
          <w:rPr>
            <w:rFonts w:ascii="Cambria Math" w:hAnsi="Cambria Math"/>
            <w:lang w:val="es-PE"/>
          </w:rPr>
          <m:t>10</m:t>
        </m:r>
      </m:oMath>
      <w:r w:rsidRPr="00403B01">
        <w:rPr>
          <w:lang w:val="es-PE"/>
        </w:rPr>
        <w:t xml:space="preserve"> repeticiones suma alrededor de 1,2 s por alerta. La memoria pico de LIME fue de 8,5 MB; la de TreeSHAP no pudo medirse con </w:t>
      </w:r>
      <w:proofErr w:type="spellStart"/>
      <w:r w:rsidRPr="00403B01">
        <w:rPr>
          <w:rStyle w:val="VerbatimChar"/>
          <w:lang w:val="es-PE"/>
        </w:rPr>
        <w:t>tracemalloc</w:t>
      </w:r>
      <w:proofErr w:type="spellEnd"/>
      <w:r w:rsidRPr="00403B01">
        <w:rPr>
          <w:lang w:val="es-PE"/>
        </w:rPr>
        <w:t xml:space="preserve">, porque su núcleo en C++ reserva memoria fuera del intérprete. La concordancia entre ambos métodos fue baja: la mediana del índice de Jaccard entre sus top-5 fue de 0,25 y la de la correlación de Spearman de 0,42. Aun así, ambos coincidieron en las dos características más frecuentes: Rate y Telnet aparecieron en el top-5 de 375 y 365 alertas con </w:t>
      </w:r>
      <w:proofErr w:type="spellStart"/>
      <w:r w:rsidRPr="00403B01">
        <w:rPr>
          <w:lang w:val="es-PE"/>
        </w:rPr>
        <w:t>TreeSHAP</w:t>
      </w:r>
      <w:proofErr w:type="spellEnd"/>
      <w:r w:rsidRPr="00403B01">
        <w:rPr>
          <w:lang w:val="es-PE"/>
        </w:rPr>
        <w:t xml:space="preserve"> y en las 390 con LIME.</w:t>
      </w:r>
    </w:p>
    <w:p w14:paraId="71FA703C" w14:textId="77777777" w:rsidR="00902FC3" w:rsidRPr="00403B01" w:rsidRDefault="00000000">
      <w:pPr>
        <w:pStyle w:val="Heading2"/>
        <w:rPr>
          <w:lang w:val="es-PE"/>
        </w:rPr>
      </w:pPr>
      <w:bookmarkStart w:id="18" w:name="ejemplo-de-explicación-para-el-analista"/>
      <w:bookmarkEnd w:id="17"/>
      <w:r w:rsidRPr="00403B01">
        <w:rPr>
          <w:lang w:val="es-PE"/>
        </w:rPr>
        <w:t>5.4 Ejemplo de explicación para el analista</w:t>
      </w:r>
    </w:p>
    <w:p w14:paraId="2FB0925A" w14:textId="77777777" w:rsidR="00902FC3" w:rsidRPr="00403B01" w:rsidRDefault="00000000">
      <w:pPr>
        <w:pStyle w:val="FirstParagraph"/>
        <w:rPr>
          <w:lang w:val="es-PE"/>
        </w:rPr>
      </w:pPr>
      <w:r w:rsidRPr="00403B01">
        <w:rPr>
          <w:lang w:val="es-PE"/>
        </w:rPr>
        <w:t xml:space="preserve">La Figura 4 muestra una alerta bien clasificada de cada familia. En las tres, ambos métodos señalan la tasa de paquetes (Rate) y el tráfico Telnet, coherentes con la propagación por fuerza bruta de credenciales en el puerto 23 típica de estas </w:t>
      </w:r>
      <w:proofErr w:type="spellStart"/>
      <w:r w:rsidRPr="00403B01">
        <w:rPr>
          <w:lang w:val="es-PE"/>
        </w:rPr>
        <w:t>botnets</w:t>
      </w:r>
      <w:proofErr w:type="spellEnd"/>
      <w:r w:rsidRPr="00403B01">
        <w:rPr>
          <w:lang w:val="es-PE"/>
        </w:rPr>
        <w:t xml:space="preserve"> (Antonakakis et al., 2017). </w:t>
      </w:r>
      <w:proofErr w:type="spellStart"/>
      <w:r w:rsidRPr="00403B01">
        <w:rPr>
          <w:lang w:val="es-PE"/>
        </w:rPr>
        <w:t>TreeSHAP</w:t>
      </w:r>
      <w:proofErr w:type="spellEnd"/>
      <w:r w:rsidRPr="00403B01">
        <w:rPr>
          <w:lang w:val="es-PE"/>
        </w:rPr>
        <w:t xml:space="preserve"> añade rasgos específicos de cada alerta, como </w:t>
      </w:r>
      <w:proofErr w:type="spellStart"/>
      <w:r w:rsidRPr="00403B01">
        <w:rPr>
          <w:lang w:val="es-PE"/>
        </w:rPr>
        <w:t>Time_To_Live</w:t>
      </w:r>
      <w:proofErr w:type="spellEnd"/>
      <w:r w:rsidRPr="00403B01">
        <w:rPr>
          <w:lang w:val="es-PE"/>
        </w:rPr>
        <w:t xml:space="preserve"> en </w:t>
      </w:r>
      <w:proofErr w:type="spellStart"/>
      <w:r w:rsidRPr="00403B01">
        <w:rPr>
          <w:lang w:val="es-PE"/>
        </w:rPr>
        <w:t>DarkNexus</w:t>
      </w:r>
      <w:proofErr w:type="spellEnd"/>
      <w:r w:rsidRPr="00403B01">
        <w:rPr>
          <w:lang w:val="es-PE"/>
        </w:rPr>
        <w:t xml:space="preserve"> o las banderas SYN en </w:t>
      </w:r>
      <w:proofErr w:type="spellStart"/>
      <w:r w:rsidRPr="00403B01">
        <w:rPr>
          <w:lang w:val="es-PE"/>
        </w:rPr>
        <w:t>Gafgyt</w:t>
      </w:r>
      <w:proofErr w:type="spellEnd"/>
      <w:r w:rsidRPr="00403B01">
        <w:rPr>
          <w:lang w:val="es-PE"/>
        </w:rPr>
        <w:t xml:space="preserve"> y Mirai, mientras que LIME distribuye el peso restante entre banderas y protocolos de baja atribución (HTTP, HTTPS, TCP), lo que ilustra su menor parsimonia.</w:t>
      </w:r>
    </w:p>
    <w:p w14:paraId="23EB578C" w14:textId="77777777" w:rsidR="00902FC3" w:rsidRPr="00403B01" w:rsidRDefault="00000000">
      <w:pPr>
        <w:pStyle w:val="BodyText"/>
        <w:keepNext/>
        <w:spacing w:before="160" w:after="0"/>
        <w:ind w:firstLine="0"/>
        <w:rPr>
          <w:lang w:val="es-PE"/>
        </w:rPr>
      </w:pPr>
      <w:r w:rsidRPr="00403B01">
        <w:rPr>
          <w:b/>
          <w:bCs/>
          <w:lang w:val="es-PE"/>
        </w:rPr>
        <w:t>Figura 4</w:t>
      </w:r>
    </w:p>
    <w:p w14:paraId="168A48F7" w14:textId="77777777" w:rsidR="00902FC3" w:rsidRPr="00403B01" w:rsidRDefault="00000000">
      <w:pPr>
        <w:pStyle w:val="BodyText"/>
        <w:keepNext/>
        <w:ind w:firstLine="0"/>
        <w:rPr>
          <w:lang w:val="es-PE"/>
        </w:rPr>
      </w:pPr>
      <w:r w:rsidRPr="00403B01">
        <w:rPr>
          <w:i/>
          <w:iCs/>
          <w:lang w:val="es-PE"/>
        </w:rPr>
        <w:t xml:space="preserve">Cinco características principales de una alerta por familia según </w:t>
      </w:r>
      <w:proofErr w:type="spellStart"/>
      <w:r w:rsidRPr="00403B01">
        <w:rPr>
          <w:i/>
          <w:iCs/>
          <w:lang w:val="es-PE"/>
        </w:rPr>
        <w:t>TreeSHAP</w:t>
      </w:r>
      <w:proofErr w:type="spellEnd"/>
      <w:r w:rsidRPr="00403B01">
        <w:rPr>
          <w:i/>
          <w:iCs/>
          <w:lang w:val="es-PE"/>
        </w:rPr>
        <w:t xml:space="preserve"> y LIME</w:t>
      </w:r>
    </w:p>
    <w:p w14:paraId="521DDA8F" w14:textId="77777777" w:rsidR="00902FC3" w:rsidRDefault="00000000">
      <w:pPr>
        <w:pStyle w:val="BodyText"/>
      </w:pPr>
      <w:r>
        <w:rPr>
          <w:noProof/>
        </w:rPr>
        <w:drawing>
          <wp:inline distT="0" distB="0" distL="0" distR="0" wp14:anchorId="77D361E8" wp14:editId="035FEB89">
            <wp:extent cx="4114800" cy="2986644"/>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5_ejemplos_alertas.png"/>
                    <pic:cNvPicPr>
                      <a:picLocks noChangeAspect="1" noChangeArrowheads="1"/>
                    </pic:cNvPicPr>
                  </pic:nvPicPr>
                  <pic:blipFill>
                    <a:blip r:embed="rId10"/>
                    <a:stretch>
                      <a:fillRect/>
                    </a:stretch>
                  </pic:blipFill>
                  <pic:spPr bwMode="auto">
                    <a:xfrm>
                      <a:off x="0" y="0"/>
                      <a:ext cx="4114800" cy="2986644"/>
                    </a:xfrm>
                    <a:prstGeom prst="rect">
                      <a:avLst/>
                    </a:prstGeom>
                    <a:noFill/>
                    <a:ln w="9525">
                      <a:noFill/>
                      <a:headEnd/>
                      <a:tailEnd/>
                    </a:ln>
                  </pic:spPr>
                </pic:pic>
              </a:graphicData>
            </a:graphic>
          </wp:inline>
        </w:drawing>
      </w:r>
    </w:p>
    <w:p w14:paraId="5E568DF1" w14:textId="77777777" w:rsidR="00902FC3" w:rsidRPr="00403B01" w:rsidRDefault="00000000">
      <w:pPr>
        <w:pStyle w:val="Heading1"/>
        <w:rPr>
          <w:lang w:val="es-PE"/>
        </w:rPr>
      </w:pPr>
      <w:bookmarkStart w:id="19" w:name="discusión"/>
      <w:bookmarkEnd w:id="14"/>
      <w:bookmarkEnd w:id="18"/>
      <w:r w:rsidRPr="00403B01">
        <w:rPr>
          <w:lang w:val="es-PE"/>
        </w:rPr>
        <w:t>6. Discusión</w:t>
      </w:r>
    </w:p>
    <w:p w14:paraId="39904944" w14:textId="77777777" w:rsidR="00902FC3" w:rsidRPr="00403B01" w:rsidRDefault="00000000">
      <w:pPr>
        <w:pStyle w:val="FirstParagraph"/>
        <w:rPr>
          <w:lang w:val="es-PE"/>
        </w:rPr>
      </w:pPr>
      <w:r w:rsidRPr="00403B01">
        <w:rPr>
          <w:lang w:val="es-PE"/>
        </w:rPr>
        <w:t xml:space="preserve">Los resultados confirman que ningún método es superior en todas las dimensiones (Arreche et al., 2024; Munilla &amp; Khammas, 2026). </w:t>
      </w:r>
      <w:proofErr w:type="spellStart"/>
      <w:r w:rsidRPr="00403B01">
        <w:rPr>
          <w:lang w:val="es-PE"/>
        </w:rPr>
        <w:t>TreeSHAP</w:t>
      </w:r>
      <w:proofErr w:type="spellEnd"/>
      <w:r w:rsidRPr="00403B01">
        <w:rPr>
          <w:lang w:val="es-PE"/>
        </w:rPr>
        <w:t xml:space="preserve">, exacto y determinista para árboles, fue el más conciso, lo que respalda su uso en detectores </w:t>
      </w:r>
      <w:proofErr w:type="spellStart"/>
      <w:r w:rsidRPr="00403B01">
        <w:rPr>
          <w:lang w:val="es-PE"/>
        </w:rPr>
        <w:t>IoT</w:t>
      </w:r>
      <w:proofErr w:type="spellEnd"/>
      <w:r w:rsidRPr="00403B01">
        <w:rPr>
          <w:lang w:val="es-PE"/>
        </w:rPr>
        <w:t xml:space="preserve"> basados en árboles (Le et al., 2022). La inestabilidad de LIME (</w:t>
      </w:r>
      <m:oMath>
        <m:r>
          <w:rPr>
            <w:rFonts w:ascii="Cambria Math" w:hAnsi="Cambria Math"/>
          </w:rPr>
          <m:t>EE</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50</m:t>
        </m:r>
      </m:oMath>
      <w:r w:rsidRPr="00403B01">
        <w:rPr>
          <w:lang w:val="es-PE"/>
        </w:rPr>
        <w:t>) se explica por su muestreo aleatorio de vecinos (Ribeiro et al., 2016) y contrasta con la mayor estabilidad de ranking reportada por Munilla y Khammas (2026), quizá porque aquí 5 000 vecinos sobre 35 características discretizadas reordenan con facilidad los atributos de peso similar. La concordancia entre ambos métodos (Jaccard de 0,25) fue mucho menor que la reportada por Hermosilla et al. (2025) en UNSW-NB15 (0,65 a 0,82), lo que indica que no son intercambiables con este detector. Incluso TreeSHAP perdió parte de su top-5 ante perturbaciones de 0,01</w:t>
      </w:r>
      <w:r>
        <w:t>σ</w:t>
      </w:r>
      <w:r w:rsidRPr="00403B01">
        <w:rPr>
          <w:lang w:val="es-PE"/>
        </w:rPr>
        <w:t xml:space="preserve"> (</w:t>
      </w:r>
      <m:oMath>
        <m:r>
          <w:rPr>
            <w:rFonts w:ascii="Cambria Math" w:hAnsi="Cambria Math"/>
          </w:rPr>
          <m:t>RP</m:t>
        </m:r>
        <m:r>
          <m:rPr>
            <m:sty m:val="p"/>
          </m:rPr>
          <w:rPr>
            <w:rFonts w:ascii="Cambria Math" w:hAnsi="Cambria Math"/>
            <w:lang w:val="es-PE"/>
          </w:rPr>
          <m:t>=</m:t>
        </m:r>
        <m:r>
          <w:rPr>
            <w:rFonts w:ascii="Cambria Math" w:hAnsi="Cambria Math"/>
            <w:lang w:val="es-PE"/>
          </w:rPr>
          <m:t>0</m:t>
        </m:r>
        <m:r>
          <m:rPr>
            <m:sty m:val="p"/>
          </m:rPr>
          <w:rPr>
            <w:rFonts w:ascii="Cambria Math" w:hAnsi="Cambria Math"/>
            <w:lang w:val="es-PE"/>
          </w:rPr>
          <m:t>,</m:t>
        </m:r>
        <m:r>
          <w:rPr>
            <w:rFonts w:ascii="Cambria Math" w:hAnsi="Cambria Math"/>
            <w:lang w:val="es-PE"/>
          </w:rPr>
          <m:t>67</m:t>
        </m:r>
      </m:oMath>
      <w:r w:rsidRPr="00403B01">
        <w:rPr>
          <w:lang w:val="es-PE"/>
        </w:rPr>
        <w:t>), porque los umbrales de los árboles generan cambios discretos en las contribuciones.</w:t>
      </w:r>
    </w:p>
    <w:p w14:paraId="6F579310" w14:textId="77777777" w:rsidR="00902FC3" w:rsidRPr="00403B01" w:rsidRDefault="00000000">
      <w:pPr>
        <w:pStyle w:val="BodyText"/>
        <w:rPr>
          <w:lang w:val="es-PE"/>
        </w:rPr>
      </w:pPr>
      <w:r w:rsidRPr="00403B01">
        <w:rPr>
          <w:lang w:val="es-PE"/>
        </w:rPr>
        <w:lastRenderedPageBreak/>
        <w:t xml:space="preserve">La falta de ventaja en fidelidad tiene dos explicaciones. Primero, el detector se apoya en pocas características dominantes (Rate y Telnet concentran el 59 % de la importancia global), de modo que el top-5 global ya contiene casi siempre lo que las explicaciones locales señalan. Segundo, la métrica se saturó: al neutralizar con la mediana de entrenamiento, dominada por Mirai, ninguna alerta predicha como Mirai cambió de familia en ninguna condición, mientras que en las predichas como </w:t>
      </w:r>
      <w:proofErr w:type="spellStart"/>
      <w:r w:rsidRPr="00403B01">
        <w:rPr>
          <w:lang w:val="es-PE"/>
        </w:rPr>
        <w:t>DarkNexus</w:t>
      </w:r>
      <w:proofErr w:type="spellEnd"/>
      <w:r w:rsidRPr="00403B01">
        <w:rPr>
          <w:lang w:val="es-PE"/>
        </w:rPr>
        <w:t xml:space="preserve"> o </w:t>
      </w:r>
      <w:proofErr w:type="spellStart"/>
      <w:r w:rsidRPr="00403B01">
        <w:rPr>
          <w:lang w:val="es-PE"/>
        </w:rPr>
        <w:t>Gafgyt</w:t>
      </w:r>
      <w:proofErr w:type="spellEnd"/>
      <w:r w:rsidRPr="00403B01">
        <w:rPr>
          <w:lang w:val="es-PE"/>
        </w:rPr>
        <w:t xml:space="preserve"> la decisión se invirtió en el 98–100 % de los casos con cualquiera de los tres métodos. Esta saturación es la causa de que </w:t>
      </w:r>
      <w:proofErr w:type="spellStart"/>
      <w:r w:rsidRPr="00403B01">
        <w:rPr>
          <w:lang w:val="es-PE"/>
        </w:rPr>
        <w:t>TID@k</w:t>
      </w:r>
      <w:proofErr w:type="spellEnd"/>
      <w:r w:rsidRPr="00403B01">
        <w:rPr>
          <w:lang w:val="es-PE"/>
        </w:rPr>
        <w:t xml:space="preserve"> sea casi idéntico (41 %) y muestra que la fidelidad por eliminación depende del valor de referencia elegido, un aspecto que los marcos de evaluación previos no suelen reportar (Arreche et al., 2024).</w:t>
      </w:r>
    </w:p>
    <w:p w14:paraId="0DB1B318" w14:textId="434BD7CE" w:rsidR="00902FC3" w:rsidRPr="00403B01" w:rsidRDefault="00000000">
      <w:pPr>
        <w:pStyle w:val="BodyText"/>
        <w:rPr>
          <w:lang w:val="es-PE"/>
        </w:rPr>
      </w:pPr>
      <w:r w:rsidRPr="00403B01">
        <w:rPr>
          <w:lang w:val="es-PE"/>
        </w:rPr>
        <w:t xml:space="preserve">Para un SOC, conviene usar </w:t>
      </w:r>
      <w:proofErr w:type="spellStart"/>
      <w:r w:rsidRPr="00403B01">
        <w:rPr>
          <w:lang w:val="es-PE"/>
        </w:rPr>
        <w:t>TreeSHAP</w:t>
      </w:r>
      <w:proofErr w:type="spellEnd"/>
      <w:r w:rsidRPr="00403B01">
        <w:rPr>
          <w:lang w:val="es-PE"/>
        </w:rPr>
        <w:t xml:space="preserve"> como explicación por defecto en detectores de árboles (lista corta y reproducible en menos de 0,3 s), y LIME solo como segunda opinión agregada sobre varias ejecuciones. Limitaciones: solo usa la partición ARM y la modalidad de red; </w:t>
      </w:r>
      <w:proofErr w:type="spellStart"/>
      <w:r w:rsidRPr="00403B01">
        <w:rPr>
          <w:lang w:val="es-PE"/>
        </w:rPr>
        <w:t>Gafgyt</w:t>
      </w:r>
      <w:proofErr w:type="spellEnd"/>
      <w:r w:rsidRPr="00403B01">
        <w:rPr>
          <w:lang w:val="es-PE"/>
        </w:rPr>
        <w:t xml:space="preserve"> tiene cinco binarios, lo que reduce la generalización a esa familia; el detector es débil para las familias minoritarias, por lo que varias alertas explicadas son errores del modelo; y la memoria de </w:t>
      </w:r>
      <w:proofErr w:type="spellStart"/>
      <w:r w:rsidRPr="00403B01">
        <w:rPr>
          <w:lang w:val="es-PE"/>
        </w:rPr>
        <w:t>TreeSHAP</w:t>
      </w:r>
      <w:proofErr w:type="spellEnd"/>
      <w:r w:rsidRPr="00403B01">
        <w:rPr>
          <w:lang w:val="es-PE"/>
        </w:rPr>
        <w:t xml:space="preserve"> no se pudo medir. Como trabajo futuro se propone usar valores de referencia condicionados a la clase o distribuciones de fondo para la fidelidad, agregar varias ejecuciones de LIME, incorporar las cuatro arquitecturas y las modalidades SAR y STRACE, y evaluar las explicaciones con analistas de un SOC.</w:t>
      </w:r>
    </w:p>
    <w:p w14:paraId="753050F2" w14:textId="77777777" w:rsidR="00902FC3" w:rsidRPr="00403B01" w:rsidRDefault="00000000">
      <w:pPr>
        <w:pStyle w:val="Heading1"/>
        <w:rPr>
          <w:lang w:val="es-PE"/>
        </w:rPr>
      </w:pPr>
      <w:bookmarkStart w:id="20" w:name="conclusiones"/>
      <w:bookmarkEnd w:id="19"/>
      <w:r w:rsidRPr="00403B01">
        <w:rPr>
          <w:lang w:val="es-PE"/>
        </w:rPr>
        <w:t>7. Conclusiones</w:t>
      </w:r>
    </w:p>
    <w:p w14:paraId="599E3AB7" w14:textId="77777777" w:rsidR="00902FC3" w:rsidRPr="00403B01" w:rsidRDefault="00000000">
      <w:pPr>
        <w:pStyle w:val="FirstParagraph"/>
        <w:rPr>
          <w:lang w:val="es-PE"/>
        </w:rPr>
      </w:pPr>
      <w:r w:rsidRPr="00403B01">
        <w:rPr>
          <w:lang w:val="es-PE"/>
        </w:rPr>
        <w:t xml:space="preserve">El marco integró </w:t>
      </w:r>
      <w:proofErr w:type="spellStart"/>
      <w:r w:rsidRPr="00403B01">
        <w:rPr>
          <w:lang w:val="es-PE"/>
        </w:rPr>
        <w:t>TreeSHAP</w:t>
      </w:r>
      <w:proofErr w:type="spellEnd"/>
      <w:r w:rsidRPr="00403B01">
        <w:rPr>
          <w:lang w:val="es-PE"/>
        </w:rPr>
        <w:t xml:space="preserve"> y LIME a un detector Random Forest de </w:t>
      </w:r>
      <w:proofErr w:type="gramStart"/>
      <w:r w:rsidRPr="00403B01">
        <w:rPr>
          <w:lang w:val="es-PE"/>
        </w:rPr>
        <w:t>malware</w:t>
      </w:r>
      <w:proofErr w:type="gramEnd"/>
      <w:r w:rsidRPr="00403B01">
        <w:rPr>
          <w:lang w:val="es-PE"/>
        </w:rPr>
        <w:t xml:space="preserve"> </w:t>
      </w:r>
      <w:proofErr w:type="spellStart"/>
      <w:r w:rsidRPr="00403B01">
        <w:rPr>
          <w:lang w:val="es-PE"/>
        </w:rPr>
        <w:t>IoT</w:t>
      </w:r>
      <w:proofErr w:type="spellEnd"/>
      <w:r w:rsidRPr="00403B01">
        <w:rPr>
          <w:lang w:val="es-PE"/>
        </w:rPr>
        <w:t xml:space="preserve"> y evaluó 390 alertas del </w:t>
      </w:r>
      <w:proofErr w:type="spellStart"/>
      <w:r w:rsidRPr="00403B01">
        <w:rPr>
          <w:lang w:val="es-PE"/>
        </w:rPr>
        <w:t>dataset</w:t>
      </w:r>
      <w:proofErr w:type="spellEnd"/>
      <w:r w:rsidRPr="00403B01">
        <w:rPr>
          <w:lang w:val="es-PE"/>
        </w:rPr>
        <w:t xml:space="preserve"> internacional CIC-YNU-</w:t>
      </w:r>
      <w:proofErr w:type="spellStart"/>
      <w:r w:rsidRPr="00403B01">
        <w:rPr>
          <w:lang w:val="es-PE"/>
        </w:rPr>
        <w:t>IoTMal</w:t>
      </w:r>
      <w:proofErr w:type="spellEnd"/>
      <w:r w:rsidRPr="00403B01">
        <w:rPr>
          <w:lang w:val="es-PE"/>
        </w:rPr>
        <w:t xml:space="preserve"> 2026 frente a una línea base global. Respecto a O.E.1, no se acepta H.E.1: ninguno de los dos métodos mejoró la fidelidad frente a C0, en parte por la dominancia de dos características y la saturación de la métrica. Respecto a O.E.2, no se acepta H.E.2: </w:t>
      </w:r>
      <w:proofErr w:type="spellStart"/>
      <w:r w:rsidRPr="00403B01">
        <w:rPr>
          <w:lang w:val="es-PE"/>
        </w:rPr>
        <w:t>TreeSHAP</w:t>
      </w:r>
      <w:proofErr w:type="spellEnd"/>
      <w:r w:rsidRPr="00403B01">
        <w:rPr>
          <w:lang w:val="es-PE"/>
        </w:rPr>
        <w:t xml:space="preserve"> es reproducible entre ejecuciones, pero ninguna condición alcanzó una robustez de 0,80, y LIME fue inestable. Respecto a O.E.3, se acepta parcialmente H.E.3: </w:t>
      </w:r>
      <w:proofErr w:type="spellStart"/>
      <w:r w:rsidRPr="00403B01">
        <w:rPr>
          <w:lang w:val="es-PE"/>
        </w:rPr>
        <w:t>TreeSHAP</w:t>
      </w:r>
      <w:proofErr w:type="spellEnd"/>
      <w:r w:rsidRPr="00403B01">
        <w:rPr>
          <w:lang w:val="es-PE"/>
        </w:rPr>
        <w:t xml:space="preserve"> redujo de 9 a 7 las características necesarias para explicar el 80 % de la decisión, mientras que LIME la volvió más dispersa. En consecuencia, el marco mejora la interpretabilidad de las alertas solo por medio de </w:t>
      </w:r>
      <w:proofErr w:type="spellStart"/>
      <w:r w:rsidRPr="00403B01">
        <w:rPr>
          <w:lang w:val="es-PE"/>
        </w:rPr>
        <w:t>TreeSHAP</w:t>
      </w:r>
      <w:proofErr w:type="spellEnd"/>
      <w:r w:rsidRPr="00403B01">
        <w:rPr>
          <w:lang w:val="es-PE"/>
        </w:rPr>
        <w:t xml:space="preserve"> y en la dimensión de parsimonia. El aporte principal es un protocolo reproducible, con código y datos públicos, que muestra que la elección del explicador debe basarse en mediciones y que la explicación local no reemplaza automáticamente a la información global de la que ya dispone el analista.</w:t>
      </w:r>
    </w:p>
    <w:p w14:paraId="263F606A" w14:textId="77777777" w:rsidR="00902FC3" w:rsidRDefault="00000000">
      <w:pPr>
        <w:pStyle w:val="Heading1"/>
      </w:pPr>
      <w:bookmarkStart w:id="21" w:name="dataset-y-código-fuente"/>
      <w:bookmarkEnd w:id="20"/>
      <w:r>
        <w:t xml:space="preserve">Dataset y </w:t>
      </w:r>
      <w:proofErr w:type="spellStart"/>
      <w:r>
        <w:t>código</w:t>
      </w:r>
      <w:proofErr w:type="spellEnd"/>
      <w:r>
        <w:t xml:space="preserve"> </w:t>
      </w:r>
      <w:proofErr w:type="spellStart"/>
      <w:r>
        <w:t>fuente</w:t>
      </w:r>
      <w:proofErr w:type="spellEnd"/>
    </w:p>
    <w:p w14:paraId="6862857E" w14:textId="1D3FE1E6" w:rsidR="00902FC3" w:rsidRPr="00403B01" w:rsidRDefault="00000000">
      <w:pPr>
        <w:pStyle w:val="Compact"/>
        <w:numPr>
          <w:ilvl w:val="0"/>
          <w:numId w:val="3"/>
        </w:numPr>
        <w:rPr>
          <w:lang w:val="es-PE"/>
        </w:rPr>
      </w:pPr>
      <w:r>
        <w:t>Dataset: CIC-YNU-</w:t>
      </w:r>
      <w:proofErr w:type="spellStart"/>
      <w:r>
        <w:t>IoTMal</w:t>
      </w:r>
      <w:proofErr w:type="spellEnd"/>
      <w:r>
        <w:t xml:space="preserve"> 2026 (Dadkhah et al., 2026). </w:t>
      </w:r>
      <w:r w:rsidRPr="00D1450D">
        <w:t xml:space="preserve">Kaggle: </w:t>
      </w:r>
      <w:hyperlink r:id="rId11" w:history="1">
        <w:r w:rsidR="00D1450D" w:rsidRPr="00D1450D">
          <w:rPr>
            <w:rStyle w:val="Hyperlink"/>
          </w:rPr>
          <w:t>https://www.kaggle.com/datasets/raneemababneh/iot-malware-network-traffic-dataset-cic-ynu-2026</w:t>
        </w:r>
      </w:hyperlink>
      <w:r w:rsidR="00D1450D">
        <w:t>.</w:t>
      </w:r>
      <w:r w:rsidRPr="00D1450D">
        <w:t xml:space="preserve"> </w:t>
      </w:r>
      <w:r w:rsidRPr="00403B01">
        <w:rPr>
          <w:lang w:val="es-PE"/>
        </w:rPr>
        <w:t xml:space="preserve">Página oficial: </w:t>
      </w:r>
      <w:hyperlink r:id="rId12" w:history="1">
        <w:r w:rsidR="00D1450D" w:rsidRPr="00107CB3">
          <w:rPr>
            <w:rStyle w:val="Hyperlink"/>
            <w:lang w:val="es-PE"/>
          </w:rPr>
          <w:t>https://www.unb.ca/cic/datasets/ynu-iot-2026.html</w:t>
        </w:r>
      </w:hyperlink>
      <w:r w:rsidR="00D1450D">
        <w:rPr>
          <w:lang w:val="es-PE"/>
        </w:rPr>
        <w:t xml:space="preserve"> </w:t>
      </w:r>
    </w:p>
    <w:p w14:paraId="1A31DB1A" w14:textId="4A06D49E" w:rsidR="00902FC3" w:rsidRPr="009328CA" w:rsidRDefault="00000000" w:rsidP="009328CA">
      <w:pPr>
        <w:pStyle w:val="Compact"/>
        <w:numPr>
          <w:ilvl w:val="0"/>
          <w:numId w:val="3"/>
        </w:numPr>
        <w:rPr>
          <w:lang w:val="es-PE"/>
        </w:rPr>
      </w:pPr>
      <w:r w:rsidRPr="009328CA">
        <w:rPr>
          <w:lang w:val="es-PE"/>
        </w:rPr>
        <w:t>Código fuente, datos procesados, resultados y PDF de las fuentes:</w:t>
      </w:r>
      <w:r w:rsidR="00D1450D">
        <w:rPr>
          <w:lang w:val="es-PE"/>
        </w:rPr>
        <w:t xml:space="preserve"> </w:t>
      </w:r>
      <w:hyperlink r:id="rId13" w:history="1">
        <w:r w:rsidR="00D1450D" w:rsidRPr="00107CB3">
          <w:rPr>
            <w:rStyle w:val="Hyperlink"/>
            <w:lang w:val="es-PE"/>
          </w:rPr>
          <w:t>https://github.com/berrocalb/XAI_SOC_IoT</w:t>
        </w:r>
      </w:hyperlink>
    </w:p>
    <w:p w14:paraId="05AF4380" w14:textId="77777777" w:rsidR="00902FC3" w:rsidRPr="00403B01" w:rsidRDefault="00000000">
      <w:pPr>
        <w:pStyle w:val="Heading1"/>
        <w:rPr>
          <w:lang w:val="es-PE"/>
        </w:rPr>
      </w:pPr>
      <w:bookmarkStart w:id="22" w:name="referencias"/>
      <w:bookmarkEnd w:id="21"/>
      <w:r w:rsidRPr="00403B01">
        <w:rPr>
          <w:lang w:val="es-PE"/>
        </w:rPr>
        <w:t>Referencias</w:t>
      </w:r>
    </w:p>
    <w:p w14:paraId="2FBD2AD1" w14:textId="77777777" w:rsidR="00902FC3" w:rsidRDefault="00000000">
      <w:pPr>
        <w:pStyle w:val="Bibliography"/>
      </w:pPr>
      <w:r w:rsidRPr="00403B01">
        <w:rPr>
          <w:lang w:val="es-PE"/>
        </w:rPr>
        <w:t xml:space="preserve">Alahmadi, B. A., Axon, L., &amp; Martinovic, I. (2022). </w:t>
      </w:r>
      <w:r>
        <w:t xml:space="preserve">99% false positives: A qualitative study of SOC analysts’ perspectives on security alarms. En </w:t>
      </w:r>
      <w:r>
        <w:rPr>
          <w:i/>
          <w:iCs/>
        </w:rPr>
        <w:t>Proceedings of the 31st USENIX Security Symposium</w:t>
      </w:r>
      <w:r>
        <w:t xml:space="preserve"> (pp. 2783–2800). USENIX Association.</w:t>
      </w:r>
    </w:p>
    <w:p w14:paraId="072058F0" w14:textId="77777777" w:rsidR="00902FC3" w:rsidRDefault="00000000">
      <w:pPr>
        <w:pStyle w:val="Bibliography"/>
      </w:pPr>
      <w:r w:rsidRPr="00403B01">
        <w:rPr>
          <w:lang w:val="es-PE"/>
        </w:rPr>
        <w:t xml:space="preserve">Alani, M. M., &amp; Miri, A. (2022). </w:t>
      </w:r>
      <w:r>
        <w:t xml:space="preserve">Towards an explainable universal feature set for IoT intrusion detection. </w:t>
      </w:r>
      <w:r>
        <w:rPr>
          <w:i/>
          <w:iCs/>
        </w:rPr>
        <w:t>Sensors, 22</w:t>
      </w:r>
      <w:r>
        <w:t>(15), 5690. https://doi.org/10.3390/s22155690</w:t>
      </w:r>
    </w:p>
    <w:p w14:paraId="7F00ADD3" w14:textId="77777777" w:rsidR="00902FC3" w:rsidRDefault="00000000">
      <w:pPr>
        <w:pStyle w:val="Bibliography"/>
      </w:pPr>
      <w:r>
        <w:lastRenderedPageBreak/>
        <w:t xml:space="preserve">Antonakakis, M., April, T., Bailey, M., Bernhard, M., </w:t>
      </w:r>
      <w:proofErr w:type="spellStart"/>
      <w:r>
        <w:t>Bursztein</w:t>
      </w:r>
      <w:proofErr w:type="spellEnd"/>
      <w:r>
        <w:t xml:space="preserve">, E., Cochran, J., </w:t>
      </w:r>
      <w:proofErr w:type="spellStart"/>
      <w:r>
        <w:t>Durumeric</w:t>
      </w:r>
      <w:proofErr w:type="spellEnd"/>
      <w:r>
        <w:t xml:space="preserve">, Z., Halderman, J. A., Invernizzi, L., </w:t>
      </w:r>
      <w:proofErr w:type="spellStart"/>
      <w:r>
        <w:t>Kallitsis</w:t>
      </w:r>
      <w:proofErr w:type="spellEnd"/>
      <w:r>
        <w:t xml:space="preserve">, M., Kumar, D., Lever, C., Ma, Z., Mason, J., </w:t>
      </w:r>
      <w:proofErr w:type="spellStart"/>
      <w:r>
        <w:t>Menscher</w:t>
      </w:r>
      <w:proofErr w:type="spellEnd"/>
      <w:r>
        <w:t xml:space="preserve">, D., Seaman, C., Sullivan, N., Thomas, K., &amp; Zhou, Y. (2017). Understanding the Mirai botnet. En </w:t>
      </w:r>
      <w:r>
        <w:rPr>
          <w:i/>
          <w:iCs/>
        </w:rPr>
        <w:t>Proceedings of the 26th USENIX Security Symposium</w:t>
      </w:r>
      <w:r>
        <w:t xml:space="preserve"> (pp. 1093–1110). USENIX Association.</w:t>
      </w:r>
    </w:p>
    <w:p w14:paraId="58197229" w14:textId="77777777" w:rsidR="00902FC3" w:rsidRDefault="00000000">
      <w:pPr>
        <w:pStyle w:val="Bibliography"/>
      </w:pPr>
      <w:r>
        <w:t xml:space="preserve">Arp, D., Quiring, E., Pendlebury, F., Warnecke, A., Pierazzi, F., </w:t>
      </w:r>
      <w:proofErr w:type="spellStart"/>
      <w:r>
        <w:t>Wressnegger</w:t>
      </w:r>
      <w:proofErr w:type="spellEnd"/>
      <w:r>
        <w:t xml:space="preserve">, C., Cavallaro, L., &amp; Rieck, K. (2022). Dos and don’ts of machine learning in computer security. En </w:t>
      </w:r>
      <w:r>
        <w:rPr>
          <w:i/>
          <w:iCs/>
        </w:rPr>
        <w:t>Proceedings of the 31st USENIX Security Symposium</w:t>
      </w:r>
      <w:r>
        <w:t xml:space="preserve"> (pp. 3971–3988). USENIX Association.</w:t>
      </w:r>
    </w:p>
    <w:p w14:paraId="633D6822" w14:textId="77777777" w:rsidR="00902FC3" w:rsidRPr="00403B01" w:rsidRDefault="00000000">
      <w:pPr>
        <w:pStyle w:val="Bibliography"/>
        <w:rPr>
          <w:lang w:val="es-PE"/>
        </w:rPr>
      </w:pPr>
      <w:proofErr w:type="spellStart"/>
      <w:r>
        <w:t>Arreche</w:t>
      </w:r>
      <w:proofErr w:type="spellEnd"/>
      <w:r>
        <w:t xml:space="preserve">, O., Guntur, T. R., Roberts, J. W., &amp; Abdallah, M. (2024). E-XAI: Evaluating black-box explainable AI frameworks for network intrusion detection. </w:t>
      </w:r>
      <w:r w:rsidRPr="00403B01">
        <w:rPr>
          <w:i/>
          <w:iCs/>
          <w:lang w:val="es-PE"/>
        </w:rPr>
        <w:t>IEEE Access, 12</w:t>
      </w:r>
      <w:r w:rsidRPr="00403B01">
        <w:rPr>
          <w:lang w:val="es-PE"/>
        </w:rPr>
        <w:t>, 23954–23988. https://doi.org/10.1109/ACCESS.2024.3365140</w:t>
      </w:r>
    </w:p>
    <w:p w14:paraId="45D0C701" w14:textId="77777777" w:rsidR="00902FC3" w:rsidRDefault="00000000">
      <w:pPr>
        <w:pStyle w:val="Bibliography"/>
      </w:pPr>
      <w:r w:rsidRPr="00403B01">
        <w:rPr>
          <w:lang w:val="es-PE"/>
        </w:rPr>
        <w:t xml:space="preserve">Barredo Arrieta, A., Díaz-Rodríguez, N., Del Ser, J., </w:t>
      </w:r>
      <w:proofErr w:type="spellStart"/>
      <w:r w:rsidRPr="00403B01">
        <w:rPr>
          <w:lang w:val="es-PE"/>
        </w:rPr>
        <w:t>Bennetot</w:t>
      </w:r>
      <w:proofErr w:type="spellEnd"/>
      <w:r w:rsidRPr="00403B01">
        <w:rPr>
          <w:lang w:val="es-PE"/>
        </w:rPr>
        <w:t xml:space="preserve">, A., Tabik, S., Barbado, A., García, S., Gil-López, S., Molina, D., Benjamins, R., Chatila, R., &amp; Herrera, F. (2020). </w:t>
      </w:r>
      <w:r>
        <w:t xml:space="preserve">Explainable artificial intelligence (XAI): Concepts, taxonomies, opportunities and challenges toward responsible AI. </w:t>
      </w:r>
      <w:r>
        <w:rPr>
          <w:i/>
          <w:iCs/>
        </w:rPr>
        <w:t>Information Fusion, 58</w:t>
      </w:r>
      <w:r>
        <w:t>, 82–115. https://doi.org/10.1016/j.inffus.2019.12.012</w:t>
      </w:r>
    </w:p>
    <w:p w14:paraId="756F455B" w14:textId="77777777" w:rsidR="00902FC3" w:rsidRDefault="00000000">
      <w:pPr>
        <w:pStyle w:val="Bibliography"/>
      </w:pPr>
      <w:proofErr w:type="spellStart"/>
      <w:r>
        <w:t>Breiman</w:t>
      </w:r>
      <w:proofErr w:type="spellEnd"/>
      <w:r>
        <w:t xml:space="preserve">, L. (2001). Random forests. </w:t>
      </w:r>
      <w:r>
        <w:rPr>
          <w:i/>
          <w:iCs/>
        </w:rPr>
        <w:t>Machine Learning, 45</w:t>
      </w:r>
      <w:r>
        <w:t>(1), 5–32. https://doi.org/10.1023/A:1010933404324</w:t>
      </w:r>
    </w:p>
    <w:p w14:paraId="48C4A5A6" w14:textId="77777777" w:rsidR="00902FC3" w:rsidRDefault="00000000">
      <w:pPr>
        <w:pStyle w:val="Bibliography"/>
      </w:pPr>
      <w:r>
        <w:t xml:space="preserve">Dadkhah, S., Okey, O. D., Maret, S. A., Lo, Y.-W., </w:t>
      </w:r>
      <w:proofErr w:type="spellStart"/>
      <w:r>
        <w:t>Firouzi</w:t>
      </w:r>
      <w:proofErr w:type="spellEnd"/>
      <w:r>
        <w:t>, A., Kuki, R., Sasaki, T., Yoshioka, K., Ban, T., Ozawa, S., &amp; Ghorbani, A. A. (2026). CIC-YNU-</w:t>
      </w:r>
      <w:proofErr w:type="spellStart"/>
      <w:r>
        <w:t>IoTMal</w:t>
      </w:r>
      <w:proofErr w:type="spellEnd"/>
      <w:r>
        <w:t xml:space="preserve">: A comprehensive multilayer dataset for static and dynamic analysis of IoT malware behavior. </w:t>
      </w:r>
      <w:r>
        <w:rPr>
          <w:i/>
          <w:iCs/>
        </w:rPr>
        <w:t>Information Systems, 140</w:t>
      </w:r>
      <w:r>
        <w:t>, 102722. https://doi.org/10.1016/j.is.2026.102722</w:t>
      </w:r>
    </w:p>
    <w:p w14:paraId="3B13B93B" w14:textId="77777777" w:rsidR="00902FC3" w:rsidRDefault="00000000">
      <w:pPr>
        <w:pStyle w:val="Bibliography"/>
      </w:pPr>
      <w:r>
        <w:t xml:space="preserve">Demšar, J. (2006). Statistical comparisons of classifiers over multiple data sets. </w:t>
      </w:r>
      <w:r>
        <w:rPr>
          <w:i/>
          <w:iCs/>
        </w:rPr>
        <w:t>Journal of Machine Learning Research, 7</w:t>
      </w:r>
      <w:r>
        <w:t>, 1–30.</w:t>
      </w:r>
    </w:p>
    <w:p w14:paraId="7EB5E3CC" w14:textId="77777777" w:rsidR="00902FC3" w:rsidRDefault="00000000">
      <w:pPr>
        <w:pStyle w:val="Bibliography"/>
      </w:pPr>
      <w:r>
        <w:t xml:space="preserve">Fritz, C. O., Morris, P. E., &amp; Richler, J. J. (2012). Effect size estimates: Current use, calculations, and interpretation. </w:t>
      </w:r>
      <w:r>
        <w:rPr>
          <w:i/>
          <w:iCs/>
        </w:rPr>
        <w:t>Journal of Experimental Psychology: General, 141</w:t>
      </w:r>
      <w:r>
        <w:t>(1), 2–18. https://doi.org/10.1037/a0024338</w:t>
      </w:r>
    </w:p>
    <w:p w14:paraId="22F1015F" w14:textId="77777777" w:rsidR="00902FC3" w:rsidRDefault="00000000">
      <w:pPr>
        <w:pStyle w:val="Bibliography"/>
      </w:pPr>
      <w:r>
        <w:t xml:space="preserve">Hermosilla, P., Berríos, S., &amp; Allende-Cid, H. (2025). Explainable AI for forensic analysis: A comparative study of SHAP and LIME in intrusion detection models. </w:t>
      </w:r>
      <w:r>
        <w:rPr>
          <w:i/>
          <w:iCs/>
        </w:rPr>
        <w:t>Applied Sciences, 15</w:t>
      </w:r>
      <w:r>
        <w:t>(13), 7329. https://doi.org/10.3390/app15137329</w:t>
      </w:r>
    </w:p>
    <w:p w14:paraId="12CE6185" w14:textId="77777777" w:rsidR="00902FC3" w:rsidRDefault="00000000">
      <w:pPr>
        <w:pStyle w:val="Bibliography"/>
      </w:pPr>
      <w:r>
        <w:t xml:space="preserve">Holm, S. (1979). A simple sequentially rejective multiple test procedure. </w:t>
      </w:r>
      <w:r>
        <w:rPr>
          <w:i/>
          <w:iCs/>
        </w:rPr>
        <w:t>Scandinavian Journal of Statistics, 6</w:t>
      </w:r>
      <w:r>
        <w:t>(2), 65–70.</w:t>
      </w:r>
    </w:p>
    <w:p w14:paraId="127FF426" w14:textId="77777777" w:rsidR="00902FC3" w:rsidRDefault="00000000">
      <w:pPr>
        <w:pStyle w:val="Bibliography"/>
      </w:pPr>
      <w:r>
        <w:t xml:space="preserve">IBM Security. (2023). </w:t>
      </w:r>
      <w:r>
        <w:rPr>
          <w:i/>
          <w:iCs/>
        </w:rPr>
        <w:t>Global security operations center study results</w:t>
      </w:r>
      <w:r>
        <w:t xml:space="preserve"> [Informe </w:t>
      </w:r>
      <w:proofErr w:type="spellStart"/>
      <w:r>
        <w:t>elaborado</w:t>
      </w:r>
      <w:proofErr w:type="spellEnd"/>
      <w:r>
        <w:t xml:space="preserve"> </w:t>
      </w:r>
      <w:proofErr w:type="spellStart"/>
      <w:r>
        <w:t>por</w:t>
      </w:r>
      <w:proofErr w:type="spellEnd"/>
      <w:r>
        <w:t xml:space="preserve"> Morning Consult].</w:t>
      </w:r>
    </w:p>
    <w:p w14:paraId="51C61E8F" w14:textId="77777777" w:rsidR="00902FC3" w:rsidRDefault="00000000">
      <w:pPr>
        <w:pStyle w:val="Bibliography"/>
      </w:pPr>
      <w:r w:rsidRPr="00403B01">
        <w:rPr>
          <w:lang w:val="es-PE"/>
        </w:rPr>
        <w:t xml:space="preserve">Le, T.-T.-H., Kim, H., Kang, H., &amp; Kim, H. (2022). </w:t>
      </w:r>
      <w:r>
        <w:t xml:space="preserve">Classification and explanation for intrusion detection system based on ensemble trees and SHAP method. </w:t>
      </w:r>
      <w:r>
        <w:rPr>
          <w:i/>
          <w:iCs/>
        </w:rPr>
        <w:t>Sensors, 22</w:t>
      </w:r>
      <w:r>
        <w:t>(3), 1154. https://doi.org/10.3390/s22031154</w:t>
      </w:r>
    </w:p>
    <w:p w14:paraId="388F3C1A" w14:textId="77777777" w:rsidR="00902FC3" w:rsidRDefault="00000000">
      <w:pPr>
        <w:pStyle w:val="Bibliography"/>
      </w:pPr>
      <w:r>
        <w:t xml:space="preserve">Lundberg, S. M., Erion, G., Chen, H., DeGrave, A., </w:t>
      </w:r>
      <w:proofErr w:type="spellStart"/>
      <w:r>
        <w:t>Prutkin</w:t>
      </w:r>
      <w:proofErr w:type="spellEnd"/>
      <w:r>
        <w:t xml:space="preserve">, J. M., Nair, B., Katz, R., Himmelfarb, J., Bansal, N., &amp; Lee, S.-I. (2020). From local explanations to global understanding with explainable AI for trees. </w:t>
      </w:r>
      <w:r>
        <w:rPr>
          <w:i/>
          <w:iCs/>
        </w:rPr>
        <w:t>Nature Machine Intelligence, 2</w:t>
      </w:r>
      <w:r>
        <w:t>(1), 56–67. https://doi.org/10.1038/s42256-019-0138-9</w:t>
      </w:r>
    </w:p>
    <w:p w14:paraId="6A01775A" w14:textId="77777777" w:rsidR="00902FC3" w:rsidRDefault="00000000">
      <w:pPr>
        <w:pStyle w:val="Bibliography"/>
      </w:pPr>
      <w:r>
        <w:t xml:space="preserve">Lundberg, S. M., &amp; Lee, S.-I. (2017). A unified approach to interpreting model predictions. En </w:t>
      </w:r>
      <w:r>
        <w:rPr>
          <w:i/>
          <w:iCs/>
        </w:rPr>
        <w:t>Advances in Neural Information Processing Systems 30</w:t>
      </w:r>
      <w:r>
        <w:t xml:space="preserve"> (pp. 4765–4774). Curran Associates.</w:t>
      </w:r>
    </w:p>
    <w:p w14:paraId="554CA397" w14:textId="77777777" w:rsidR="00902FC3" w:rsidRDefault="00000000">
      <w:pPr>
        <w:pStyle w:val="Bibliography"/>
      </w:pPr>
      <w:r>
        <w:lastRenderedPageBreak/>
        <w:t xml:space="preserve">Miller, T. (2019). Explanation in artificial intelligence: Insights from the social sciences. </w:t>
      </w:r>
      <w:r>
        <w:rPr>
          <w:i/>
          <w:iCs/>
        </w:rPr>
        <w:t>Artificial Intelligence, 267</w:t>
      </w:r>
      <w:r>
        <w:t>, 1–38. https://doi.org/10.1016/j.artint.2018.07.007</w:t>
      </w:r>
    </w:p>
    <w:p w14:paraId="782CC745" w14:textId="77777777" w:rsidR="00902FC3" w:rsidRDefault="00000000">
      <w:pPr>
        <w:pStyle w:val="Bibliography"/>
      </w:pPr>
      <w:proofErr w:type="spellStart"/>
      <w:r>
        <w:t>Munilla</w:t>
      </w:r>
      <w:proofErr w:type="spellEnd"/>
      <w:r>
        <w:t xml:space="preserve">, J., &amp; Khammas, R. M. (2026). Evaluation of explainable artificial intelligence in IoT intrusion detection systems under </w:t>
      </w:r>
      <w:proofErr w:type="spellStart"/>
      <w:r>
        <w:t>DeepFool</w:t>
      </w:r>
      <w:proofErr w:type="spellEnd"/>
      <w:r>
        <w:t xml:space="preserve"> adversarial conditions. </w:t>
      </w:r>
      <w:r>
        <w:rPr>
          <w:i/>
          <w:iCs/>
        </w:rPr>
        <w:t>Sensors, 26</w:t>
      </w:r>
      <w:r>
        <w:t>(10), 2924. https://doi.org/10.3390/s26102924</w:t>
      </w:r>
    </w:p>
    <w:p w14:paraId="68E5A617" w14:textId="77777777" w:rsidR="00902FC3" w:rsidRDefault="00000000">
      <w:pPr>
        <w:pStyle w:val="Bibliography"/>
      </w:pPr>
      <w:r>
        <w:t xml:space="preserve">Neto, E. C. P., Dadkhah, S., Ferreira, R., </w:t>
      </w:r>
      <w:proofErr w:type="spellStart"/>
      <w:r>
        <w:t>Zohourian</w:t>
      </w:r>
      <w:proofErr w:type="spellEnd"/>
      <w:r>
        <w:t xml:space="preserve">, A., Lu, R., &amp; Ghorbani, A. A. (2023). CICIoT2023: A real-time dataset and benchmark for large-scale attacks in IoT environment. </w:t>
      </w:r>
      <w:r>
        <w:rPr>
          <w:i/>
          <w:iCs/>
        </w:rPr>
        <w:t>Sensors, 23</w:t>
      </w:r>
      <w:r>
        <w:t>(13), 5941. https://doi.org/10.3390/s23135941</w:t>
      </w:r>
    </w:p>
    <w:p w14:paraId="4D219C4B" w14:textId="77777777" w:rsidR="00902FC3" w:rsidRDefault="00000000">
      <w:pPr>
        <w:pStyle w:val="Bibliography"/>
      </w:pPr>
      <w:r>
        <w:t xml:space="preserve">Pa, Y. M. P., Suzuki, S., Yoshioka, K., Matsumoto, T., Kasama, T., &amp; Rossow, C. (2016). </w:t>
      </w:r>
      <w:proofErr w:type="spellStart"/>
      <w:r>
        <w:t>IoTPOT</w:t>
      </w:r>
      <w:proofErr w:type="spellEnd"/>
      <w:r>
        <w:t xml:space="preserve">: A novel honeypot for revealing current IoT threats. </w:t>
      </w:r>
      <w:r>
        <w:rPr>
          <w:i/>
          <w:iCs/>
        </w:rPr>
        <w:t>Journal of Information Processing, 24</w:t>
      </w:r>
      <w:r>
        <w:t>(3), 522–533. https://doi.org/10.2197/ipsjjip.24.522</w:t>
      </w:r>
    </w:p>
    <w:p w14:paraId="1D75BE38" w14:textId="77777777" w:rsidR="00902FC3" w:rsidRDefault="00000000">
      <w:pPr>
        <w:pStyle w:val="Bibliography"/>
      </w:pPr>
      <w:r>
        <w:t xml:space="preserve">Ribeiro, M. T., Singh, S., &amp; </w:t>
      </w:r>
      <w:proofErr w:type="spellStart"/>
      <w:r>
        <w:t>Guestrin</w:t>
      </w:r>
      <w:proofErr w:type="spellEnd"/>
      <w:r>
        <w:t xml:space="preserve">, C. (2016). “Why should I trust you?”: Explaining the predictions of any classifier. En </w:t>
      </w:r>
      <w:r>
        <w:rPr>
          <w:i/>
          <w:iCs/>
        </w:rPr>
        <w:t>Proceedings of the 22nd ACM SIGKDD International Conference on Knowledge Discovery and Data Mining</w:t>
      </w:r>
      <w:r>
        <w:t xml:space="preserve"> (pp. 1135–1144). ACM. https://doi.org/10.1145/2939672.2939778</w:t>
      </w:r>
    </w:p>
    <w:p w14:paraId="490F1D12" w14:textId="77777777" w:rsidR="00902FC3" w:rsidRDefault="00000000">
      <w:pPr>
        <w:pStyle w:val="Bibliography"/>
      </w:pPr>
      <w:r>
        <w:t xml:space="preserve">Samek, W., Binder, A., Montavon, G., Lapuschkin, S., &amp; Müller, K.-R. (2017). Evaluating the visualization of what a deep neural network has learned. </w:t>
      </w:r>
      <w:r>
        <w:rPr>
          <w:i/>
          <w:iCs/>
        </w:rPr>
        <w:t>IEEE Transactions on Neural Networks and Learning Systems, 28</w:t>
      </w:r>
      <w:r>
        <w:t>(11), 2660–2673. https://doi.org/10.1109/TNNLS.2016.2599820</w:t>
      </w:r>
    </w:p>
    <w:p w14:paraId="63DB1441" w14:textId="77777777" w:rsidR="00902FC3" w:rsidRDefault="00000000">
      <w:pPr>
        <w:pStyle w:val="Bibliography"/>
      </w:pPr>
      <w:r>
        <w:t xml:space="preserve">Shapley, L. S. (1953). A value for n-person games. En H. W. Kuhn &amp; A. W. Tucker (Eds.), </w:t>
      </w:r>
      <w:r>
        <w:rPr>
          <w:i/>
          <w:iCs/>
        </w:rPr>
        <w:t>Contributions to the theory of games</w:t>
      </w:r>
      <w:r>
        <w:t xml:space="preserve"> (Vol. 2, pp. 307–317). Princeton University Press.</w:t>
      </w:r>
    </w:p>
    <w:p w14:paraId="66A4DDD9" w14:textId="77777777" w:rsidR="00902FC3" w:rsidRDefault="00000000">
      <w:pPr>
        <w:pStyle w:val="Bibliography"/>
      </w:pPr>
      <w:r>
        <w:t xml:space="preserve">Strobl, C., Boulesteix, A.-L., </w:t>
      </w:r>
      <w:proofErr w:type="spellStart"/>
      <w:r>
        <w:t>Zeileis</w:t>
      </w:r>
      <w:proofErr w:type="spellEnd"/>
      <w:r>
        <w:t xml:space="preserve">, A., &amp; </w:t>
      </w:r>
      <w:proofErr w:type="spellStart"/>
      <w:r>
        <w:t>Hothorn</w:t>
      </w:r>
      <w:proofErr w:type="spellEnd"/>
      <w:r>
        <w:t xml:space="preserve">, T. (2007). Bias in random forest variable importance measures: Illustrations, sources and </w:t>
      </w:r>
      <w:proofErr w:type="gramStart"/>
      <w:r>
        <w:t>a solution</w:t>
      </w:r>
      <w:proofErr w:type="gramEnd"/>
      <w:r>
        <w:t xml:space="preserve">. </w:t>
      </w:r>
      <w:r>
        <w:rPr>
          <w:i/>
          <w:iCs/>
        </w:rPr>
        <w:t>BMC Bioinformatics, 8</w:t>
      </w:r>
      <w:r>
        <w:t>, 25. https://doi.org/10.1186/1471-2105-8-25</w:t>
      </w:r>
    </w:p>
    <w:p w14:paraId="5DDFBEAC" w14:textId="77777777" w:rsidR="00902FC3" w:rsidRDefault="00000000">
      <w:pPr>
        <w:pStyle w:val="Bibliography"/>
      </w:pPr>
      <w:r>
        <w:t xml:space="preserve">Vectra AI. (2023). </w:t>
      </w:r>
      <w:r>
        <w:rPr>
          <w:i/>
          <w:iCs/>
        </w:rPr>
        <w:t>2023 state of threat detection</w:t>
      </w:r>
      <w:r>
        <w:t xml:space="preserve"> [Informe de </w:t>
      </w:r>
      <w:proofErr w:type="spellStart"/>
      <w:r>
        <w:t>investigación</w:t>
      </w:r>
      <w:proofErr w:type="spellEnd"/>
      <w:r>
        <w:t>]. https://content.vectra.ai/hubfs/downloadable-assets/V_2023-State-of-Threat-Detection.pdf</w:t>
      </w:r>
      <w:bookmarkEnd w:id="22"/>
    </w:p>
    <w:sectPr w:rsidR="00902FC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52CAC" w14:textId="77777777" w:rsidR="00283B1A" w:rsidRDefault="00283B1A">
      <w:pPr>
        <w:spacing w:after="0"/>
      </w:pPr>
      <w:r>
        <w:separator/>
      </w:r>
    </w:p>
  </w:endnote>
  <w:endnote w:type="continuationSeparator" w:id="0">
    <w:p w14:paraId="387A502C" w14:textId="77777777" w:rsidR="00283B1A" w:rsidRDefault="00283B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B25A6" w14:textId="77777777" w:rsidR="00283B1A" w:rsidRDefault="00283B1A">
      <w:r>
        <w:separator/>
      </w:r>
    </w:p>
  </w:footnote>
  <w:footnote w:type="continuationSeparator" w:id="0">
    <w:p w14:paraId="4F9BC413" w14:textId="77777777" w:rsidR="00283B1A" w:rsidRDefault="00283B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B6CB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F4E74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89923098">
    <w:abstractNumId w:val="0"/>
  </w:num>
  <w:num w:numId="2" w16cid:durableId="1534926327">
    <w:abstractNumId w:val="1"/>
  </w:num>
  <w:num w:numId="3" w16cid:durableId="100225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2FC3"/>
    <w:rsid w:val="001E56E9"/>
    <w:rsid w:val="00283B1A"/>
    <w:rsid w:val="00403B01"/>
    <w:rsid w:val="006D4EEA"/>
    <w:rsid w:val="00774C95"/>
    <w:rsid w:val="007C238A"/>
    <w:rsid w:val="007D5066"/>
    <w:rsid w:val="00902FC3"/>
    <w:rsid w:val="009328CA"/>
    <w:rsid w:val="00A0043B"/>
    <w:rsid w:val="00CD6417"/>
    <w:rsid w:val="00D1450D"/>
    <w:rsid w:val="00FD34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EC55"/>
  <w15:docId w15:val="{844F5E8E-A748-4389-B817-486EEF98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pPr>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200"/>
      <w:jc w:val="center"/>
      <w:outlineLvl w:val="0"/>
    </w:pPr>
    <w:rPr>
      <w:b/>
      <w:bCs/>
      <w:szCs w:val="32"/>
    </w:rPr>
  </w:style>
  <w:style w:type="paragraph" w:styleId="Heading2">
    <w:name w:val="heading 2"/>
    <w:basedOn w:val="Normal"/>
    <w:next w:val="BodyText"/>
    <w:uiPriority w:val="9"/>
    <w:unhideWhenUsed/>
    <w:qFormat/>
    <w:pPr>
      <w:keepNext/>
      <w:keepLines/>
      <w:spacing w:before="160"/>
      <w:outlineLvl w:val="1"/>
    </w:pPr>
    <w:rPr>
      <w:b/>
      <w:bCs/>
      <w:szCs w:val="28"/>
    </w:rPr>
  </w:style>
  <w:style w:type="paragraph" w:styleId="Heading3">
    <w:name w:val="heading 3"/>
    <w:basedOn w:val="Normal"/>
    <w:next w:val="BodyText"/>
    <w:uiPriority w:val="9"/>
    <w:unhideWhenUsed/>
    <w:qFormat/>
    <w:pPr>
      <w:keepNext/>
      <w:keepLines/>
      <w:spacing w:before="160"/>
      <w:outlineLvl w:val="2"/>
    </w:pPr>
    <w:rPr>
      <w:b/>
      <w:bCs/>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0"/>
    </w:pPr>
  </w:style>
  <w:style w:type="paragraph" w:styleId="Title">
    <w:name w:val="Title"/>
    <w:basedOn w:val="Normal"/>
    <w:next w:val="BodyText"/>
    <w:qFormat/>
    <w:pPr>
      <w:keepNext/>
      <w:keepLines/>
      <w:spacing w:before="480" w:after="240"/>
      <w:jc w:val="center"/>
    </w:pPr>
    <w:rPr>
      <w:b/>
      <w:bCs/>
      <w:sz w:val="28"/>
      <w:szCs w:val="36"/>
    </w:rPr>
  </w:style>
  <w:style w:type="paragraph" w:styleId="Subtitle">
    <w:name w:val="Subtitle"/>
    <w:basedOn w:val="Title"/>
    <w:next w:val="BodyText"/>
    <w:qFormat/>
    <w:pPr>
      <w:spacing w:before="240"/>
    </w:pPr>
    <w:rPr>
      <w:szCs w:val="30"/>
    </w:rPr>
  </w:style>
  <w:style w:type="paragraph" w:customStyle="1" w:styleId="Author">
    <w:name w:val="Author"/>
    <w:next w:val="BodyText"/>
    <w:qFormat/>
    <w:pPr>
      <w:keepNext/>
      <w:keepLines/>
      <w:spacing w:after="80"/>
      <w:jc w:val="center"/>
    </w:pPr>
    <w:rPr>
      <w:rFonts w:ascii="Times New Roman" w:eastAsia="Times New Roman" w:hAnsi="Times New Roman" w:cs="Times New Roman"/>
      <w:color w:val="000000"/>
    </w:rPr>
  </w:style>
  <w:style w:type="paragraph" w:styleId="Date">
    <w:name w:val="Date"/>
    <w:next w:val="BodyText"/>
    <w:qFormat/>
    <w:pPr>
      <w:keepNext/>
      <w:keepLines/>
      <w:spacing w:after="80"/>
      <w:jc w:val="center"/>
    </w:pPr>
    <w:rPr>
      <w:rFonts w:ascii="Times New Roman" w:eastAsia="Times New Roman" w:hAnsi="Times New Roman" w:cs="Times New Roman"/>
      <w:color w:val="000000"/>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pPr>
      <w:ind w:left="720" w:hanging="720"/>
    </w:pPr>
  </w:style>
  <w:style w:type="paragraph" w:styleId="BlockText">
    <w:name w:val="Block Text"/>
    <w:basedOn w:val="BodyText"/>
    <w:next w:val="BodyText"/>
    <w:uiPriority w:val="9"/>
    <w:unhideWhenUsed/>
    <w:qFormat/>
    <w:pPr>
      <w:ind w:left="480" w:right="480" w:firstLine="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Times New Roman" w:eastAsia="Times New Roman" w:hAnsi="Times New Roman" w:cs="Times New Roman"/>
      <w:color w:val="000000"/>
      <w:sz w:val="20"/>
      <w:szCs w:val="20"/>
    </w:rPr>
  </w:style>
  <w:style w:type="character" w:styleId="CommentReference">
    <w:name w:val="annotation reference"/>
    <w:basedOn w:val="DefaultParagraphFont"/>
    <w:rPr>
      <w:sz w:val="16"/>
      <w:szCs w:val="16"/>
    </w:rPr>
  </w:style>
  <w:style w:type="character" w:styleId="UnresolvedMention">
    <w:name w:val="Unresolved Mention"/>
    <w:basedOn w:val="DefaultParagraphFont"/>
    <w:uiPriority w:val="99"/>
    <w:semiHidden/>
    <w:unhideWhenUsed/>
    <w:rsid w:val="00D14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berrocalb/XAI_SOC_Io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unb.ca/cic/datasets/ynu-iot-202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raneemababneh/iot-malware-network-traffic-dataset-cic-ynu-202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5364</Words>
  <Characters>30580</Characters>
  <Application>Microsoft Office Word</Application>
  <DocSecurity>0</DocSecurity>
  <Lines>254</Lines>
  <Paragraphs>71</Paragraphs>
  <ScaleCrop>false</ScaleCrop>
  <Company/>
  <LinksUpToDate>false</LinksUpToDate>
  <CharactersWithSpaces>35873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Berrocal, Luis (CIP)</dc:creator>
  <cp:keywords/>
  <cp:lastModifiedBy>Berrocal, Luis (CIP)</cp:lastModifiedBy>
  <cp:revision>7</cp:revision>
  <cp:lastPrinted>2026-10-18T20:56:00Z</cp:lastPrinted>
  <dcterms:created xsi:type="dcterms:W3CDTF">2026-10-18T18:20:00Z</dcterms:created>
  <dcterms:modified xsi:type="dcterms:W3CDTF">2026-10-18T20:56:00Z</dcterms:modified>
</cp:coreProperties>
</file>