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  <w:jc w:val="center"/>
      </w:pPr>
      <w:r>
        <w:rPr>
          <w:rFonts w:ascii="Arial" w:hAnsi="Arial" w:eastAsia="PingFang SC"/>
          <w:b/>
          <w:color w:val="17365D"/>
          <w:sz w:val="50"/>
        </w:rPr>
        <w:t>基于 ManiSkill 官方 PPO-fast 的</w:t>
        <w:br/>
        <w:t>侧向插销装配策略</w:t>
      </w:r>
    </w:p>
    <w:p>
      <w:pPr>
        <w:spacing w:after="360"/>
        <w:jc w:val="center"/>
      </w:pPr>
      <w:r>
        <w:rPr>
          <w:rFonts w:ascii="Arial" w:hAnsi="Arial" w:eastAsia="PingFang SC"/>
          <w:b/>
          <w:color w:val="4F81BD"/>
          <w:sz w:val="32"/>
        </w:rPr>
        <w:t>PegInsertionSide-v1 任务三完整研究报告</w:t>
      </w:r>
    </w:p>
    <w:tbl>
      <w:tblPr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9220"/>
      </w:tblGrid>
      <w:tr>
        <w:tc>
          <w:tcPr>
            <w:tcW w:type="dxa" w:w="9220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PingFang SC"/>
                <w:b/>
                <w:color w:val="365F91"/>
                <w:sz w:val="21"/>
              </w:rPr>
              <w:t>最终结论｜</w:t>
            </w:r>
            <w:r>
              <w:rPr>
                <w:rFonts w:ascii="Arial" w:hAnsi="Arial" w:eastAsia="PingFang SC"/>
                <w:sz w:val="20"/>
              </w:rPr>
              <w:t>从零训练的官方 75M 步 O1 最佳模型在 matched-seed 1,000 环境中严格成功 175/1,000；以该候选继续进行 25M 步低学习率 O2 训练后，最佳 checkpoint 达到 991/1,000（99.1%），绝对提升 81.6 个百分点。</w:t>
            </w:r>
          </w:p>
        </w:tc>
      </w:tr>
    </w:tbl>
    <w:p>
      <w:pPr>
        <w:spacing w:after="20"/>
      </w:pP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120"/>
      </w:tblGrid>
      <w:tr>
        <w:trPr>
          <w:tblHeader w:val="true"/>
        </w:trPr>
        <w:tc>
          <w:tcPr>
            <w:tcW w:type="dxa" w:w="21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项目字段</w:t>
            </w:r>
          </w:p>
        </w:tc>
        <w:tc>
          <w:tcPr>
            <w:tcW w:type="dxa" w:w="71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9"/>
              </w:rPr>
              <w:t>项目</w:t>
            </w:r>
          </w:p>
        </w:tc>
        <w:tc>
          <w:tcPr>
            <w:tcW w:type="dxa" w:w="71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9"/>
              </w:rPr>
              <w:t>mani-project</w:t>
            </w:r>
          </w:p>
        </w:tc>
      </w:tr>
      <w:tr>
        <w:tc>
          <w:tcPr>
            <w:tcW w:type="dxa" w:w="21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9"/>
              </w:rPr>
              <w:t>任务</w:t>
            </w:r>
          </w:p>
        </w:tc>
        <w:tc>
          <w:tcPr>
            <w:tcW w:type="dxa" w:w="71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9"/>
              </w:rPr>
              <w:t>ManiSkill 3.0.1 · PegInsertionSide-v1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9"/>
              </w:rPr>
              <w:t>官方参考</w:t>
            </w:r>
          </w:p>
        </w:tc>
        <w:tc>
          <w:tcPr>
            <w:tcW w:type="dxa" w:w="71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9"/>
              </w:rPr>
              <w:t>commit a4a4f9272ad64b1564035874b605ceb687b63ed8</w:t>
            </w:r>
          </w:p>
        </w:tc>
      </w:tr>
      <w:tr>
        <w:tc>
          <w:tcPr>
            <w:tcW w:type="dxa" w:w="21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9"/>
              </w:rPr>
              <w:t>作者</w:t>
            </w:r>
          </w:p>
        </w:tc>
        <w:tc>
          <w:tcPr>
            <w:tcW w:type="dxa" w:w="71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9"/>
              </w:rPr>
              <w:t>黄泊睿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9"/>
              </w:rPr>
              <w:t>报告日期</w:t>
            </w:r>
          </w:p>
        </w:tc>
        <w:tc>
          <w:tcPr>
            <w:tcW w:type="dxa" w:w="71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9"/>
              </w:rPr>
              <w:t>2026 年 7 月 23 日</w:t>
            </w:r>
          </w:p>
        </w:tc>
      </w:tr>
      <w:tr>
        <w:tc>
          <w:tcPr>
            <w:tcW w:type="dxa" w:w="21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9"/>
              </w:rPr>
              <w:t>最佳模型</w:t>
            </w:r>
          </w:p>
        </w:tc>
        <w:tc>
          <w:tcPr>
            <w:tcW w:type="dxa" w:w="71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9"/>
              </w:rPr>
              <w:t>O2 ckpt_551 · 991/1,000 strict success</w:t>
            </w:r>
          </w:p>
        </w:tc>
      </w:tr>
    </w:tbl>
    <w:p>
      <w:pPr>
        <w:spacing w:after="20"/>
      </w:pPr>
    </w:p>
    <w:p>
      <w:pPr>
        <w:spacing w:before="560"/>
        <w:jc w:val="center"/>
      </w:pPr>
      <w:r>
        <w:rPr>
          <w:rFonts w:ascii="Arial" w:hAnsi="Arial" w:eastAsia="PingFang SC"/>
          <w:b/>
          <w:color w:val="666666"/>
          <w:sz w:val="20"/>
        </w:rPr>
        <w:t>任务三 · 冻结版研究与交付报告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本报告记录 mani-project 第三阶段 PegInsertionSide-v1 的完整研究过程。该任务要求 Panda 机械臂抓取横置插销，完成轴向姿态与孔口横向对准，并将插销头真正推进孔内。与前两个任务相比，其严格成功条件同时约束孔坐标系中的插入深度和横向误差，视觉上“碰到孔口”并不等于成功。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实验首先复核 ManiSkill 3.0.1 的原生环境、43 维 state 观测、8 维动作、pd_joint_delta_pos 控制、100 步 horizon、dense reward 与严格 success predicate；随后在固定种子上建立随机策略和未训练官方 actor 基线。O1 完整复现官方 PPO-fast 75M 步配置，保留 92 个周期 checkpoint 及 final，并通过全 checkpoint 筛选、独立 100 seeds 复验和 matched-seed 1,000 环境正式评估确定 ckpt_2151 为 O1 最佳模型，严格成功率 17.5%。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O1 的主要瓶颈不是抓取，而是最后插入深度不足。O2 从 O1 ckpt_2151 的不可变副本出发，重置优化器，以 1×10⁻⁴ 学习率线性退火继续训练 25M 步。O2 ckpt_551 在独立种子复验中达到 100/100，在 matched-seed 1,000 环境中达到 991/1,000；失败仅包括 1 次未抓取、1 次未完成预插入对准和 7 次深度不足。模型晋升后完成本地/服务器 SHA-256 一致性核对，并生成单视角、20 条展示视频及前 5 条四机位同步视频。</w:t>
      </w:r>
    </w:p>
    <w:p>
      <w:pPr>
        <w:spacing w:after="100" w:line="300" w:lineRule="auto"/>
      </w:pPr>
      <w:r>
        <w:rPr>
          <w:rFonts w:ascii="Arial" w:hAnsi="Arial" w:eastAsia="PingFang SC"/>
          <w:sz w:val="21"/>
        </w:rPr>
        <w:t>关键词：ManiSkill；PPO；PegInsertionSide；机器人装配；插销插入；checkpoint 筛选；失败分类；多机位视频</w:t>
      </w:r>
    </w:p>
    <w:p>
      <w:pPr>
        <w:pStyle w:val="Heading1"/>
        <w:keepNext/>
      </w:pPr>
      <w:r>
        <w:t>一、任务目标与研究边界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任务三的目标不是展示一次偶然成功，而是获得在严格原生判定下稳定、可复验、可交付的模型。训练、筛选和晋升遵循固定协议：训练前建立基线；保留每个 checkpoint；先用固定 100 seeds 全量筛选，再用独立 100 seeds 复验；最后在相同 1,000 环境随机实例上进行 matched-seed 比较。final 仅是时间上最后的 checkpoint，不自动视为 best。</w:t>
      </w:r>
    </w:p>
    <w:p>
      <w:pPr>
        <w:pStyle w:val="ListBullet"/>
        <w:spacing w:after="60" w:line="276" w:lineRule="auto"/>
      </w:pPr>
      <w:r>
        <w:rPr>
          <w:rFonts w:ascii="Arial" w:hAnsi="Arial" w:eastAsia="PingFang SC"/>
          <w:sz w:val="20"/>
        </w:rPr>
        <w:t>服务器仅在 /vepfs-mlp2/queue013/public/huangborui 及其子目录写入；其他路径严格只读。</w:t>
      </w:r>
    </w:p>
    <w:p>
      <w:pPr>
        <w:pStyle w:val="ListBullet"/>
        <w:spacing w:after="60" w:line="276" w:lineRule="auto"/>
      </w:pPr>
      <w:r>
        <w:rPr>
          <w:rFonts w:ascii="Arial" w:hAnsi="Arial" w:eastAsia="PingFang SC"/>
          <w:sz w:val="20"/>
        </w:rPr>
        <w:t>PickCube 与 StackCube 的成果目录保持冻结；任务三使用独立 tasks、configs、runs、logs、videos 与报告命名空间。</w:t>
      </w:r>
    </w:p>
    <w:p>
      <w:pPr>
        <w:pStyle w:val="ListBullet"/>
        <w:spacing w:after="60" w:line="276" w:lineRule="auto"/>
      </w:pPr>
      <w:r>
        <w:rPr>
          <w:rFonts w:ascii="Arial" w:hAnsi="Arial" w:eastAsia="PingFang SC"/>
          <w:sz w:val="20"/>
        </w:rPr>
        <w:t>物理 GPU 0 当时存在活动计算进程，因此所有训练使用空闲的物理 GPU 1，单进程单卡执行。</w:t>
      </w:r>
    </w:p>
    <w:p>
      <w:pPr>
        <w:pStyle w:val="ListBullet"/>
        <w:spacing w:after="60" w:line="276" w:lineRule="auto"/>
      </w:pPr>
      <w:r>
        <w:rPr>
          <w:rFonts w:ascii="Arial" w:hAnsi="Arial" w:eastAsia="PingFang SC"/>
          <w:sz w:val="20"/>
        </w:rPr>
        <w:t>训练、评估和视频均以原生严格 success 为准，并保留失败阶段分类与负面实验。</w:t>
      </w:r>
    </w:p>
    <w:p>
      <w:pPr>
        <w:pStyle w:val="Heading1"/>
        <w:keepNext/>
      </w:pPr>
      <w:r>
        <w:t>二、原生环境调查</w:t>
      </w:r>
    </w:p>
    <w:p>
      <w:pPr>
        <w:pStyle w:val="Heading2"/>
        <w:keepNext/>
      </w:pPr>
      <w:r>
        <w:t>2.1 观测、动作、控制与时限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2350"/>
        <w:gridCol w:w="5320"/>
      </w:tblGrid>
      <w:tr>
        <w:trPr>
          <w:tblHeader w:val="true"/>
        </w:trPr>
        <w:tc>
          <w:tcPr>
            <w:tcW w:type="dxa" w:w="155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5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复核结果</w:t>
            </w:r>
          </w:p>
        </w:tc>
        <w:tc>
          <w:tcPr>
            <w:tcW w:type="dxa" w:w="53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环境</w:t>
            </w:r>
          </w:p>
        </w:tc>
        <w:tc>
          <w:tcPr>
            <w:tcW w:type="dxa" w:w="23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PegInsertionSide-v1</w:t>
            </w:r>
          </w:p>
        </w:tc>
        <w:tc>
          <w:tcPr>
            <w:tcW w:type="dxa" w:w="53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ManiSkill 3.0.1 原生任务</w:t>
            </w:r>
          </w:p>
        </w:tc>
      </w:tr>
      <w:tr>
        <w:tc>
          <w:tcPr>
            <w:tcW w:type="dxa" w:w="15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机器人</w:t>
            </w:r>
          </w:p>
        </w:tc>
        <w:tc>
          <w:tcPr>
            <w:tcW w:type="dxa" w:w="23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panda_wristcam</w:t>
            </w:r>
          </w:p>
        </w:tc>
        <w:tc>
          <w:tcPr>
            <w:tcW w:type="dxa" w:w="53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Panda 机械臂与腕部相机配置</w:t>
            </w:r>
          </w:p>
        </w:tc>
      </w:tr>
      <w:tr>
        <w:tc>
          <w:tcPr>
            <w:tcW w:type="dxa" w:w="15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观测</w:t>
            </w:r>
          </w:p>
        </w:tc>
        <w:tc>
          <w:tcPr>
            <w:tcW w:type="dxa" w:w="23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state，43 维</w:t>
            </w:r>
          </w:p>
        </w:tc>
        <w:tc>
          <w:tcPr>
            <w:tcW w:type="dxa" w:w="53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训练使用低维状态，不使用图像观测</w:t>
            </w:r>
          </w:p>
        </w:tc>
      </w:tr>
      <w:tr>
        <w:tc>
          <w:tcPr>
            <w:tcW w:type="dxa" w:w="15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动作</w:t>
            </w:r>
          </w:p>
        </w:tc>
        <w:tc>
          <w:tcPr>
            <w:tcW w:type="dxa" w:w="23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8 维，[-1, 1]</w:t>
            </w:r>
          </w:p>
        </w:tc>
        <w:tc>
          <w:tcPr>
            <w:tcW w:type="dxa" w:w="53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7 个机械臂关节控制量 + 1 个夹爪控制量</w:t>
            </w:r>
          </w:p>
        </w:tc>
      </w:tr>
      <w:tr>
        <w:tc>
          <w:tcPr>
            <w:tcW w:type="dxa" w:w="15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控制模式</w:t>
            </w:r>
          </w:p>
        </w:tc>
        <w:tc>
          <w:tcPr>
            <w:tcW w:type="dxa" w:w="23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pd_joint_delta_pos</w:t>
            </w:r>
          </w:p>
        </w:tc>
        <w:tc>
          <w:tcPr>
            <w:tcW w:type="dxa" w:w="53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关节位置增量控制</w:t>
            </w:r>
          </w:p>
        </w:tc>
      </w:tr>
      <w:tr>
        <w:tc>
          <w:tcPr>
            <w:tcW w:type="dxa" w:w="15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episode horizon</w:t>
            </w:r>
          </w:p>
        </w:tc>
        <w:tc>
          <w:tcPr>
            <w:tcW w:type="dxa" w:w="23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100 步</w:t>
            </w:r>
          </w:p>
        </w:tc>
        <w:tc>
          <w:tcPr>
            <w:tcW w:type="dxa" w:w="53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官方 PPO-fast 评估同样使用 100 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严格成功判定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原生环境将插销头位置变换到孔坐标系。记该位置为 (head_x, head_y, head_z)，孔的容许横向半径为 hole_radius = peg_radius + 0.003 m，则严格成功必须同时满足：</w:t>
      </w:r>
    </w:p>
    <w:tbl>
      <w:tblPr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9220"/>
      </w:tblGrid>
      <w:tr>
        <w:tc>
          <w:tcPr>
            <w:tcW w:type="dxa" w:w="922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PingFang SC"/>
                <w:b/>
                <w:color w:val="365F91"/>
                <w:sz w:val="21"/>
              </w:rPr>
              <w:t>Native success｜</w:t>
            </w:r>
            <w:r>
              <w:rPr>
                <w:rFonts w:ascii="Arial" w:hAnsi="Arial" w:eastAsia="PingFang SC"/>
                <w:sz w:val="20"/>
              </w:rPr>
              <w:t>head_x ≥ −0.015 m；|head_y| ≤ hole_radius；|head_z| ≤ hole_radius。三个条件必须在同一时刻成立。</w:t>
            </w:r>
          </w:p>
        </w:tc>
      </w:tr>
    </w:tbl>
    <w:p>
      <w:pPr>
        <w:spacing w:after="20"/>
      </w:pP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这一定义把“入口已对准”和“已经插入”明确区分开：即使插销轴线正确、孔口横向误差很小，若 head_x 未越过 −15 mm 阈值，仍严格判为失败。</w:t>
      </w:r>
    </w:p>
    <w:p>
      <w:pPr>
        <w:pStyle w:val="Heading2"/>
        <w:keepNext/>
      </w:pPr>
      <w:r>
        <w:t>2.3 Dense reward 的能力链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官方 dense reward 依次鼓励末端接近插销尾部抓取位姿、在手指—物体夹角不超过约 20°时形成有效抓取、在目标坐标系中完成插销中心与插销头的 YZ 对准、推进插入，并在严格成功时把 raw dense reward 设为 10。normalized dense reward 再除以 10。奖励是连续训练信号，正式结论仍只采用原生 success。</w:t>
      </w:r>
    </w:p>
    <w:p>
      <w:pPr>
        <w:pStyle w:val="Heading1"/>
        <w:keepNext/>
      </w:pPr>
      <w:r>
        <w:t>三、官方 PPO-fast 参考与实验协议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800"/>
        <w:gridCol w:w="1800"/>
        <w:gridCol w:w="2820"/>
      </w:tblGrid>
      <w:tr>
        <w:trPr>
          <w:tblHeader w:val="true"/>
        </w:trPr>
        <w:tc>
          <w:tcPr>
            <w:tcW w:type="dxa" w:w="18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官方/本项目值</w:t>
            </w:r>
          </w:p>
        </w:tc>
        <w:tc>
          <w:tcPr>
            <w:tcW w:type="dxa" w:w="18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官方/本项目值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并行环境</w:t>
            </w:r>
          </w:p>
        </w:tc>
        <w:tc>
          <w:tcPr>
            <w:tcW w:type="dxa" w:w="2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2,048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rollout</w:t>
            </w:r>
          </w:p>
        </w:tc>
        <w:tc>
          <w:tcPr>
            <w:tcW w:type="dxa" w:w="28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16</w:t>
            </w:r>
          </w:p>
        </w:tc>
      </w:tr>
      <w:tr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update epochs</w:t>
            </w:r>
          </w:p>
        </w:tc>
        <w:tc>
          <w:tcPr>
            <w:tcW w:type="dxa" w:w="2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8</w:t>
            </w:r>
          </w:p>
        </w:tc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minibatches</w:t>
            </w:r>
          </w:p>
        </w:tc>
        <w:tc>
          <w:tcPr>
            <w:tcW w:type="dxa" w:w="28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32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gamma</w:t>
            </w:r>
          </w:p>
        </w:tc>
        <w:tc>
          <w:tcPr>
            <w:tcW w:type="dxa" w:w="2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0.97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GAE λ</w:t>
            </w:r>
          </w:p>
        </w:tc>
        <w:tc>
          <w:tcPr>
            <w:tcW w:type="dxa" w:w="28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0.95</w:t>
            </w:r>
          </w:p>
        </w:tc>
      </w:tr>
      <w:tr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总步数</w:t>
            </w:r>
          </w:p>
        </w:tc>
        <w:tc>
          <w:tcPr>
            <w:tcW w:type="dxa" w:w="2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75M（O1）</w:t>
            </w:r>
          </w:p>
        </w:tc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learning rate</w:t>
            </w:r>
          </w:p>
        </w:tc>
        <w:tc>
          <w:tcPr>
            <w:tcW w:type="dxa" w:w="28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3×10⁻⁴（O1）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评估步数</w:t>
            </w:r>
          </w:p>
        </w:tc>
        <w:tc>
          <w:tcPr>
            <w:tcW w:type="dxa" w:w="2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100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在线评估环境</w:t>
            </w:r>
          </w:p>
        </w:tc>
        <w:tc>
          <w:tcPr>
            <w:tcW w:type="dxa" w:w="28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16</w:t>
            </w:r>
          </w:p>
        </w:tc>
      </w:tr>
      <w:tr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设备</w:t>
            </w:r>
          </w:p>
        </w:tc>
        <w:tc>
          <w:tcPr>
            <w:tcW w:type="dxa" w:w="2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物理 GPU 1</w:t>
            </w:r>
          </w:p>
        </w:tc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拓扑</w:t>
            </w:r>
          </w:p>
        </w:tc>
        <w:tc>
          <w:tcPr>
            <w:tcW w:type="dxa" w:w="28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单进程、单卡</w:t>
            </w:r>
          </w:p>
        </w:tc>
      </w:tr>
    </w:tbl>
    <w:p>
      <w:pPr>
        <w:spacing w:after="20"/>
      </w:pP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参考实现锁定官方 commit a4a4f9272ad64b1564035874b605ceb687b63ed8。O1 不改变官方任务和 PPO-fast 主参数。为了避免选择偏差，选择集、复验集和正式评估集使用不同 seed：selection seed 0、independent seed 10000、formal matched seed 20260722。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1750"/>
        <w:gridCol w:w="1900"/>
        <w:gridCol w:w="3270"/>
      </w:tblGrid>
      <w:tr>
        <w:trPr>
          <w:tblHeader w:val="true"/>
        </w:trPr>
        <w:tc>
          <w:tcPr>
            <w:tcW w:type="dxa" w:w="23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5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环境数</w:t>
            </w:r>
          </w:p>
        </w:tc>
        <w:tc>
          <w:tcPr>
            <w:tcW w:type="dxa" w:w="19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seed</w:t>
            </w:r>
          </w:p>
        </w:tc>
        <w:tc>
          <w:tcPr>
            <w:tcW w:type="dxa" w:w="327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未训练基线</w:t>
            </w:r>
          </w:p>
        </w:tc>
        <w:tc>
          <w:tcPr>
            <w:tcW w:type="dxa" w:w="17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100</w:t>
            </w:r>
          </w:p>
        </w:tc>
        <w:tc>
          <w:tcPr>
            <w:tcW w:type="dxa" w:w="1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</w:t>
            </w:r>
          </w:p>
        </w:tc>
        <w:tc>
          <w:tcPr>
            <w:tcW w:type="dxa" w:w="327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确认任务难度与诊断链有效</w:t>
            </w:r>
          </w:p>
        </w:tc>
      </w:tr>
      <w:tr>
        <w:tc>
          <w:tcPr>
            <w:tcW w:type="dxa" w:w="23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全 checkpoint 筛选</w:t>
            </w:r>
          </w:p>
        </w:tc>
        <w:tc>
          <w:tcPr>
            <w:tcW w:type="dxa" w:w="17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每个 100</w:t>
            </w:r>
          </w:p>
        </w:tc>
        <w:tc>
          <w:tcPr>
            <w:tcW w:type="dxa" w:w="1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</w:t>
            </w:r>
          </w:p>
        </w:tc>
        <w:tc>
          <w:tcPr>
            <w:tcW w:type="dxa" w:w="327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统一选择集排序</w:t>
            </w:r>
          </w:p>
        </w:tc>
      </w:tr>
      <w:tr>
        <w:tc>
          <w:tcPr>
            <w:tcW w:type="dxa" w:w="23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独立复验</w:t>
            </w:r>
          </w:p>
        </w:tc>
        <w:tc>
          <w:tcPr>
            <w:tcW w:type="dxa" w:w="17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每个 100</w:t>
            </w:r>
          </w:p>
        </w:tc>
        <w:tc>
          <w:tcPr>
            <w:tcW w:type="dxa" w:w="1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10000</w:t>
            </w:r>
          </w:p>
        </w:tc>
        <w:tc>
          <w:tcPr>
            <w:tcW w:type="dxa" w:w="327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排除对选择 seed 的偶然适配</w:t>
            </w:r>
          </w:p>
        </w:tc>
      </w:tr>
      <w:tr>
        <w:tc>
          <w:tcPr>
            <w:tcW w:type="dxa" w:w="23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正式比较</w:t>
            </w:r>
          </w:p>
        </w:tc>
        <w:tc>
          <w:tcPr>
            <w:tcW w:type="dxa" w:w="17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每个 1,000</w:t>
            </w:r>
          </w:p>
        </w:tc>
        <w:tc>
          <w:tcPr>
            <w:tcW w:type="dxa" w:w="1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20260722</w:t>
            </w:r>
          </w:p>
        </w:tc>
        <w:tc>
          <w:tcPr>
            <w:tcW w:type="dxa" w:w="327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旧候选与新候选 matched-seed 比较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四、训练前基线与诊断指标</w:t>
      </w:r>
    </w:p>
    <w:p>
      <w:pPr>
        <w:pStyle w:val="Heading2"/>
        <w:keepNext/>
      </w:pPr>
      <w:r>
        <w:t>4.1 未训练基线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1450"/>
        <w:gridCol w:w="1250"/>
        <w:gridCol w:w="1550"/>
        <w:gridCol w:w="1350"/>
        <w:gridCol w:w="1220"/>
      </w:tblGrid>
      <w:tr>
        <w:trPr>
          <w:tblHeader w:val="true"/>
        </w:trPr>
        <w:tc>
          <w:tcPr>
            <w:tcW w:type="dxa" w:w="24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45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严格成功</w:t>
            </w:r>
          </w:p>
        </w:tc>
        <w:tc>
          <w:tcPr>
            <w:tcW w:type="dxa" w:w="125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抓取</w:t>
            </w:r>
          </w:p>
        </w:tc>
        <w:tc>
          <w:tcPr>
            <w:tcW w:type="dxa" w:w="155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预插入对准</w:t>
            </w:r>
          </w:p>
        </w:tc>
        <w:tc>
          <w:tcPr>
            <w:tcW w:type="dxa" w:w="135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入口对准</w:t>
            </w:r>
          </w:p>
        </w:tc>
        <w:tc>
          <w:tcPr>
            <w:tcW w:type="dxa" w:w="12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平均回报</w:t>
            </w:r>
          </w:p>
        </w:tc>
      </w:tr>
      <w:tr>
        <w:tc>
          <w:tcPr>
            <w:tcW w:type="dxa" w:w="24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随机动作</w:t>
            </w:r>
          </w:p>
        </w:tc>
        <w:tc>
          <w:tcPr>
            <w:tcW w:type="dxa" w:w="14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0/100</w:t>
            </w:r>
          </w:p>
        </w:tc>
        <w:tc>
          <w:tcPr>
            <w:tcW w:type="dxa" w:w="12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0%</w:t>
            </w:r>
          </w:p>
        </w:tc>
        <w:tc>
          <w:tcPr>
            <w:tcW w:type="dxa" w:w="15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0%</w:t>
            </w:r>
          </w:p>
        </w:tc>
        <w:tc>
          <w:tcPr>
            <w:tcW w:type="dxa" w:w="13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0%</w:t>
            </w:r>
          </w:p>
        </w:tc>
        <w:tc>
          <w:tcPr>
            <w:tcW w:type="dxa" w:w="12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2.089</w:t>
            </w:r>
          </w:p>
        </w:tc>
      </w:tr>
      <w:tr>
        <w:tc>
          <w:tcPr>
            <w:tcW w:type="dxa" w:w="24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未训练官方 actor</w:t>
            </w:r>
          </w:p>
        </w:tc>
        <w:tc>
          <w:tcPr>
            <w:tcW w:type="dxa" w:w="14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0/100</w:t>
            </w:r>
          </w:p>
        </w:tc>
        <w:tc>
          <w:tcPr>
            <w:tcW w:type="dxa" w:w="12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0%</w:t>
            </w:r>
          </w:p>
        </w:tc>
        <w:tc>
          <w:tcPr>
            <w:tcW w:type="dxa" w:w="15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0%</w:t>
            </w:r>
          </w:p>
        </w:tc>
        <w:tc>
          <w:tcPr>
            <w:tcW w:type="dxa" w:w="13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0%</w:t>
            </w:r>
          </w:p>
        </w:tc>
        <w:tc>
          <w:tcPr>
            <w:tcW w:type="dxa" w:w="12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2.593</w:t>
            </w:r>
          </w:p>
        </w:tc>
      </w:tr>
    </w:tbl>
    <w:p>
      <w:pPr>
        <w:spacing w:after="20"/>
      </w:pP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两组共 200 个 episode 均在“未抓取”阶段失败。这说明未经训练的 actor 不会因环境初始化或成功阈值宽松而偶然完成任务，也验证了失败分类能够识别最早断裂的能力阶段。</w:t>
      </w:r>
    </w:p>
    <w:p>
      <w:pPr>
        <w:pStyle w:val="Heading2"/>
        <w:keepNext/>
      </w:pPr>
      <w:r>
        <w:t>4.2 阶段化诊断指标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3700"/>
        <w:gridCol w:w="3520"/>
      </w:tblGrid>
      <w:tr>
        <w:trPr>
          <w:tblHeader w:val="true"/>
        </w:trPr>
        <w:tc>
          <w:tcPr>
            <w:tcW w:type="dxa" w:w="20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7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解释</w:t>
            </w:r>
          </w:p>
        </w:tc>
        <w:tc>
          <w:tcPr>
            <w:tcW w:type="dxa" w:w="35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诊断目的</w:t>
            </w:r>
          </w:p>
        </w:tc>
      </w:tr>
      <w:tr>
        <w:tc>
          <w:tcPr>
            <w:tcW w:type="dxa" w:w="20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ever grasped</w:t>
            </w:r>
          </w:p>
        </w:tc>
        <w:tc>
          <w:tcPr>
            <w:tcW w:type="dxa" w:w="37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episode 内是否曾形成有效抓取</w:t>
            </w:r>
          </w:p>
        </w:tc>
        <w:tc>
          <w:tcPr>
            <w:tcW w:type="dxa" w:w="3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区分接近/抓取问题</w:t>
            </w:r>
          </w:p>
        </w:tc>
      </w:tr>
      <w:tr>
        <w:tc>
          <w:tcPr>
            <w:tcW w:type="dxa" w:w="20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axis angle</w:t>
            </w:r>
          </w:p>
        </w:tc>
        <w:tc>
          <w:tcPr>
            <w:tcW w:type="dxa" w:w="37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插销轴与目标轴的最小夹角</w:t>
            </w:r>
          </w:p>
        </w:tc>
        <w:tc>
          <w:tcPr>
            <w:tcW w:type="dxa" w:w="35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衡量姿态对准</w:t>
            </w:r>
          </w:p>
        </w:tc>
      </w:tr>
      <w:tr>
        <w:tc>
          <w:tcPr>
            <w:tcW w:type="dxa" w:w="20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pre-insert aligned</w:t>
            </w:r>
          </w:p>
        </w:tc>
        <w:tc>
          <w:tcPr>
            <w:tcW w:type="dxa" w:w="37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入口上游的 YZ 预对准</w:t>
            </w:r>
          </w:p>
        </w:tc>
        <w:tc>
          <w:tcPr>
            <w:tcW w:type="dxa" w:w="3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判断是否建立正确进孔路径</w:t>
            </w:r>
          </w:p>
        </w:tc>
      </w:tr>
      <w:tr>
        <w:tc>
          <w:tcPr>
            <w:tcW w:type="dxa" w:w="20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entry aligned</w:t>
            </w:r>
          </w:p>
        </w:tc>
        <w:tc>
          <w:tcPr>
            <w:tcW w:type="dxa" w:w="37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孔口处横向误差满足容差</w:t>
            </w:r>
          </w:p>
        </w:tc>
        <w:tc>
          <w:tcPr>
            <w:tcW w:type="dxa" w:w="35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区分入口对准与插入深度</w:t>
            </w:r>
          </w:p>
        </w:tc>
      </w:tr>
      <w:tr>
        <w:tc>
          <w:tcPr>
            <w:tcW w:type="dxa" w:w="20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maximum insertion x</w:t>
            </w:r>
          </w:p>
        </w:tc>
        <w:tc>
          <w:tcPr>
            <w:tcW w:type="dxa" w:w="37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孔坐标系中最大带符号插入深度</w:t>
            </w:r>
          </w:p>
        </w:tc>
        <w:tc>
          <w:tcPr>
            <w:tcW w:type="dxa" w:w="3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定位“差最后几毫米”</w:t>
            </w:r>
          </w:p>
        </w:tc>
      </w:tr>
      <w:tr>
        <w:tc>
          <w:tcPr>
            <w:tcW w:type="dxa" w:w="20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strict success</w:t>
            </w:r>
          </w:p>
        </w:tc>
        <w:tc>
          <w:tcPr>
            <w:tcW w:type="dxa" w:w="37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原生三条件同时满足</w:t>
            </w:r>
          </w:p>
        </w:tc>
        <w:tc>
          <w:tcPr>
            <w:tcW w:type="dxa" w:w="35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唯一正式成功口径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五、O1：官方 75M 步从零训练</w:t>
      </w:r>
    </w:p>
    <w:p>
      <w:pPr>
        <w:pStyle w:val="Heading2"/>
        <w:keepNext/>
      </w:pPr>
      <w:r>
        <w:t>5.1 训练运行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O1 run 为 runs/ppo-PegInsertionSide-v1-state-seed0-official75m_20260722_1630。训练从随机初始化开始，使用官方 75M 配置，在物理 GPU 1 上运行约 3 小时 27 分。共保留 92 个周期 checkpoint 和 final_ckpt.pt；训练过程中未自动删除旧模型，也未把 final 自动晋升。</w:t>
      </w:r>
    </w:p>
    <w:p>
      <w:pPr>
        <w:pStyle w:val="Heading2"/>
        <w:keepNext/>
      </w:pPr>
      <w:r>
        <w:t>5.2 全 checkpoint 筛选与独立复验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100"/>
        <w:gridCol w:w="2500"/>
        <w:gridCol w:w="2520"/>
      </w:tblGrid>
      <w:tr>
        <w:trPr>
          <w:tblHeader w:val="true"/>
        </w:trPr>
        <w:tc>
          <w:tcPr>
            <w:tcW w:type="dxa" w:w="21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O1 checkpoint</w:t>
            </w:r>
          </w:p>
        </w:tc>
        <w:tc>
          <w:tcPr>
            <w:tcW w:type="dxa" w:w="21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selection seed 0</w:t>
              <w:br/>
              <w:t>100 env</w:t>
            </w:r>
          </w:p>
        </w:tc>
        <w:tc>
          <w:tcPr>
            <w:tcW w:type="dxa" w:w="25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independent seed 10000</w:t>
              <w:br/>
              <w:t>100 env</w:t>
            </w:r>
          </w:p>
        </w:tc>
        <w:tc>
          <w:tcPr>
            <w:tcW w:type="dxa" w:w="25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ckpt_2251</w:t>
            </w:r>
          </w:p>
        </w:tc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26/100</w:t>
            </w:r>
          </w:p>
        </w:tc>
        <w:tc>
          <w:tcPr>
            <w:tcW w:type="dxa" w:w="25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23/100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选择集最高</w:t>
            </w:r>
          </w:p>
        </w:tc>
      </w:tr>
      <w:tr>
        <w:tc>
          <w:tcPr>
            <w:tcW w:type="dxa" w:w="21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ckpt_2151</w:t>
            </w:r>
          </w:p>
        </w:tc>
        <w:tc>
          <w:tcPr>
            <w:tcW w:type="dxa" w:w="21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21/100</w:t>
            </w:r>
          </w:p>
        </w:tc>
        <w:tc>
          <w:tcPr>
            <w:tcW w:type="dxa" w:w="25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19/100</w:t>
            </w:r>
          </w:p>
        </w:tc>
        <w:tc>
          <w:tcPr>
            <w:tcW w:type="dxa" w:w="252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正式评估后成为 O1 最佳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ckpt_2126</w:t>
            </w:r>
          </w:p>
        </w:tc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22/100</w:t>
            </w:r>
          </w:p>
        </w:tc>
        <w:tc>
          <w:tcPr>
            <w:tcW w:type="dxa" w:w="25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14/100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独立复验下降较大</w:t>
            </w:r>
          </w:p>
        </w:tc>
      </w:tr>
      <w:tr>
        <w:tc>
          <w:tcPr>
            <w:tcW w:type="dxa" w:w="21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final</w:t>
            </w:r>
          </w:p>
        </w:tc>
        <w:tc>
          <w:tcPr>
            <w:tcW w:type="dxa" w:w="21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11/100</w:t>
            </w:r>
          </w:p>
        </w:tc>
        <w:tc>
          <w:tcPr>
            <w:tcW w:type="dxa" w:w="25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—</w:t>
            </w:r>
          </w:p>
        </w:tc>
        <w:tc>
          <w:tcPr>
            <w:tcW w:type="dxa" w:w="252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明显低于多个中间 checkpoint</w:t>
            </w:r>
          </w:p>
        </w:tc>
      </w:tr>
    </w:tbl>
    <w:p>
      <w:pPr>
        <w:spacing w:after="20"/>
      </w:pPr>
    </w:p>
    <w:tbl>
      <w:tblPr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9220"/>
      </w:tblGrid>
      <w:tr>
        <w:tc>
          <w:tcPr>
            <w:tcW w:type="dxa" w:w="9220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PingFang SC"/>
                <w:b/>
                <w:color w:val="365F91"/>
                <w:sz w:val="21"/>
              </w:rPr>
              <w:t>选择教训｜</w:t>
            </w:r>
            <w:r>
              <w:rPr>
                <w:rFonts w:ascii="Arial" w:hAnsi="Arial" w:eastAsia="PingFang SC"/>
                <w:sz w:val="20"/>
              </w:rPr>
              <w:t>O1 final 在选择集仅 11/100，而多个周期 checkpoint 达到 21–26/100。这直接证明“最后保存的模型”不等于“泛化最好的模型”。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Matched-seed 1,000 环境正式评估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2200"/>
        <w:gridCol w:w="2000"/>
        <w:gridCol w:w="2420"/>
      </w:tblGrid>
      <w:tr>
        <w:trPr>
          <w:tblHeader w:val="true"/>
        </w:trPr>
        <w:tc>
          <w:tcPr>
            <w:tcW w:type="dxa" w:w="26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O1 checkpoint</w:t>
            </w:r>
          </w:p>
        </w:tc>
        <w:tc>
          <w:tcPr>
            <w:tcW w:type="dxa" w:w="22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严格成功</w:t>
            </w:r>
          </w:p>
        </w:tc>
        <w:tc>
          <w:tcPr>
            <w:tcW w:type="dxa" w:w="20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成功率</w:t>
            </w:r>
          </w:p>
        </w:tc>
        <w:tc>
          <w:tcPr>
            <w:tcW w:type="dxa" w:w="24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正式排序</w:t>
            </w:r>
          </w:p>
        </w:tc>
      </w:tr>
      <w:tr>
        <w:tc>
          <w:tcPr>
            <w:tcW w:type="dxa" w:w="26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ckpt_2151</w:t>
            </w:r>
          </w:p>
        </w:tc>
        <w:tc>
          <w:tcPr>
            <w:tcW w:type="dxa" w:w="22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175/1,000</w:t>
            </w:r>
          </w:p>
        </w:tc>
        <w:tc>
          <w:tcPr>
            <w:tcW w:type="dxa" w:w="20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17.5%</w:t>
            </w:r>
          </w:p>
        </w:tc>
        <w:tc>
          <w:tcPr>
            <w:tcW w:type="dxa" w:w="242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</w:t>
            </w:r>
          </w:p>
        </w:tc>
      </w:tr>
      <w:tr>
        <w:tc>
          <w:tcPr>
            <w:tcW w:type="dxa" w:w="26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ckpt_2251</w:t>
            </w:r>
          </w:p>
        </w:tc>
        <w:tc>
          <w:tcPr>
            <w:tcW w:type="dxa" w:w="22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160/1,000</w:t>
            </w:r>
          </w:p>
        </w:tc>
        <w:tc>
          <w:tcPr>
            <w:tcW w:type="dxa" w:w="20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16.0%</w:t>
            </w:r>
          </w:p>
        </w:tc>
        <w:tc>
          <w:tcPr>
            <w:tcW w:type="dxa" w:w="24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并列 2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ckpt_2126</w:t>
            </w:r>
          </w:p>
        </w:tc>
        <w:tc>
          <w:tcPr>
            <w:tcW w:type="dxa" w:w="22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160/1,000</w:t>
            </w:r>
          </w:p>
        </w:tc>
        <w:tc>
          <w:tcPr>
            <w:tcW w:type="dxa" w:w="20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16.0%</w:t>
            </w:r>
          </w:p>
        </w:tc>
        <w:tc>
          <w:tcPr>
            <w:tcW w:type="dxa" w:w="24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并列 2</w:t>
            </w:r>
          </w:p>
        </w:tc>
      </w:tr>
      <w:tr>
        <w:tc>
          <w:tcPr>
            <w:tcW w:type="dxa" w:w="26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final</w:t>
            </w:r>
          </w:p>
        </w:tc>
        <w:tc>
          <w:tcPr>
            <w:tcW w:type="dxa" w:w="22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89/1,000</w:t>
            </w:r>
          </w:p>
        </w:tc>
        <w:tc>
          <w:tcPr>
            <w:tcW w:type="dxa" w:w="20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8.9%</w:t>
            </w:r>
          </w:p>
        </w:tc>
        <w:tc>
          <w:tcPr>
            <w:tcW w:type="dxa" w:w="242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4</w:t>
            </w:r>
          </w:p>
        </w:tc>
      </w:tr>
    </w:tbl>
    <w:p>
      <w:pPr>
        <w:spacing w:after="20"/>
      </w:pP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虽然 ckpt_2251 在 100 环境选择集上领先，但 matched-seed 1,000 环境降低了抽样波动，ckpt_2151 最终以 17.5% 成为 O1 最佳。其模型 SHA-256 为 a350b940961c592d46729b7e9cc82bcedb8049cd1d114722d658c3e53afe2689。</w:t>
      </w:r>
    </w:p>
    <w:p>
      <w:pPr>
        <w:pStyle w:val="Heading2"/>
        <w:keepNext/>
      </w:pPr>
      <w:r>
        <w:t>5.4 O1 失败分析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O1 已基本学会抓取与大方向对准，但大量轨迹在入口附近停止或回撤。阶段指标显示主要瓶颈已从“能否抓住”转移为“是否形成足够的正向插入深度”。因此，继续从零重复 75M 并非最有针对性的方案；更合理的做法是保留 O1 已获得的抓取、姿态和入口对准能力，以更小学习率继续优化最后插入阶段。</w:t>
      </w:r>
    </w:p>
    <w:p>
      <w:pPr>
        <w:pStyle w:val="Heading1"/>
        <w:keepNext/>
      </w:pPr>
      <w:r>
        <w:t>六、O2：从 O1 最佳候选继续训练</w:t>
      </w:r>
    </w:p>
    <w:p>
      <w:pPr>
        <w:pStyle w:val="Heading2"/>
        <w:keepNext/>
      </w:pPr>
      <w:r>
        <w:t>6.1 设计动机与训练参数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O2 从 O1 ckpt_2151 的不可变副本启动，使用全新 run 与全新优化器状态，继续训练 25M 环境步。学习率设为 1×10⁻⁴，并线性退火至 0；其余环境规模、rollout、epochs、minibatches、gamma 和 GAE λ保持官方配置不变。该设计既保留 O1 已学会的子技能，又降低后期更新对成熟策略的破坏。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3310"/>
        <w:gridCol w:w="3310"/>
      </w:tblGrid>
      <w:tr>
        <w:trPr>
          <w:tblHeader w:val="true"/>
        </w:trPr>
        <w:tc>
          <w:tcPr>
            <w:tcW w:type="dxa" w:w="26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1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O1</w:t>
            </w:r>
          </w:p>
        </w:tc>
        <w:tc>
          <w:tcPr>
            <w:tcW w:type="dxa" w:w="331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O2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初始化</w:t>
            </w:r>
          </w:p>
        </w:tc>
        <w:tc>
          <w:tcPr>
            <w:tcW w:type="dxa" w:w="331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随机初始化</w:t>
            </w:r>
          </w:p>
        </w:tc>
        <w:tc>
          <w:tcPr>
            <w:tcW w:type="dxa" w:w="331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O1 ckpt_2151 不可变副本</w:t>
            </w:r>
          </w:p>
        </w:tc>
      </w:tr>
      <w:tr>
        <w:tc>
          <w:tcPr>
            <w:tcW w:type="dxa" w:w="26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优化器</w:t>
            </w:r>
          </w:p>
        </w:tc>
        <w:tc>
          <w:tcPr>
            <w:tcW w:type="dxa" w:w="331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全新</w:t>
            </w:r>
          </w:p>
        </w:tc>
        <w:tc>
          <w:tcPr>
            <w:tcW w:type="dxa" w:w="331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全新，不恢复旧动量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训练步数</w:t>
            </w:r>
          </w:p>
        </w:tc>
        <w:tc>
          <w:tcPr>
            <w:tcW w:type="dxa" w:w="331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75M</w:t>
            </w:r>
          </w:p>
        </w:tc>
        <w:tc>
          <w:tcPr>
            <w:tcW w:type="dxa" w:w="331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追加 25M</w:t>
            </w:r>
          </w:p>
        </w:tc>
      </w:tr>
      <w:tr>
        <w:tc>
          <w:tcPr>
            <w:tcW w:type="dxa" w:w="26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初始学习率</w:t>
            </w:r>
          </w:p>
        </w:tc>
        <w:tc>
          <w:tcPr>
            <w:tcW w:type="dxa" w:w="331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3×10⁻⁴</w:t>
            </w:r>
          </w:p>
        </w:tc>
        <w:tc>
          <w:tcPr>
            <w:tcW w:type="dxa" w:w="331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1×10⁻⁴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学习率计划</w:t>
            </w:r>
          </w:p>
        </w:tc>
        <w:tc>
          <w:tcPr>
            <w:tcW w:type="dxa" w:w="331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官方配置</w:t>
            </w:r>
          </w:p>
        </w:tc>
        <w:tc>
          <w:tcPr>
            <w:tcW w:type="dxa" w:w="331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线性退火至 0</w:t>
            </w:r>
          </w:p>
        </w:tc>
      </w:tr>
      <w:tr>
        <w:tc>
          <w:tcPr>
            <w:tcW w:type="dxa" w:w="26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运行时长</w:t>
            </w:r>
          </w:p>
        </w:tc>
        <w:tc>
          <w:tcPr>
            <w:tcW w:type="dxa" w:w="331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约 3h27m</w:t>
            </w:r>
          </w:p>
        </w:tc>
        <w:tc>
          <w:tcPr>
            <w:tcW w:type="dxa" w:w="331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约 1h50m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保留模型</w:t>
            </w:r>
          </w:p>
        </w:tc>
        <w:tc>
          <w:tcPr>
            <w:tcW w:type="dxa" w:w="331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92 periodic + final</w:t>
            </w:r>
          </w:p>
        </w:tc>
        <w:tc>
          <w:tcPr>
            <w:tcW w:type="dxa" w:w="331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31 periodic + final + source copy</w:t>
            </w:r>
          </w:p>
        </w:tc>
      </w:tr>
    </w:tbl>
    <w:p>
      <w:pPr>
        <w:spacing w:after="20"/>
      </w:pP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O2 run 为 runs/ppo-PegInsertionSide-v1-state-seed0-official_ckpt2151_lr1e4_25m_20260723。训练末端在线评估达到 16/16，平均回报 85.62，但该在线结果仅作为健康指标，最终选择仍执行全 checkpoint 协议。</w:t>
      </w:r>
    </w:p>
    <w:p>
      <w:pPr>
        <w:pStyle w:val="Heading1"/>
        <w:keepNext/>
      </w:pPr>
      <w:r>
        <w:t>七、O2 全 checkpoint 选择与复验</w:t>
      </w:r>
    </w:p>
    <w:p>
      <w:pPr>
        <w:pStyle w:val="Heading2"/>
        <w:keepNext/>
      </w:pPr>
      <w:r>
        <w:t>7.1 固定 selection seed 0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2900"/>
        <w:gridCol w:w="3320"/>
      </w:tblGrid>
      <w:tr>
        <w:trPr>
          <w:tblHeader w:val="true"/>
        </w:trPr>
        <w:tc>
          <w:tcPr>
            <w:tcW w:type="dxa" w:w="30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O2 checkpoint</w:t>
            </w:r>
          </w:p>
        </w:tc>
        <w:tc>
          <w:tcPr>
            <w:tcW w:type="dxa" w:w="29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100 环境严格成功</w:t>
            </w:r>
          </w:p>
        </w:tc>
        <w:tc>
          <w:tcPr>
            <w:tcW w:type="dxa" w:w="33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0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ckpt_551</w:t>
            </w:r>
          </w:p>
        </w:tc>
        <w:tc>
          <w:tcPr>
            <w:tcW w:type="dxa" w:w="29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99/100</w:t>
            </w:r>
          </w:p>
        </w:tc>
        <w:tc>
          <w:tcPr>
            <w:tcW w:type="dxa" w:w="332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候选</w:t>
            </w:r>
          </w:p>
        </w:tc>
      </w:tr>
      <w:tr>
        <w:tc>
          <w:tcPr>
            <w:tcW w:type="dxa" w:w="30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ckpt_626</w:t>
            </w:r>
          </w:p>
        </w:tc>
        <w:tc>
          <w:tcPr>
            <w:tcW w:type="dxa" w:w="2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99/100</w:t>
            </w:r>
          </w:p>
        </w:tc>
        <w:tc>
          <w:tcPr>
            <w:tcW w:type="dxa" w:w="33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候选</w:t>
            </w:r>
          </w:p>
        </w:tc>
      </w:tr>
      <w:tr>
        <w:tc>
          <w:tcPr>
            <w:tcW w:type="dxa" w:w="30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ckpt_701</w:t>
            </w:r>
          </w:p>
        </w:tc>
        <w:tc>
          <w:tcPr>
            <w:tcW w:type="dxa" w:w="2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99/100</w:t>
            </w:r>
          </w:p>
        </w:tc>
        <w:tc>
          <w:tcPr>
            <w:tcW w:type="dxa" w:w="33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候选</w:t>
            </w:r>
          </w:p>
        </w:tc>
      </w:tr>
      <w:tr>
        <w:tc>
          <w:tcPr>
            <w:tcW w:type="dxa" w:w="30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ckpt_726</w:t>
            </w:r>
          </w:p>
        </w:tc>
        <w:tc>
          <w:tcPr>
            <w:tcW w:type="dxa" w:w="2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99/100</w:t>
            </w:r>
          </w:p>
        </w:tc>
        <w:tc>
          <w:tcPr>
            <w:tcW w:type="dxa" w:w="33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候选</w:t>
            </w:r>
          </w:p>
        </w:tc>
      </w:tr>
      <w:tr>
        <w:tc>
          <w:tcPr>
            <w:tcW w:type="dxa" w:w="30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ckpt_751</w:t>
            </w:r>
          </w:p>
        </w:tc>
        <w:tc>
          <w:tcPr>
            <w:tcW w:type="dxa" w:w="2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99/100</w:t>
            </w:r>
          </w:p>
        </w:tc>
        <w:tc>
          <w:tcPr>
            <w:tcW w:type="dxa" w:w="33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候选</w:t>
            </w:r>
          </w:p>
        </w:tc>
      </w:tr>
      <w:tr>
        <w:tc>
          <w:tcPr>
            <w:tcW w:type="dxa" w:w="30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final</w:t>
            </w:r>
          </w:p>
        </w:tc>
        <w:tc>
          <w:tcPr>
            <w:tcW w:type="dxa" w:w="29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97/100</w:t>
            </w:r>
          </w:p>
        </w:tc>
        <w:tc>
          <w:tcPr>
            <w:tcW w:type="dxa" w:w="332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不自动晋升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独立 seed 10000 复验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2900"/>
        <w:gridCol w:w="3320"/>
      </w:tblGrid>
      <w:tr>
        <w:trPr>
          <w:tblHeader w:val="true"/>
        </w:trPr>
        <w:tc>
          <w:tcPr>
            <w:tcW w:type="dxa" w:w="30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O2 checkpoint</w:t>
            </w:r>
          </w:p>
        </w:tc>
        <w:tc>
          <w:tcPr>
            <w:tcW w:type="dxa" w:w="29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100 环境严格成功</w:t>
            </w:r>
          </w:p>
        </w:tc>
        <w:tc>
          <w:tcPr>
            <w:tcW w:type="dxa" w:w="33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独立复验判断</w:t>
            </w:r>
          </w:p>
        </w:tc>
      </w:tr>
      <w:tr>
        <w:tc>
          <w:tcPr>
            <w:tcW w:type="dxa" w:w="30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ckpt_551</w:t>
            </w:r>
          </w:p>
        </w:tc>
        <w:tc>
          <w:tcPr>
            <w:tcW w:type="dxa" w:w="29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100/100</w:t>
            </w:r>
          </w:p>
        </w:tc>
        <w:tc>
          <w:tcPr>
            <w:tcW w:type="dxa" w:w="332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进入正式评估</w:t>
            </w:r>
          </w:p>
        </w:tc>
      </w:tr>
      <w:tr>
        <w:tc>
          <w:tcPr>
            <w:tcW w:type="dxa" w:w="30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ckpt_701</w:t>
            </w:r>
          </w:p>
        </w:tc>
        <w:tc>
          <w:tcPr>
            <w:tcW w:type="dxa" w:w="29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100/100</w:t>
            </w:r>
          </w:p>
        </w:tc>
        <w:tc>
          <w:tcPr>
            <w:tcW w:type="dxa" w:w="332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进入正式评估</w:t>
            </w:r>
          </w:p>
        </w:tc>
      </w:tr>
      <w:tr>
        <w:tc>
          <w:tcPr>
            <w:tcW w:type="dxa" w:w="30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ckpt_626</w:t>
            </w:r>
          </w:p>
        </w:tc>
        <w:tc>
          <w:tcPr>
            <w:tcW w:type="dxa" w:w="2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99/100</w:t>
            </w:r>
          </w:p>
        </w:tc>
        <w:tc>
          <w:tcPr>
            <w:tcW w:type="dxa" w:w="33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高稳定候选</w:t>
            </w:r>
          </w:p>
        </w:tc>
      </w:tr>
      <w:tr>
        <w:tc>
          <w:tcPr>
            <w:tcW w:type="dxa" w:w="30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ckpt_751</w:t>
            </w:r>
          </w:p>
        </w:tc>
        <w:tc>
          <w:tcPr>
            <w:tcW w:type="dxa" w:w="2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99/100</w:t>
            </w:r>
          </w:p>
        </w:tc>
        <w:tc>
          <w:tcPr>
            <w:tcW w:type="dxa" w:w="33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高稳定候选</w:t>
            </w:r>
          </w:p>
        </w:tc>
      </w:tr>
      <w:tr>
        <w:tc>
          <w:tcPr>
            <w:tcW w:type="dxa" w:w="30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ckpt_726</w:t>
            </w:r>
          </w:p>
        </w:tc>
        <w:tc>
          <w:tcPr>
            <w:tcW w:type="dxa" w:w="2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98/100</w:t>
            </w:r>
          </w:p>
        </w:tc>
        <w:tc>
          <w:tcPr>
            <w:tcW w:type="dxa" w:w="33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略低</w:t>
            </w:r>
          </w:p>
        </w:tc>
      </w:tr>
    </w:tbl>
    <w:p>
      <w:pPr>
        <w:spacing w:after="20"/>
      </w:pP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选择集上五个 checkpoint 同为 99/100，无法可靠区分。独立复验把 ckpt_551 与 ckpt_701 同时确认到 100/100，因此二者进入 matched-seed 1,000 环境正式比较。该流程避免了依据单个 100 环境样本中 1–2 次随机失败做过度判断。</w:t>
      </w:r>
    </w:p>
    <w:p>
      <w:pPr>
        <w:pStyle w:val="Heading1"/>
        <w:keepNext/>
      </w:pPr>
      <w:r>
        <w:t>八、正式 1,000 环境结果与 O1→O2 提升</w:t>
      </w:r>
    </w:p>
    <w:p>
      <w:pPr>
        <w:pStyle w:val="Heading2"/>
        <w:keepNext/>
      </w:pPr>
      <w:r>
        <w:t>8.1 严格成功率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2000"/>
        <w:gridCol w:w="1800"/>
        <w:gridCol w:w="2620"/>
      </w:tblGrid>
      <w:tr>
        <w:trPr>
          <w:tblHeader w:val="true"/>
        </w:trPr>
        <w:tc>
          <w:tcPr>
            <w:tcW w:type="dxa" w:w="28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0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严格成功</w:t>
            </w:r>
          </w:p>
        </w:tc>
        <w:tc>
          <w:tcPr>
            <w:tcW w:type="dxa" w:w="18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成功率</w:t>
            </w:r>
          </w:p>
        </w:tc>
        <w:tc>
          <w:tcPr>
            <w:tcW w:type="dxa" w:w="26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相对 O1 最佳</w:t>
            </w:r>
          </w:p>
        </w:tc>
      </w:tr>
      <w:tr>
        <w:tc>
          <w:tcPr>
            <w:tcW w:type="dxa" w:w="28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O2 ckpt_551</w:t>
            </w:r>
          </w:p>
        </w:tc>
        <w:tc>
          <w:tcPr>
            <w:tcW w:type="dxa" w:w="20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991/1,000</w:t>
            </w:r>
          </w:p>
        </w:tc>
        <w:tc>
          <w:tcPr>
            <w:tcW w:type="dxa" w:w="18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99.1%</w:t>
            </w:r>
          </w:p>
        </w:tc>
        <w:tc>
          <w:tcPr>
            <w:tcW w:type="dxa" w:w="262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+81.6 pp</w:t>
            </w:r>
          </w:p>
        </w:tc>
      </w:tr>
      <w:tr>
        <w:tc>
          <w:tcPr>
            <w:tcW w:type="dxa" w:w="2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O2 ckpt_701</w:t>
            </w:r>
          </w:p>
        </w:tc>
        <w:tc>
          <w:tcPr>
            <w:tcW w:type="dxa" w:w="20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990/1,000</w:t>
            </w:r>
          </w:p>
        </w:tc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99.0%</w:t>
            </w:r>
          </w:p>
        </w:tc>
        <w:tc>
          <w:tcPr>
            <w:tcW w:type="dxa" w:w="26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+81.5 pp</w:t>
            </w:r>
          </w:p>
        </w:tc>
      </w:tr>
      <w:tr>
        <w:tc>
          <w:tcPr>
            <w:tcW w:type="dxa" w:w="2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O1 ckpt_2151</w:t>
            </w:r>
          </w:p>
        </w:tc>
        <w:tc>
          <w:tcPr>
            <w:tcW w:type="dxa" w:w="20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175/1,000</w:t>
            </w:r>
          </w:p>
        </w:tc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17.5%</w:t>
            </w:r>
          </w:p>
        </w:tc>
        <w:tc>
          <w:tcPr>
            <w:tcW w:type="dxa" w:w="26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基线</w:t>
            </w:r>
          </w:p>
        </w:tc>
      </w:tr>
      <w:tr>
        <w:tc>
          <w:tcPr>
            <w:tcW w:type="dxa" w:w="28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O1 final</w:t>
            </w:r>
          </w:p>
        </w:tc>
        <w:tc>
          <w:tcPr>
            <w:tcW w:type="dxa" w:w="20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89/1,000</w:t>
            </w:r>
          </w:p>
        </w:tc>
        <w:tc>
          <w:tcPr>
            <w:tcW w:type="dxa" w:w="18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8.9%</w:t>
            </w:r>
          </w:p>
        </w:tc>
        <w:tc>
          <w:tcPr>
            <w:tcW w:type="dxa" w:w="262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−8.6 pp</w:t>
            </w:r>
          </w:p>
        </w:tc>
      </w:tr>
    </w:tbl>
    <w:p>
      <w:pPr>
        <w:spacing w:after="20"/>
      </w:pPr>
    </w:p>
    <w:tbl>
      <w:tblPr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9220"/>
      </w:tblGrid>
      <w:tr>
        <w:tc>
          <w:tcPr>
            <w:tcW w:type="dxa" w:w="9220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PingFang SC"/>
                <w:b/>
                <w:color w:val="365F91"/>
                <w:sz w:val="21"/>
              </w:rPr>
              <w:t>核心结果｜</w:t>
            </w:r>
            <w:r>
              <w:rPr>
                <w:rFonts w:ascii="Arial" w:hAnsi="Arial" w:eastAsia="PingFang SC"/>
                <w:sz w:val="20"/>
              </w:rPr>
              <w:t>O2 ckpt_551 在与 O1 候选完全 matched 的 1,000 个环境实例上达到 99.1%，相较 O1 最佳 17.5% 绝对提升 81.6 个百分点。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O2 ckpt_551 阶段指标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2800"/>
        <w:gridCol w:w="3820"/>
      </w:tblGrid>
      <w:tr>
        <w:trPr>
          <w:tblHeader w:val="true"/>
        </w:trPr>
        <w:tc>
          <w:tcPr>
            <w:tcW w:type="dxa" w:w="26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8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严格成功</w:t>
            </w:r>
          </w:p>
        </w:tc>
        <w:tc>
          <w:tcPr>
            <w:tcW w:type="dxa" w:w="2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991/1,000（99.1%）</w:t>
            </w:r>
          </w:p>
        </w:tc>
        <w:tc>
          <w:tcPr>
            <w:tcW w:type="dxa" w:w="38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正式 native success</w:t>
            </w:r>
          </w:p>
        </w:tc>
      </w:tr>
      <w:tr>
        <w:tc>
          <w:tcPr>
            <w:tcW w:type="dxa" w:w="26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ever grasped</w:t>
            </w:r>
          </w:p>
        </w:tc>
        <w:tc>
          <w:tcPr>
            <w:tcW w:type="dxa" w:w="2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99.9%</w:t>
            </w:r>
          </w:p>
        </w:tc>
        <w:tc>
          <w:tcPr>
            <w:tcW w:type="dxa" w:w="38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抓取已基本饱和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姿态 ≤10°</w:t>
            </w:r>
          </w:p>
        </w:tc>
        <w:tc>
          <w:tcPr>
            <w:tcW w:type="dxa" w:w="2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99.9%</w:t>
            </w:r>
          </w:p>
        </w:tc>
        <w:tc>
          <w:tcPr>
            <w:tcW w:type="dxa" w:w="38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轴向对准稳定</w:t>
            </w:r>
          </w:p>
        </w:tc>
      </w:tr>
      <w:tr>
        <w:tc>
          <w:tcPr>
            <w:tcW w:type="dxa" w:w="26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pre-insert aligned</w:t>
            </w:r>
          </w:p>
        </w:tc>
        <w:tc>
          <w:tcPr>
            <w:tcW w:type="dxa" w:w="2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99.8%</w:t>
            </w:r>
          </w:p>
        </w:tc>
        <w:tc>
          <w:tcPr>
            <w:tcW w:type="dxa" w:w="38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绝大多数建立正确进孔路径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entry aligned</w:t>
            </w:r>
          </w:p>
        </w:tc>
        <w:tc>
          <w:tcPr>
            <w:tcW w:type="dxa" w:w="2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100.0%</w:t>
            </w:r>
          </w:p>
        </w:tc>
        <w:tc>
          <w:tcPr>
            <w:tcW w:type="dxa" w:w="38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全部轨迹至少曾满足孔口横向对准</w:t>
            </w:r>
          </w:p>
        </w:tc>
      </w:tr>
      <w:tr>
        <w:tc>
          <w:tcPr>
            <w:tcW w:type="dxa" w:w="26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最小轴角均值</w:t>
            </w:r>
          </w:p>
        </w:tc>
        <w:tc>
          <w:tcPr>
            <w:tcW w:type="dxa" w:w="2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0.836°</w:t>
            </w:r>
          </w:p>
        </w:tc>
        <w:tc>
          <w:tcPr>
            <w:tcW w:type="dxa" w:w="38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姿态精度高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最小横向误差均值</w:t>
            </w:r>
          </w:p>
        </w:tc>
        <w:tc>
          <w:tcPr>
            <w:tcW w:type="dxa" w:w="2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1.306 mm</w:t>
            </w:r>
          </w:p>
        </w:tc>
        <w:tc>
          <w:tcPr>
            <w:tcW w:type="dxa" w:w="38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入口对准达到毫米级</w:t>
            </w:r>
          </w:p>
        </w:tc>
      </w:tr>
      <w:tr>
        <w:tc>
          <w:tcPr>
            <w:tcW w:type="dxa" w:w="26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最大 insertion x 均值</w:t>
            </w:r>
          </w:p>
        </w:tc>
        <w:tc>
          <w:tcPr>
            <w:tcW w:type="dxa" w:w="2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+26.46 mm</w:t>
            </w:r>
          </w:p>
        </w:tc>
        <w:tc>
          <w:tcPr>
            <w:tcW w:type="dxa" w:w="38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整体具备明显正插入深度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normalized-dense return</w:t>
            </w:r>
          </w:p>
        </w:tc>
        <w:tc>
          <w:tcPr>
            <w:tcW w:type="dxa" w:w="2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83.154</w:t>
            </w:r>
          </w:p>
        </w:tc>
        <w:tc>
          <w:tcPr>
            <w:tcW w:type="dxa" w:w="38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与高成功率一致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九、互斥失败分类与评估修正</w:t>
      </w:r>
    </w:p>
    <w:p>
      <w:pPr>
        <w:pStyle w:val="Heading2"/>
        <w:keepNext/>
      </w:pPr>
      <w:r>
        <w:t>9.1 O2 ckpt_551 的 9 个失败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1300"/>
        <w:gridCol w:w="1900"/>
        <w:gridCol w:w="2920"/>
      </w:tblGrid>
      <w:tr>
        <w:trPr>
          <w:tblHeader w:val="true"/>
        </w:trPr>
        <w:tc>
          <w:tcPr>
            <w:tcW w:type="dxa" w:w="31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互斥失败类别</w:t>
            </w:r>
          </w:p>
        </w:tc>
        <w:tc>
          <w:tcPr>
            <w:tcW w:type="dxa" w:w="13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9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占全部 1,000</w:t>
            </w:r>
          </w:p>
        </w:tc>
        <w:tc>
          <w:tcPr>
            <w:tcW w:type="dxa" w:w="29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未抓取</w:t>
            </w:r>
          </w:p>
        </w:tc>
        <w:tc>
          <w:tcPr>
            <w:tcW w:type="dxa" w:w="13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</w:t>
            </w:r>
          </w:p>
        </w:tc>
        <w:tc>
          <w:tcPr>
            <w:tcW w:type="dxa" w:w="1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0.1%</w:t>
            </w:r>
          </w:p>
        </w:tc>
        <w:tc>
          <w:tcPr>
            <w:tcW w:type="dxa" w:w="29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未建立有效抓取</w:t>
            </w:r>
          </w:p>
        </w:tc>
      </w:tr>
      <w:tr>
        <w:tc>
          <w:tcPr>
            <w:tcW w:type="dxa" w:w="31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未完成预插入对准</w:t>
            </w:r>
          </w:p>
        </w:tc>
        <w:tc>
          <w:tcPr>
            <w:tcW w:type="dxa" w:w="13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</w:t>
            </w:r>
          </w:p>
        </w:tc>
        <w:tc>
          <w:tcPr>
            <w:tcW w:type="dxa" w:w="1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0.1%</w:t>
            </w:r>
          </w:p>
        </w:tc>
        <w:tc>
          <w:tcPr>
            <w:tcW w:type="dxa" w:w="29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抓取后未形成上游对准</w:t>
            </w:r>
          </w:p>
        </w:tc>
      </w:tr>
      <w:tr>
        <w:tc>
          <w:tcPr>
            <w:tcW w:type="dxa" w:w="31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插入深度不足</w:t>
            </w:r>
          </w:p>
        </w:tc>
        <w:tc>
          <w:tcPr>
            <w:tcW w:type="dxa" w:w="13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7</w:t>
            </w:r>
          </w:p>
        </w:tc>
        <w:tc>
          <w:tcPr>
            <w:tcW w:type="dxa" w:w="190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0.7%</w:t>
            </w:r>
          </w:p>
        </w:tc>
        <w:tc>
          <w:tcPr>
            <w:tcW w:type="dxa" w:w="2920"/>
            <w:vAlign w:val="center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入口已对准但未跨越严格 x 阈值</w:t>
            </w:r>
          </w:p>
        </w:tc>
      </w:tr>
      <w:tr>
        <w:tc>
          <w:tcPr>
            <w:tcW w:type="dxa" w:w="31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其他类别</w:t>
            </w:r>
          </w:p>
        </w:tc>
        <w:tc>
          <w:tcPr>
            <w:tcW w:type="dxa" w:w="13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</w:t>
            </w:r>
          </w:p>
        </w:tc>
        <w:tc>
          <w:tcPr>
            <w:tcW w:type="dxa" w:w="1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0.0%</w:t>
            </w:r>
          </w:p>
        </w:tc>
        <w:tc>
          <w:tcPr>
            <w:tcW w:type="dxa" w:w="29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无未解释失败</w:t>
            </w:r>
          </w:p>
        </w:tc>
      </w:tr>
    </w:tbl>
    <w:p>
      <w:pPr>
        <w:spacing w:after="20"/>
      </w:pP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剩余误差高度集中：9 个失败中 7 个仍是最后插入深度不足。与 O1 相比，O2 并非仅把回报整体提高，而是把抓取、姿态、预对准和入口对准依次推到接近饱和，最终仅留下极少量深度边界失败。</w:t>
      </w:r>
    </w:p>
    <w:p>
      <w:pPr>
        <w:pStyle w:val="Heading2"/>
        <w:keepNext/>
      </w:pPr>
      <w:r>
        <w:t>9.2 失败掩码重叠问题及修正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首次正式评估后发现旧诊断脚本的失败 mask 存在重叠：同一 episode 可能被多个后续类别同时计数。该问题不影响原生 strict success，也不改变 checkpoint 排名，但会使失败原因总数失真。脚本随后修正为按最早断裂阶段互斥分类：未抓取、未姿态对准、未预插入对准、未入口对准、插入深度不足、其他。</w:t>
      </w:r>
    </w:p>
    <w:p>
      <w:pPr>
        <w:pStyle w:val="ListBullet"/>
        <w:spacing w:after="60" w:line="276" w:lineRule="auto"/>
      </w:pPr>
      <w:r>
        <w:rPr>
          <w:rFonts w:ascii="Arial" w:hAnsi="Arial" w:eastAsia="PingFang SC"/>
          <w:sz w:val="20"/>
        </w:rPr>
        <w:t>服务器原评估脚本先备份到 backups/peg_insertion_side_eval_before_mutually_exclusive_fix_20260723。</w:t>
      </w:r>
    </w:p>
    <w:p>
      <w:pPr>
        <w:pStyle w:val="ListBullet"/>
        <w:spacing w:after="60" w:line="276" w:lineRule="auto"/>
      </w:pPr>
      <w:r>
        <w:rPr>
          <w:rFonts w:ascii="Arial" w:hAnsi="Arial" w:eastAsia="PingFang SC"/>
          <w:sz w:val="20"/>
        </w:rPr>
        <w:t>ckpt_551 与 ckpt_701 的 1,000 环境正式评估均写入全新的 mutually_exclusive_20260723 目录。</w:t>
      </w:r>
    </w:p>
    <w:p>
      <w:pPr>
        <w:pStyle w:val="ListBullet"/>
        <w:spacing w:after="60" w:line="276" w:lineRule="auto"/>
      </w:pPr>
      <w:r>
        <w:rPr>
          <w:rFonts w:ascii="Arial" w:hAnsi="Arial" w:eastAsia="PingFang SC"/>
          <w:sz w:val="20"/>
        </w:rPr>
        <w:t>重跑后 strict success 与排序完全不变；修正只提高失败解释的统计一致性。</w:t>
      </w:r>
    </w:p>
    <w:p>
      <w:r>
        <w:br w:type="page"/>
      </w:r>
    </w:p>
    <w:p>
      <w:pPr>
        <w:pStyle w:val="Heading1"/>
        <w:keepNext/>
      </w:pPr>
      <w:r>
        <w:t>十、为什么 O2 会出现非线性跃升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O2 从 17.5% 跃升到 99.1% 看似突然，但阶段指标表明它并不是“凭空变强”。O1 已完成最困难的探索性子技能：靠近、抓取、抬起、改变插销姿态并到达孔口附近。严格 success 是阈值型指标；当大量轨迹聚集在阈值外侧时，策略质量的小幅连续改善会使成功率产生很大的离散跃迁。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400"/>
        <w:gridCol w:w="3720"/>
      </w:tblGrid>
      <w:tr>
        <w:trPr>
          <w:tblHeader w:val="true"/>
        </w:trPr>
        <w:tc>
          <w:tcPr>
            <w:tcW w:type="dxa" w:w="21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34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O1 状态</w:t>
            </w:r>
          </w:p>
        </w:tc>
        <w:tc>
          <w:tcPr>
            <w:tcW w:type="dxa" w:w="37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O2 的作用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技能继承</w:t>
            </w:r>
          </w:p>
        </w:tc>
        <w:tc>
          <w:tcPr>
            <w:tcW w:type="dxa" w:w="34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已有抓取与入口附近行为</w:t>
            </w:r>
          </w:p>
        </w:tc>
        <w:tc>
          <w:tcPr>
            <w:tcW w:type="dxa" w:w="37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避免从零重新探索完整能力链</w:t>
            </w:r>
          </w:p>
        </w:tc>
      </w:tr>
      <w:tr>
        <w:tc>
          <w:tcPr>
            <w:tcW w:type="dxa" w:w="21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更低学习率</w:t>
            </w:r>
          </w:p>
        </w:tc>
        <w:tc>
          <w:tcPr>
            <w:tcW w:type="dxa" w:w="34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后期更新仍可能破坏成熟子技能</w:t>
            </w:r>
          </w:p>
        </w:tc>
        <w:tc>
          <w:tcPr>
            <w:tcW w:type="dxa" w:w="37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1e-4 + 退火让动作分布逐步精修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新优化器</w:t>
            </w:r>
          </w:p>
        </w:tc>
        <w:tc>
          <w:tcPr>
            <w:tcW w:type="dxa" w:w="34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不继承旧动量与优化历史</w:t>
            </w:r>
          </w:p>
        </w:tc>
        <w:tc>
          <w:tcPr>
            <w:tcW w:type="dxa" w:w="37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在保留权重的同时重新建立更新尺度</w:t>
            </w:r>
          </w:p>
        </w:tc>
      </w:tr>
      <w:tr>
        <w:tc>
          <w:tcPr>
            <w:tcW w:type="dxa" w:w="21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额外 25M 数据</w:t>
            </w:r>
          </w:p>
        </w:tc>
        <w:tc>
          <w:tcPr>
            <w:tcW w:type="dxa" w:w="34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深度不足样本仍多</w:t>
            </w:r>
          </w:p>
        </w:tc>
        <w:tc>
          <w:tcPr>
            <w:tcW w:type="dxa" w:w="37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反复学习对准后持续正向推进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阈值效应</w:t>
            </w:r>
          </w:p>
        </w:tc>
        <w:tc>
          <w:tcPr>
            <w:tcW w:type="dxa" w:w="34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大量轨迹停在成功边界附近</w:t>
            </w:r>
          </w:p>
        </w:tc>
        <w:tc>
          <w:tcPr>
            <w:tcW w:type="dxa" w:w="37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几毫米改善转化为大批严格成功</w:t>
            </w:r>
          </w:p>
        </w:tc>
      </w:tr>
    </w:tbl>
    <w:p>
      <w:pPr>
        <w:spacing w:after="20"/>
      </w:pPr>
    </w:p>
    <w:tbl>
      <w:tblPr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9220"/>
      </w:tblGrid>
      <w:tr>
        <w:tc>
          <w:tcPr>
            <w:tcW w:type="dxa" w:w="922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PingFang SC"/>
                <w:b/>
                <w:color w:val="365F91"/>
                <w:sz w:val="21"/>
              </w:rPr>
              <w:t>解释边界｜</w:t>
            </w:r>
            <w:r>
              <w:rPr>
                <w:rFonts w:ascii="Arial" w:hAnsi="Arial" w:eastAsia="PingFang SC"/>
                <w:sz w:val="20"/>
              </w:rPr>
              <w:t>不能把提升简单归因于“多训练 25M 步”。有效组合是：从正式评估选出的 O1 ckpt_2151 开始、重置优化器、降低学习率并退火、继续保留全 checkpoint 后重新筛选。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十一、模型晋升、哈希与可复现交付</w:t>
      </w:r>
    </w:p>
    <w:p>
      <w:pPr>
        <w:pStyle w:val="Heading2"/>
        <w:keepNext/>
      </w:pPr>
      <w:r>
        <w:t>11.1 晋升规则与最终模型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仅在 ckpt_551 经全 checkpoint 选择、独立 100 seeds 复验并在 matched-seed 1,000 环境中确认优于旧候选后，才复制晋升为 best。源 checkpoint、其他周期 checkpoint 与 final 均继续保留。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420"/>
      </w:tblGrid>
      <w:tr>
        <w:trPr>
          <w:tblHeader w:val="true"/>
        </w:trPr>
        <w:tc>
          <w:tcPr>
            <w:tcW w:type="dxa" w:w="18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74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7"/>
              </w:rPr>
              <w:t>路径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7"/>
              </w:rPr>
              <w:t>本地</w:t>
            </w:r>
          </w:p>
        </w:tc>
        <w:tc>
          <w:tcPr>
            <w:tcW w:type="dxa" w:w="74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7"/>
              </w:rPr>
              <w:t>checkpoints/ppo_peg_insertion_side_official_ckpt2151_lr1e4_25m/</w:t>
              <w:br/>
              <w:t>best_o2_ckpt551_991of1000_matchedseed.pt</w:t>
            </w:r>
          </w:p>
        </w:tc>
      </w:tr>
      <w:tr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7"/>
              </w:rPr>
              <w:t>服务器</w:t>
            </w:r>
          </w:p>
        </w:tc>
        <w:tc>
          <w:tcPr>
            <w:tcW w:type="dxa" w:w="74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7"/>
              </w:rPr>
              <w:t>runs/ppo-PegInsertionSide-v1-state-seed0-official_ckpt2151_lr1e4_25m_20260723/</w:t>
              <w:br/>
              <w:t>best_o2_ckpt551_991of1000_matchedseed.pt</w:t>
            </w:r>
          </w:p>
        </w:tc>
      </w:tr>
    </w:tbl>
    <w:p>
      <w:pPr>
        <w:spacing w:after="20"/>
      </w:pPr>
    </w:p>
    <w:tbl>
      <w:tblPr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9220"/>
      </w:tblGrid>
      <w:tr>
        <w:tc>
          <w:tcPr>
            <w:tcW w:type="dxa" w:w="9220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PingFang SC"/>
                <w:b/>
                <w:color w:val="365F91"/>
                <w:sz w:val="21"/>
              </w:rPr>
              <w:t>SHA-256｜</w:t>
            </w:r>
            <w:r>
              <w:rPr>
                <w:rFonts w:ascii="Arial" w:hAnsi="Arial" w:eastAsia="PingFang SC"/>
                <w:sz w:val="20"/>
              </w:rPr>
              <w:t>b48a4e0732de5e1e68bc906897166be95f2cecb3a4c8d245680dc62e2e7a6c49。本地与服务器已核对一致。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本地测试环境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本地独立环境为 .venv-peg-insertion-side，包含 ManiSkill 3.0.1、SAPIEN、PyTorch 与视频依赖。Apple Silicon 使用 CPU PhysX；测试脚本为 scripts/test_peg_insertion_side_local.py，支持指定 episode、seed、视频路径和 hero/front/side/top 机位。</w:t>
      </w:r>
    </w:p>
    <w:tbl>
      <w:tblPr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9220"/>
      </w:tblGrid>
      <w:tr>
        <w:tc>
          <w:tcPr>
            <w:tcW w:type="dxa" w:w="9220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PingFang SC"/>
                <w:b/>
                <w:color w:val="365F91"/>
                <w:sz w:val="21"/>
              </w:rPr>
              <w:t>快速测试命令｜</w:t>
            </w:r>
            <w:r>
              <w:rPr>
                <w:rFonts w:ascii="Arial" w:hAnsi="Arial" w:eastAsia="PingFang SC"/>
                <w:sz w:val="20"/>
              </w:rPr>
              <w:t>.venv-peg-insertion-side/bin/python scripts/test_peg_insertion_side_local.py --episodes 10 --seed 0</w:t>
            </w:r>
          </w:p>
        </w:tc>
      </w:tr>
    </w:tbl>
    <w:p>
      <w:pPr>
        <w:spacing w:after="20"/>
      </w:pPr>
    </w:p>
    <w:tbl>
      <w:tblPr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9220"/>
      </w:tblGrid>
      <w:tr>
        <w:tc>
          <w:tcPr>
            <w:tcW w:type="dxa" w:w="9220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PingFang SC"/>
                <w:b/>
                <w:color w:val="365F91"/>
                <w:sz w:val="21"/>
              </w:rPr>
              <w:t>单条录像命令｜</w:t>
            </w:r>
            <w:r>
              <w:rPr>
                <w:rFonts w:ascii="Arial" w:hAnsi="Arial" w:eastAsia="PingFang SC"/>
                <w:sz w:val="20"/>
              </w:rPr>
              <w:t>.venv-peg-insertion-side/bin/python scripts/test_peg_insertion_side_local.py --episodes 1 --seed 1 --video videos/peg_insertion_side/local_test/seed1.mp4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十二、视频证据与多机位展示</w:t>
      </w:r>
    </w:p>
    <w:p>
      <w:pPr>
        <w:pStyle w:val="Heading2"/>
        <w:keepNext/>
      </w:pPr>
      <w:r>
        <w:t>12.1 单条与 20 条成功展示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1200"/>
        <w:gridCol w:w="2700"/>
        <w:gridCol w:w="2720"/>
      </w:tblGrid>
      <w:tr>
        <w:trPr>
          <w:tblHeader w:val="true"/>
        </w:trPr>
        <w:tc>
          <w:tcPr>
            <w:tcW w:type="dxa" w:w="26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视频集合</w:t>
            </w:r>
          </w:p>
        </w:tc>
        <w:tc>
          <w:tcPr>
            <w:tcW w:type="dxa" w:w="12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7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编码与尺寸</w:t>
            </w:r>
          </w:p>
        </w:tc>
        <w:tc>
          <w:tcPr>
            <w:tcW w:type="dxa" w:w="27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验证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最佳模型 seed0</w:t>
            </w:r>
          </w:p>
        </w:tc>
        <w:tc>
          <w:tcPr>
            <w:tcW w:type="dxa" w:w="12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</w:t>
            </w:r>
          </w:p>
        </w:tc>
        <w:tc>
          <w:tcPr>
            <w:tcW w:type="dxa" w:w="27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H.264 · 512×512 · 30 fps</w:t>
            </w:r>
          </w:p>
        </w:tc>
        <w:tc>
          <w:tcPr>
            <w:tcW w:type="dxa" w:w="27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101 帧 · 3.3667 s · strict 1/1</w:t>
            </w:r>
          </w:p>
        </w:tc>
      </w:tr>
      <w:tr>
        <w:tc>
          <w:tcPr>
            <w:tcW w:type="dxa" w:w="26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showcase seeds 0–19</w:t>
            </w:r>
          </w:p>
        </w:tc>
        <w:tc>
          <w:tcPr>
            <w:tcW w:type="dxa" w:w="12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20</w:t>
            </w:r>
          </w:p>
        </w:tc>
        <w:tc>
          <w:tcPr>
            <w:tcW w:type="dxa" w:w="27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H.264 · 512×512 · 30 fps</w:t>
            </w:r>
          </w:p>
        </w:tc>
        <w:tc>
          <w:tcPr>
            <w:tcW w:type="dxa" w:w="27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每条 101 帧 · 全部严格成功</w:t>
            </w:r>
          </w:p>
        </w:tc>
      </w:tr>
    </w:tbl>
    <w:p>
      <w:pPr>
        <w:spacing w:after="20"/>
      </w:pP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20 条展示视频位于 videos/peg_insertion_side/showcase_best_o2_ckpt551_20_successes_20260723/successes/，并配套 ffprobe_manifest.csv。所有视频均用 ffprobe 核对编码、分辨率、帧率、帧数与时长。</w:t>
      </w:r>
    </w:p>
    <w:p>
      <w:pPr>
        <w:pStyle w:val="Heading2"/>
        <w:keepNext/>
      </w:pPr>
      <w:r>
        <w:t>12.2 前五条同步四机位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对 seeds 0–4 的同一轨迹分别生成 hero、front、side、top 四个独立视角，并额外生成 2×2 四宫格。四宫格布局为左上 hero、右上 front、左下 side、右下 top。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900"/>
        <w:gridCol w:w="1400"/>
        <w:gridCol w:w="4920"/>
      </w:tblGrid>
      <w:tr>
        <w:trPr>
          <w:tblHeader w:val="true"/>
        </w:trPr>
        <w:tc>
          <w:tcPr>
            <w:tcW w:type="dxa" w:w="29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14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9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规格</w:t>
            </w:r>
          </w:p>
        </w:tc>
      </w:tr>
      <w:tr>
        <w:tc>
          <w:tcPr>
            <w:tcW w:type="dxa" w:w="2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独立机位视频</w:t>
            </w:r>
          </w:p>
        </w:tc>
        <w:tc>
          <w:tcPr>
            <w:tcW w:type="dxa" w:w="14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20</w:t>
            </w:r>
          </w:p>
        </w:tc>
        <w:tc>
          <w:tcPr>
            <w:tcW w:type="dxa" w:w="49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4 机位 × 5 seeds；512×512；H.264；30 fps；101 帧</w:t>
            </w:r>
          </w:p>
        </w:tc>
      </w:tr>
      <w:tr>
        <w:tc>
          <w:tcPr>
            <w:tcW w:type="dxa" w:w="2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四宫格视频</w:t>
            </w:r>
          </w:p>
        </w:tc>
        <w:tc>
          <w:tcPr>
            <w:tcW w:type="dxa" w:w="14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5</w:t>
            </w:r>
          </w:p>
        </w:tc>
        <w:tc>
          <w:tcPr>
            <w:tcW w:type="dxa" w:w="49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1024×1024；H.264；30 fps；101 帧</w:t>
            </w:r>
          </w:p>
        </w:tc>
      </w:tr>
      <w:tr>
        <w:tc>
          <w:tcPr>
            <w:tcW w:type="dxa" w:w="2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严格成功日志</w:t>
            </w:r>
          </w:p>
        </w:tc>
        <w:tc>
          <w:tcPr>
            <w:tcW w:type="dxa" w:w="14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20</w:t>
            </w:r>
          </w:p>
        </w:tc>
        <w:tc>
          <w:tcPr>
            <w:tcW w:type="dxa" w:w="49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每个 seed/机位均保留运行日志</w:t>
            </w:r>
          </w:p>
        </w:tc>
      </w:tr>
      <w:tr>
        <w:tc>
          <w:tcPr>
            <w:tcW w:type="dxa" w:w="2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ffprobe manifest</w:t>
            </w:r>
          </w:p>
        </w:tc>
        <w:tc>
          <w:tcPr>
            <w:tcW w:type="dxa" w:w="14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</w:t>
            </w:r>
          </w:p>
        </w:tc>
        <w:tc>
          <w:tcPr>
            <w:tcW w:type="dxa" w:w="49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统一记录所有视频媒体参数</w:t>
            </w:r>
          </w:p>
        </w:tc>
      </w:tr>
    </w:tbl>
    <w:p>
      <w:pPr>
        <w:spacing w:after="20"/>
      </w:pP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本地目录为 videos/peg_insertion_side/multiview_best_o2_ckpt551_first5_20260723/，服务器存在同名任务三视频命名空间副本。多机位不是四次不同 rollout，而是用于观察同一确定性策略轨迹在不同视角下的抓取、姿态调整、孔口对准与插入过程。</w:t>
      </w:r>
    </w:p>
    <w:p>
      <w:pPr>
        <w:pStyle w:val="Heading1"/>
        <w:keepNext/>
      </w:pPr>
      <w:r>
        <w:t>十三、负面结果、风险与研究记录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900"/>
        <w:gridCol w:w="3870"/>
      </w:tblGrid>
      <w:tr>
        <w:trPr>
          <w:tblHeader w:val="true"/>
        </w:trPr>
        <w:tc>
          <w:tcPr>
            <w:tcW w:type="dxa" w:w="245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记录项</w:t>
            </w:r>
          </w:p>
        </w:tc>
        <w:tc>
          <w:tcPr>
            <w:tcW w:type="dxa" w:w="29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87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保留价值</w:t>
            </w:r>
          </w:p>
        </w:tc>
      </w:tr>
      <w:tr>
        <w:tc>
          <w:tcPr>
            <w:tcW w:type="dxa" w:w="24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随机策略基线</w:t>
            </w:r>
          </w:p>
        </w:tc>
        <w:tc>
          <w:tcPr>
            <w:tcW w:type="dxa" w:w="2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0/100，全部未抓取</w:t>
            </w:r>
          </w:p>
        </w:tc>
        <w:tc>
          <w:tcPr>
            <w:tcW w:type="dxa" w:w="387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证明环境不会轻易偶然成功</w:t>
            </w:r>
          </w:p>
        </w:tc>
      </w:tr>
      <w:tr>
        <w:tc>
          <w:tcPr>
            <w:tcW w:type="dxa" w:w="24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未训练 actor</w:t>
            </w:r>
          </w:p>
        </w:tc>
        <w:tc>
          <w:tcPr>
            <w:tcW w:type="dxa" w:w="2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0/100，全部未抓取</w:t>
            </w:r>
          </w:p>
        </w:tc>
        <w:tc>
          <w:tcPr>
            <w:tcW w:type="dxa" w:w="387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验证初始化不具备任务技能</w:t>
            </w:r>
          </w:p>
        </w:tc>
      </w:tr>
      <w:tr>
        <w:tc>
          <w:tcPr>
            <w:tcW w:type="dxa" w:w="24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O1 final</w:t>
            </w:r>
          </w:p>
        </w:tc>
        <w:tc>
          <w:tcPr>
            <w:tcW w:type="dxa" w:w="2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89/1,000</w:t>
            </w:r>
          </w:p>
        </w:tc>
        <w:tc>
          <w:tcPr>
            <w:tcW w:type="dxa" w:w="387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证明 final 不等于 best</w:t>
            </w:r>
          </w:p>
        </w:tc>
      </w:tr>
      <w:tr>
        <w:tc>
          <w:tcPr>
            <w:tcW w:type="dxa" w:w="24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O1 ckpt_2251</w:t>
            </w:r>
          </w:p>
        </w:tc>
        <w:tc>
          <w:tcPr>
            <w:tcW w:type="dxa" w:w="2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选择集 26%，正式仅 16%</w:t>
            </w:r>
          </w:p>
        </w:tc>
        <w:tc>
          <w:tcPr>
            <w:tcW w:type="dxa" w:w="387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证明小样本排序可能反转</w:t>
            </w:r>
          </w:p>
        </w:tc>
      </w:tr>
      <w:tr>
        <w:tc>
          <w:tcPr>
            <w:tcW w:type="dxa" w:w="24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O1 主要失败</w:t>
            </w:r>
          </w:p>
        </w:tc>
        <w:tc>
          <w:tcPr>
            <w:tcW w:type="dxa" w:w="2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入口附近深度不足</w:t>
            </w:r>
          </w:p>
        </w:tc>
        <w:tc>
          <w:tcPr>
            <w:tcW w:type="dxa" w:w="387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为 O2 continuation 提供针对性依据</w:t>
            </w:r>
          </w:p>
        </w:tc>
      </w:tr>
      <w:tr>
        <w:tc>
          <w:tcPr>
            <w:tcW w:type="dxa" w:w="24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旧失败 mask</w:t>
            </w:r>
          </w:p>
        </w:tc>
        <w:tc>
          <w:tcPr>
            <w:tcW w:type="dxa" w:w="2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类别可能重叠</w:t>
            </w:r>
          </w:p>
        </w:tc>
        <w:tc>
          <w:tcPr>
            <w:tcW w:type="dxa" w:w="387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修正统计口径并重跑，不掩盖诊断缺陷</w:t>
            </w:r>
          </w:p>
        </w:tc>
      </w:tr>
      <w:tr>
        <w:tc>
          <w:tcPr>
            <w:tcW w:type="dxa" w:w="24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O2 剩余失败</w:t>
            </w:r>
          </w:p>
        </w:tc>
        <w:tc>
          <w:tcPr>
            <w:tcW w:type="dxa" w:w="2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7/9 为深度不足</w:t>
            </w:r>
          </w:p>
        </w:tc>
        <w:tc>
          <w:tcPr>
            <w:tcW w:type="dxa" w:w="387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指出 99.1% 后仍存在的边界风险</w:t>
            </w:r>
          </w:p>
        </w:tc>
      </w:tr>
    </w:tbl>
    <w:p>
      <w:pPr>
        <w:spacing w:after="20"/>
      </w:pP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当前结论适用于 ManiSkill 3.0.1、指定机器人、state 观测、pd_joint_delta_pos 控制与当前随机化分布。99.1% 是 matched-seed 1,000 环境中的仿真成功率，不应直接外推为真实机器人成功率。若后续开展 sim-to-real，还需补充视觉观测、动力学与接触随机化、控制延迟、标定误差和真实夹持摩擦等验证。</w:t>
      </w:r>
    </w:p>
    <w:p>
      <w:pPr>
        <w:pStyle w:val="Heading1"/>
        <w:keepNext/>
      </w:pPr>
      <w:r>
        <w:t>十四、结论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任务三已经形成一条完整且可审计的研究闭环：原生任务复核 → 固定种子未训练基线 → 官方 75M 步 O1 从零训练 → 全 checkpoint 筛选 → 独立种子复验 → 1,000 环境正式比较 → O1 失败阶段定位 → 低学习率 O2 continuation → 再次全量筛选与正式评估 → 模型晋升、哈希核对和视频交付。</w:t>
      </w:r>
    </w:p>
    <w:p>
      <w:pPr>
        <w:spacing w:after="100" w:line="300" w:lineRule="auto"/>
        <w:ind w:firstLine="420"/>
      </w:pPr>
      <w:r>
        <w:rPr>
          <w:rFonts w:ascii="Arial" w:hAnsi="Arial" w:eastAsia="PingFang SC"/>
          <w:sz w:val="21"/>
        </w:rPr>
        <w:t>最终 O2 ckpt_551 达到 991/1,000（99.1%）严格成功率，相较 O1 最佳 175/1,000 提升 81.6 个百分点。其抓取、姿态对准、预插入对准与入口对准均接近饱和，剩余失败主要集中在极少数插入深度不足轨迹。结果同时说明：复杂机械装配任务的关键不仅是训练更久，更是采用严格成功谓词、阶段化诊断、保留并筛选全部 checkpoint，以及用独立与 matched-seed 评估把真实提升和抽样波动分开。</w:t>
      </w:r>
    </w:p>
    <w:tbl>
      <w:tblPr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9220"/>
      </w:tblGrid>
      <w:tr>
        <w:tc>
          <w:tcPr>
            <w:tcW w:type="dxa" w:w="9220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Arial" w:hAnsi="Arial" w:eastAsia="PingFang SC"/>
                <w:b/>
                <w:color w:val="365F91"/>
                <w:sz w:val="21"/>
              </w:rPr>
              <w:t>最终交付状态｜</w:t>
            </w:r>
            <w:r>
              <w:rPr>
                <w:rFonts w:ascii="Arial" w:hAnsi="Arial" w:eastAsia="PingFang SC"/>
                <w:sz w:val="20"/>
              </w:rPr>
              <w:t>最佳模型、评估记录、失败分类、单视角与多机位视频、本地测试环境和任务报告均已形成独立任务三命名空间；PickCube 与 StackCube 成果目录保持冻结。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A：关键路径索引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120"/>
      </w:tblGrid>
      <w:tr>
        <w:trPr>
          <w:tblHeader w:val="true"/>
        </w:trPr>
        <w:tc>
          <w:tcPr>
            <w:tcW w:type="dxa" w:w="21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12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7"/>
              </w:rPr>
              <w:t>本地路径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7"/>
              </w:rPr>
              <w:t>任务说明</w:t>
            </w:r>
          </w:p>
        </w:tc>
        <w:tc>
          <w:tcPr>
            <w:tcW w:type="dxa" w:w="71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7"/>
              </w:rPr>
              <w:t>tasks/peg_insertion_side/README.md</w:t>
            </w:r>
          </w:p>
        </w:tc>
      </w:tr>
      <w:tr>
        <w:tc>
          <w:tcPr>
            <w:tcW w:type="dxa" w:w="21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7"/>
              </w:rPr>
              <w:t>官方配置</w:t>
            </w:r>
          </w:p>
        </w:tc>
        <w:tc>
          <w:tcPr>
            <w:tcW w:type="dxa" w:w="71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7"/>
              </w:rPr>
              <w:t>configs/peg_insertion_side/official_ppo_fast_75m.yaml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7"/>
              </w:rPr>
              <w:t>实验日志</w:t>
            </w:r>
          </w:p>
        </w:tc>
        <w:tc>
          <w:tcPr>
            <w:tcW w:type="dxa" w:w="71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7"/>
              </w:rPr>
              <w:t>docs/peg_insertion_side_experiment_log.md</w:t>
            </w:r>
          </w:p>
        </w:tc>
      </w:tr>
      <w:tr>
        <w:tc>
          <w:tcPr>
            <w:tcW w:type="dxa" w:w="21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7"/>
              </w:rPr>
              <w:t>正式评估脚本</w:t>
            </w:r>
          </w:p>
        </w:tc>
        <w:tc>
          <w:tcPr>
            <w:tcW w:type="dxa" w:w="71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7"/>
              </w:rPr>
              <w:t>scripts/evaluate_official_peg_insertion_side.py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7"/>
              </w:rPr>
              <w:t>本地测试脚本</w:t>
            </w:r>
          </w:p>
        </w:tc>
        <w:tc>
          <w:tcPr>
            <w:tcW w:type="dxa" w:w="71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7"/>
              </w:rPr>
              <w:t>scripts/test_peg_insertion_side_local.py</w:t>
            </w:r>
          </w:p>
        </w:tc>
      </w:tr>
      <w:tr>
        <w:tc>
          <w:tcPr>
            <w:tcW w:type="dxa" w:w="21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7"/>
              </w:rPr>
              <w:t>最佳模型</w:t>
            </w:r>
          </w:p>
        </w:tc>
        <w:tc>
          <w:tcPr>
            <w:tcW w:type="dxa" w:w="71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7"/>
              </w:rPr>
              <w:t>checkpoints/ppo_peg_insertion_side_official_ckpt2151_lr1e4_25m/</w:t>
              <w:br/>
              <w:t>best_o2_ckpt551_991of1000_matchedseed.pt</w:t>
            </w:r>
          </w:p>
        </w:tc>
      </w:tr>
      <w:tr>
        <w:tc>
          <w:tcPr>
            <w:tcW w:type="dxa" w:w="21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7"/>
              </w:rPr>
              <w:t>20 条展示</w:t>
            </w:r>
          </w:p>
        </w:tc>
        <w:tc>
          <w:tcPr>
            <w:tcW w:type="dxa" w:w="71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7"/>
              </w:rPr>
              <w:t>videos/peg_insertion_side/showcase_best_o2_ckpt551_20_successes_20260723/</w:t>
            </w:r>
          </w:p>
        </w:tc>
      </w:tr>
      <w:tr>
        <w:tc>
          <w:tcPr>
            <w:tcW w:type="dxa" w:w="21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7"/>
              </w:rPr>
              <w:t>四机位展示</w:t>
            </w:r>
          </w:p>
        </w:tc>
        <w:tc>
          <w:tcPr>
            <w:tcW w:type="dxa" w:w="712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7"/>
              </w:rPr>
              <w:t>videos/peg_insertion_side/multiview_best_o2_ckpt551_first5_20260723/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B：正式评估数据摘要</w:t>
      </w:r>
    </w:p>
    <w:tbl>
      <w:tblPr>
        <w:tblStyle w:val="TableGrid"/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1650"/>
        <w:gridCol w:w="1900"/>
        <w:gridCol w:w="1800"/>
        <w:gridCol w:w="1570"/>
      </w:tblGrid>
      <w:tr>
        <w:trPr>
          <w:tblHeader w:val="true"/>
        </w:trPr>
        <w:tc>
          <w:tcPr>
            <w:tcW w:type="dxa" w:w="23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65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selection 100</w:t>
            </w:r>
          </w:p>
        </w:tc>
        <w:tc>
          <w:tcPr>
            <w:tcW w:type="dxa" w:w="19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independent 100</w:t>
            </w:r>
          </w:p>
        </w:tc>
        <w:tc>
          <w:tcPr>
            <w:tcW w:type="dxa" w:w="180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formal 1,000</w:t>
            </w:r>
          </w:p>
        </w:tc>
        <w:tc>
          <w:tcPr>
            <w:tcW w:type="dxa" w:w="1570"/>
            <w:shd w:fill="365F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3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O1 final</w:t>
            </w:r>
          </w:p>
        </w:tc>
        <w:tc>
          <w:tcPr>
            <w:tcW w:type="dxa" w:w="16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11</w:t>
            </w:r>
          </w:p>
        </w:tc>
        <w:tc>
          <w:tcPr>
            <w:tcW w:type="dxa" w:w="1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—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89</w:t>
            </w:r>
          </w:p>
        </w:tc>
        <w:tc>
          <w:tcPr>
            <w:tcW w:type="dxa" w:w="157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不晋升</w:t>
            </w:r>
          </w:p>
        </w:tc>
      </w:tr>
      <w:tr>
        <w:tc>
          <w:tcPr>
            <w:tcW w:type="dxa" w:w="23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O1 ckpt_2251</w:t>
            </w:r>
          </w:p>
        </w:tc>
        <w:tc>
          <w:tcPr>
            <w:tcW w:type="dxa" w:w="16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26</w:t>
            </w:r>
          </w:p>
        </w:tc>
        <w:tc>
          <w:tcPr>
            <w:tcW w:type="dxa" w:w="1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23</w:t>
            </w:r>
          </w:p>
        </w:tc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160</w:t>
            </w:r>
          </w:p>
        </w:tc>
        <w:tc>
          <w:tcPr>
            <w:tcW w:type="dxa" w:w="157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选择集领先但正式非最佳</w:t>
            </w:r>
          </w:p>
        </w:tc>
      </w:tr>
      <w:tr>
        <w:tc>
          <w:tcPr>
            <w:tcW w:type="dxa" w:w="23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O1 ckpt_2151</w:t>
            </w:r>
          </w:p>
        </w:tc>
        <w:tc>
          <w:tcPr>
            <w:tcW w:type="dxa" w:w="16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21</w:t>
            </w:r>
          </w:p>
        </w:tc>
        <w:tc>
          <w:tcPr>
            <w:tcW w:type="dxa" w:w="1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19</w:t>
            </w:r>
          </w:p>
        </w:tc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175</w:t>
            </w:r>
          </w:p>
        </w:tc>
        <w:tc>
          <w:tcPr>
            <w:tcW w:type="dxa" w:w="157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O1 最佳、O2 起点</w:t>
            </w:r>
          </w:p>
        </w:tc>
      </w:tr>
      <w:tr>
        <w:tc>
          <w:tcPr>
            <w:tcW w:type="dxa" w:w="23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O2 final</w:t>
            </w:r>
          </w:p>
        </w:tc>
        <w:tc>
          <w:tcPr>
            <w:tcW w:type="dxa" w:w="165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97</w:t>
            </w:r>
          </w:p>
        </w:tc>
        <w:tc>
          <w:tcPr>
            <w:tcW w:type="dxa" w:w="19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—</w:t>
            </w:r>
          </w:p>
        </w:tc>
        <w:tc>
          <w:tcPr>
            <w:tcW w:type="dxa" w:w="180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—</w:t>
            </w:r>
          </w:p>
        </w:tc>
        <w:tc>
          <w:tcPr>
            <w:tcW w:type="dxa" w:w="1570"/>
            <w:vAlign w:val="center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不自动晋升</w:t>
            </w:r>
          </w:p>
        </w:tc>
      </w:tr>
      <w:tr>
        <w:tc>
          <w:tcPr>
            <w:tcW w:type="dxa" w:w="23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O2 ckpt_701</w:t>
            </w:r>
          </w:p>
        </w:tc>
        <w:tc>
          <w:tcPr>
            <w:tcW w:type="dxa" w:w="165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</w:t>
            </w:r>
          </w:p>
        </w:tc>
        <w:tc>
          <w:tcPr>
            <w:tcW w:type="dxa" w:w="19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100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990</w:t>
            </w:r>
          </w:p>
        </w:tc>
        <w:tc>
          <w:tcPr>
            <w:tcW w:type="dxa" w:w="157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正式亚军</w:t>
            </w:r>
          </w:p>
        </w:tc>
      </w:tr>
      <w:tr>
        <w:tc>
          <w:tcPr>
            <w:tcW w:type="dxa" w:w="23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PingFang SC"/>
                <w:sz w:val="18"/>
              </w:rPr>
              <w:t>O2 ckpt_551</w:t>
            </w:r>
          </w:p>
        </w:tc>
        <w:tc>
          <w:tcPr>
            <w:tcW w:type="dxa" w:w="165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</w:t>
            </w:r>
          </w:p>
        </w:tc>
        <w:tc>
          <w:tcPr>
            <w:tcW w:type="dxa" w:w="19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100</w:t>
            </w:r>
          </w:p>
        </w:tc>
        <w:tc>
          <w:tcPr>
            <w:tcW w:type="dxa" w:w="180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991</w:t>
            </w:r>
          </w:p>
        </w:tc>
        <w:tc>
          <w:tcPr>
            <w:tcW w:type="dxa" w:w="1570"/>
            <w:vAlign w:val="center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PingFang SC"/>
                <w:sz w:val="18"/>
              </w:rPr>
              <w:t>最终晋升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Arial" w:hAnsi="Arial" w:eastAsia="PingFang SC"/>
          <w:sz w:val="21"/>
        </w:rPr>
        <w:t>注：selection 与 independent 列的数值均为 100 环境中的成功次数；formal 列为同一 matched seed 下 1,000 环境中的成功次数。破折号表示该项未作为正式选择依据，而非推定为零。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SC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PingFang SC"/>
        <w:b/>
        <w:color w:val="666666"/>
        <w:sz w:val="15"/>
      </w:rPr>
      <w:t>MANI-PROJECT  ·  TASK 3  ·  PEG INSERTION SIDE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432" w:right="216"/>
    </w:pPr>
    <w:rPr>
      <w:rFonts w:ascii="Courier New" w:hAnsi="Courier New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PegInsertionSide-v1 任务三完整研究报告</dc:title>
  <dc:subject>ManiSkill 3.0.1 PPO-fast task-3 final report</dc:subject>
  <dc:creator>黄泊睿</dc:creator>
  <cp:keywords>ManiSkill, PPO, PegInsertionSide, robot insertion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