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STE-50 ENGINE REPORT (cQED UNIFIED)</w:t>
      </w:r>
    </w:p>
    <w:p>
      <w:r>
        <w:t>Rapport de simulation HPC et diagnostic de falsifiabilité poppérienne.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Paramètre / Observable</w:t>
            </w:r>
          </w:p>
        </w:tc>
        <w:tc>
          <w:tcPr>
            <w:tcW w:type="dxa" w:w="4320"/>
          </w:tcPr>
          <w:p>
            <w:r>
              <w:t>Valeur Numérique (float64)</w:t>
            </w:r>
          </w:p>
        </w:tc>
      </w:tr>
      <w:tr>
        <w:tc>
          <w:tcPr>
            <w:tcW w:type="dxa" w:w="4320"/>
          </w:tcPr>
          <w:p>
            <w:r>
              <w:t>Trajectoires Monte Carlo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Espace de Hilbert (d)</w:t>
            </w:r>
          </w:p>
        </w:tc>
        <w:tc>
          <w:tcPr>
            <w:tcW w:type="dxa" w:w="4320"/>
          </w:tcPr>
          <w:p>
            <w:r>
              <w:t>4 (Bipartite 2x2)</w:t>
            </w:r>
          </w:p>
        </w:tc>
      </w:tr>
      <w:tr>
        <w:tc>
          <w:tcPr>
            <w:tcW w:type="dxa" w:w="4320"/>
          </w:tcPr>
          <w:p>
            <w:r>
              <w:t>Moyenne du Gap Effectif</w:t>
            </w:r>
          </w:p>
        </w:tc>
        <w:tc>
          <w:tcPr>
            <w:tcW w:type="dxa" w:w="4320"/>
          </w:tcPr>
          <w:p>
            <w:r>
              <w:t>1.588173</w:t>
            </w:r>
          </w:p>
        </w:tc>
      </w:tr>
      <w:tr>
        <w:tc>
          <w:tcPr>
            <w:tcW w:type="dxa" w:w="4320"/>
          </w:tcPr>
          <w:p>
            <w:r>
              <w:t>Fidélité de l'État Solitonique</w:t>
            </w:r>
          </w:p>
        </w:tc>
        <w:tc>
          <w:tcPr>
            <w:tcW w:type="dxa" w:w="4320"/>
          </w:tcPr>
          <w:p>
            <w:r>
              <w:t>0.398424</w:t>
            </w:r>
          </w:p>
        </w:tc>
      </w:tr>
      <w:tr>
        <w:tc>
          <w:tcPr>
            <w:tcW w:type="dxa" w:w="4320"/>
          </w:tcPr>
          <w:p>
            <w:r>
              <w:t>Cohérence Quantique Globale (L1)</w:t>
            </w:r>
          </w:p>
        </w:tc>
        <w:tc>
          <w:tcPr>
            <w:tcW w:type="dxa" w:w="4320"/>
          </w:tcPr>
          <w:p>
            <w:r>
              <w:t>1.493906</w:t>
            </w:r>
          </w:p>
        </w:tc>
      </w:tr>
      <w:tr>
        <w:tc>
          <w:tcPr>
            <w:tcW w:type="dxa" w:w="4320"/>
          </w:tcPr>
          <w:p>
            <w:r>
              <w:t>Pureté de la Matrice d'État (P)</w:t>
            </w:r>
          </w:p>
        </w:tc>
        <w:tc>
          <w:tcPr>
            <w:tcW w:type="dxa" w:w="4320"/>
          </w:tcPr>
          <w:p>
            <w:r>
              <w:t>0.776551</w:t>
            </w:r>
          </w:p>
        </w:tc>
      </w:tr>
      <w:tr>
        <w:tc>
          <w:tcPr>
            <w:tcW w:type="dxa" w:w="4320"/>
          </w:tcPr>
          <w:p>
            <w:r>
              <w:t>Entropie de von Neumann (S)</w:t>
            </w:r>
          </w:p>
        </w:tc>
        <w:tc>
          <w:tcPr>
            <w:tcW w:type="dxa" w:w="4320"/>
          </w:tcPr>
          <w:p>
            <w:r>
              <w:t>0.418186</w:t>
            </w:r>
          </w:p>
        </w:tc>
      </w:tr>
      <w:tr>
        <w:tc>
          <w:tcPr>
            <w:tcW w:type="dxa" w:w="4320"/>
          </w:tcPr>
          <w:p>
            <w:r>
              <w:t>Information Mutuelle Bipartie</w:t>
            </w:r>
          </w:p>
        </w:tc>
        <w:tc>
          <w:tcPr>
            <w:tcW w:type="dxa" w:w="4320"/>
          </w:tcPr>
          <w:p>
            <w:r>
              <w:t>0.902038</w:t>
            </w:r>
          </w:p>
        </w:tc>
      </w:tr>
      <w:tr>
        <w:tc>
          <w:tcPr>
            <w:tcW w:type="dxa" w:w="4320"/>
          </w:tcPr>
          <w:p>
            <w:r>
              <w:t>Indice PSI STE (Code-barres)</w:t>
            </w:r>
          </w:p>
        </w:tc>
        <w:tc>
          <w:tcPr>
            <w:tcW w:type="dxa" w:w="4320"/>
          </w:tcPr>
          <w:p>
            <w:r>
              <w:t>0.650231</w:t>
            </w:r>
          </w:p>
        </w:tc>
      </w:tr>
      <w:tr>
        <w:tc>
          <w:tcPr>
            <w:tcW w:type="dxa" w:w="4320"/>
          </w:tcPr>
          <w:p>
            <w:r>
              <w:t>Intervalle de Confiance</w:t>
            </w:r>
          </w:p>
        </w:tc>
        <w:tc>
          <w:tcPr>
            <w:tcW w:type="dxa" w:w="4320"/>
          </w:tcPr>
          <w:p>
            <w:r>
              <w:t>± 0.034723</w:t>
            </w:r>
          </w:p>
        </w:tc>
      </w:tr>
      <w:tr>
        <w:tc>
          <w:tcPr>
            <w:tcW w:type="dxa" w:w="4320"/>
          </w:tcPr>
          <w:p>
            <w:r>
              <w:t>Statut du Verdict</w:t>
            </w:r>
          </w:p>
        </w:tc>
        <w:tc>
          <w:tcPr>
            <w:tcW w:type="dxa" w:w="4320"/>
          </w:tcPr>
          <w:p>
            <w:r>
              <w:t>VALIDATION NUMÉRIQUE : COHÉRENCE DU CODE-BARRES TOPOLOGIQUE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