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5181BC15" w14:textId="77777777" w:rsidR="00B15AC1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D1C43" w:rsidRPr="002A5458" w14:paraId="5B78230E" w14:textId="77777777" w:rsidTr="00B12F39">
        <w:trPr>
          <w:trHeight w:val="306"/>
        </w:trPr>
        <w:tc>
          <w:tcPr>
            <w:tcW w:w="4241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21F6A14A" w:rsidR="00BD1C43" w:rsidRPr="00A74AD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</w:t>
            </w:r>
            <w:r w:rsidR="00A74ADF" w:rsidRPr="00A74ADF">
              <w:rPr>
                <w:rFonts w:ascii="Garamond" w:hAnsi="Garamond" w:cs="Didot"/>
              </w:rPr>
              <w:t xml:space="preserve"> (</w:t>
            </w:r>
            <w:r w:rsidR="00A74ADF" w:rsidRPr="00A74ADF">
              <w:rPr>
                <w:rFonts w:ascii="Garamond" w:hAnsi="Garamond" w:cs="Didot"/>
                <w:b/>
                <w:bCs/>
              </w:rPr>
              <w:t>Web</w:t>
            </w:r>
            <w:r w:rsidR="00A74ADF">
              <w:rPr>
                <w:rFonts w:ascii="Garamond" w:hAnsi="Garamond" w:cs="Didot"/>
              </w:rPr>
              <w:t>: https://luv-lab.info)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759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B12F39">
        <w:trPr>
          <w:trHeight w:val="306"/>
        </w:trPr>
        <w:tc>
          <w:tcPr>
            <w:tcW w:w="4241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0B403E7F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  <w:r w:rsidR="00B12F39">
              <w:rPr>
                <w:rFonts w:ascii="Garamond" w:hAnsi="Garamond" w:cs="Didot"/>
              </w:rPr>
              <w:t>; Cognitive Sciences Faculty</w:t>
            </w:r>
          </w:p>
          <w:p w14:paraId="6557AF8D" w14:textId="1371A40D" w:rsidR="00A74ADF" w:rsidRPr="002A5458" w:rsidRDefault="002A5458" w:rsidP="00B12F39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0DDCFC8F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2D05B5FF" w14:textId="03E95CAA" w:rsidR="005246F7" w:rsidRPr="00B15AC1" w:rsidRDefault="005246F7" w:rsidP="00B15AC1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60CC53CE" w14:textId="49153BE3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</w:rPr>
        <w:t>Winkler, D.</w:t>
      </w:r>
      <w:r>
        <w:rPr>
          <w:rFonts w:ascii="Garamond" w:hAnsi="Garamond" w:cs="Didot"/>
        </w:rPr>
        <w:t>*</w:t>
      </w:r>
      <w:r>
        <w:rPr>
          <w:rFonts w:ascii="Garamond" w:hAnsi="Garamond" w:cs="Didot"/>
        </w:rPr>
        <w:t xml:space="preserve">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(Still researching). The emergence of sociolinguistic attitudes in language learners as a function of course progression and exposure. </w:t>
      </w:r>
    </w:p>
    <w:p w14:paraId="67DEA63B" w14:textId="4EA74489" w:rsidR="005246F7" w:rsidRDefault="005246F7" w:rsidP="00B15AC1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lastRenderedPageBreak/>
        <w:t>Patchell</w:t>
      </w:r>
      <w:proofErr w:type="spellEnd"/>
      <w:r>
        <w:rPr>
          <w:rFonts w:ascii="Garamond" w:hAnsi="Garamond" w:cs="Didot"/>
        </w:rPr>
        <w:t>, A.</w:t>
      </w:r>
      <w:r w:rsidR="00B15AC1">
        <w:rPr>
          <w:rFonts w:ascii="Garamond" w:hAnsi="Garamond" w:cs="Didot"/>
        </w:rPr>
        <w:t>*</w:t>
      </w:r>
      <w:r>
        <w:rPr>
          <w:rFonts w:ascii="Garamond" w:hAnsi="Garamond" w:cs="Didot"/>
        </w:rPr>
        <w:t xml:space="preserve">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Do Philly Puerto Ricans say </w:t>
      </w:r>
      <w:proofErr w:type="spellStart"/>
      <w:r>
        <w:rPr>
          <w:rFonts w:ascii="Garamond" w:hAnsi="Garamond" w:cs="Didot"/>
          <w:i/>
          <w:iCs/>
        </w:rPr>
        <w:t>dat</w:t>
      </w:r>
      <w:proofErr w:type="spellEnd"/>
      <w:r>
        <w:rPr>
          <w:rFonts w:ascii="Garamond" w:hAnsi="Garamond" w:cs="Didot"/>
        </w:rPr>
        <w:t>? A</w:t>
      </w:r>
      <w:r w:rsidR="00B15AC1">
        <w:rPr>
          <w:rFonts w:ascii="Garamond" w:hAnsi="Garamond" w:cs="Didot"/>
        </w:rPr>
        <w:t xml:space="preserve">n acoustic analysis of TH-Stopping as a change in-progress. </w:t>
      </w:r>
    </w:p>
    <w:p w14:paraId="07853EFD" w14:textId="347631F3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Sex-differentiated strategies for stereotype avoidance: OH-Lowering in Philadelphia Puerto Rican English. </w:t>
      </w:r>
    </w:p>
    <w:p w14:paraId="72392BA4" w14:textId="303952B4" w:rsidR="00B15AC1" w:rsidRPr="005246F7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22BFDA8" w14:textId="12312E16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09C49E91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Jan,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12BF6CA9" w14:textId="47BCF6DD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155E501B" w14:textId="77777777" w:rsidR="00B15AC1" w:rsidRDefault="00B15AC1" w:rsidP="003D3C24">
      <w:pPr>
        <w:pStyle w:val="NoSpacing"/>
        <w:rPr>
          <w:rFonts w:ascii="Garamond" w:hAnsi="Garamond" w:cs="Didot"/>
          <w:u w:val="single"/>
          <w:lang w:val="es-ES"/>
        </w:rPr>
      </w:pPr>
    </w:p>
    <w:p w14:paraId="441A3FF7" w14:textId="71D1B6CA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lastRenderedPageBreak/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6348"/>
        <w:gridCol w:w="3240"/>
      </w:tblGrid>
      <w:tr w:rsidR="000706F6" w:rsidRPr="002A5458" w14:paraId="38BD54A6" w14:textId="77777777" w:rsidTr="00B15AC1">
        <w:tc>
          <w:tcPr>
            <w:tcW w:w="3393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607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B15AC1">
        <w:tc>
          <w:tcPr>
            <w:tcW w:w="3393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B15AC1">
        <w:tc>
          <w:tcPr>
            <w:tcW w:w="3393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607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B15AC1">
        <w:tc>
          <w:tcPr>
            <w:tcW w:w="3393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607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B15AC1">
        <w:tc>
          <w:tcPr>
            <w:tcW w:w="3393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607" w:type="pct"/>
            <w:shd w:val="clear" w:color="auto" w:fill="auto"/>
          </w:tcPr>
          <w:p w14:paraId="3009C618" w14:textId="15F252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</w:t>
            </w:r>
            <w:r w:rsidR="006B3C54">
              <w:rPr>
                <w:rFonts w:ascii="Garamond" w:hAnsi="Garamond" w:cs="Didot"/>
              </w:rPr>
              <w:t>0</w:t>
            </w:r>
            <w:r w:rsidR="00B15AC1">
              <w:rPr>
                <w:rFonts w:ascii="Garamond" w:hAnsi="Garamond" w:cs="Didot"/>
              </w:rPr>
              <w:t>21</w:t>
            </w:r>
          </w:p>
        </w:tc>
      </w:tr>
      <w:tr w:rsidR="000706F6" w:rsidRPr="002A5458" w14:paraId="646CCA66" w14:textId="77777777" w:rsidTr="00B15AC1">
        <w:tc>
          <w:tcPr>
            <w:tcW w:w="3393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607" w:type="pct"/>
            <w:shd w:val="clear" w:color="auto" w:fill="auto"/>
          </w:tcPr>
          <w:p w14:paraId="086D4E98" w14:textId="0989A941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  <w:r w:rsidR="00B15AC1">
              <w:rPr>
                <w:rFonts w:ascii="Garamond" w:hAnsi="Garamond" w:cs="Didot"/>
              </w:rPr>
              <w:t>, 2021; Summer 2021</w:t>
            </w:r>
          </w:p>
        </w:tc>
      </w:tr>
      <w:tr w:rsidR="00D00F6D" w:rsidRPr="002A5458" w14:paraId="593767B9" w14:textId="77777777" w:rsidTr="00B15AC1">
        <w:tc>
          <w:tcPr>
            <w:tcW w:w="3393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607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B15AC1">
        <w:trPr>
          <w:gridBefore w:val="1"/>
          <w:wBefore w:w="244" w:type="pct"/>
          <w:trHeight w:val="207"/>
        </w:trPr>
        <w:tc>
          <w:tcPr>
            <w:tcW w:w="3149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607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607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B15AC1">
        <w:trPr>
          <w:gridBefore w:val="1"/>
          <w:wBefore w:w="244" w:type="pct"/>
          <w:trHeight w:val="171"/>
        </w:trPr>
        <w:tc>
          <w:tcPr>
            <w:tcW w:w="3149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607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B285339" w14:textId="18BED21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 w:rsidR="00B15AC1"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607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607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B15AC1">
        <w:trPr>
          <w:gridBefore w:val="1"/>
          <w:wBefore w:w="244" w:type="pct"/>
        </w:trPr>
        <w:tc>
          <w:tcPr>
            <w:tcW w:w="3149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607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B15AC1">
        <w:trPr>
          <w:gridBefore w:val="1"/>
          <w:wBefore w:w="244" w:type="pct"/>
          <w:trHeight w:val="153"/>
        </w:trPr>
        <w:tc>
          <w:tcPr>
            <w:tcW w:w="3149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607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B15AC1" w:rsidRPr="002A5458" w14:paraId="2559AC16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275E4896" w14:textId="1F86834B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Chiara Rego</w:t>
            </w:r>
          </w:p>
        </w:tc>
        <w:tc>
          <w:tcPr>
            <w:tcW w:w="1307" w:type="pct"/>
          </w:tcPr>
          <w:p w14:paraId="6713689F" w14:textId="194E60E0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6EA19C90" w14:textId="54B7BC4E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4900235E" w14:textId="7E7C8FAB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15AC1" w:rsidRPr="002A5458" w14:paraId="5FE07F2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2242228" w14:textId="4553F044" w:rsidR="00B15AC1" w:rsidRDefault="00B15AC1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Olivia </w:t>
            </w:r>
            <w:proofErr w:type="spellStart"/>
            <w:r>
              <w:rPr>
                <w:rFonts w:ascii="Garamond" w:hAnsi="Garamond" w:cs="Didot"/>
              </w:rPr>
              <w:t>Tigri</w:t>
            </w:r>
            <w:proofErr w:type="spellEnd"/>
          </w:p>
        </w:tc>
        <w:tc>
          <w:tcPr>
            <w:tcW w:w="1307" w:type="pct"/>
          </w:tcPr>
          <w:p w14:paraId="6F3F3E22" w14:textId="73A6B50C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Sci/Spanish</w:t>
            </w:r>
          </w:p>
        </w:tc>
        <w:tc>
          <w:tcPr>
            <w:tcW w:w="1307" w:type="pct"/>
            <w:gridSpan w:val="2"/>
          </w:tcPr>
          <w:p w14:paraId="683F83E1" w14:textId="27BFE683" w:rsidR="00B15AC1" w:rsidRDefault="00B15AC1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67B32D5F" w14:textId="5FA133A3" w:rsidR="00B15AC1" w:rsidRDefault="00B15AC1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782F75F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4A92AB69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</w:t>
            </w:r>
            <w:r w:rsidR="00B15AC1">
              <w:rPr>
                <w:rFonts w:ascii="Garamond" w:hAnsi="Garamond" w:cs="Didot"/>
              </w:rPr>
              <w:t>2021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41EB1FF8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77777777" w:rsidR="006D2DF2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1292790C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5246F7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32F27A9D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923A8">
      <w:rPr>
        <w:rFonts w:ascii="Garamond" w:hAnsi="Garamond"/>
      </w:rPr>
      <w:t>0</w:t>
    </w:r>
    <w:r w:rsidR="005246F7">
      <w:rPr>
        <w:rFonts w:ascii="Garamond" w:hAnsi="Garamond"/>
      </w:rPr>
      <w:t>8</w:t>
    </w:r>
    <w:r>
      <w:rPr>
        <w:rFonts w:ascii="Garamond" w:hAnsi="Garamond"/>
      </w:rPr>
      <w:t>/</w:t>
    </w:r>
    <w:r w:rsidR="005246F7">
      <w:rPr>
        <w:rFonts w:ascii="Garamond" w:hAnsi="Garamond"/>
      </w:rPr>
      <w:t>31</w:t>
    </w:r>
    <w:r>
      <w:rPr>
        <w:rFonts w:ascii="Garamond" w:hAnsi="Garamond"/>
      </w:rPr>
      <w:t>/</w:t>
    </w:r>
    <w:r w:rsidR="00A923A8">
      <w:rPr>
        <w:rFonts w:ascii="Garamond" w:hAnsi="Garamond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4C0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09E4"/>
    <w:rsid w:val="00411ECC"/>
    <w:rsid w:val="00430AD9"/>
    <w:rsid w:val="00432895"/>
    <w:rsid w:val="00443B17"/>
    <w:rsid w:val="00457D37"/>
    <w:rsid w:val="004724FB"/>
    <w:rsid w:val="004D1421"/>
    <w:rsid w:val="004F171C"/>
    <w:rsid w:val="005246F7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5E6488"/>
    <w:rsid w:val="00636DC3"/>
    <w:rsid w:val="0066158C"/>
    <w:rsid w:val="00692A9F"/>
    <w:rsid w:val="006A2123"/>
    <w:rsid w:val="006A5DAB"/>
    <w:rsid w:val="006B3C54"/>
    <w:rsid w:val="006C7153"/>
    <w:rsid w:val="006D2DF2"/>
    <w:rsid w:val="006D49C2"/>
    <w:rsid w:val="00701234"/>
    <w:rsid w:val="00704346"/>
    <w:rsid w:val="00714D9A"/>
    <w:rsid w:val="007517BF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12F39"/>
    <w:rsid w:val="00B15AC1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55C72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7</cp:revision>
  <cp:lastPrinted>2021-04-16T18:47:00Z</cp:lastPrinted>
  <dcterms:created xsi:type="dcterms:W3CDTF">2021-04-16T18:47:00Z</dcterms:created>
  <dcterms:modified xsi:type="dcterms:W3CDTF">2021-08-31T15:13:00Z</dcterms:modified>
</cp:coreProperties>
</file>