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761"/>
          <w:sz w:val="72"/>
        </w:rPr>
        <w:t>Bus Module Architecture Analysis</w:t>
      </w:r>
    </w:p>
    <w:p/>
    <w:p>
      <w:pPr>
        <w:jc w:val="center"/>
      </w:pPr>
      <w:r>
        <w:rPr>
          <w:color w:val="666666"/>
          <w:sz w:val="24"/>
        </w:rPr>
        <w:t>Claude | 2026-03-27</w:t>
      </w:r>
    </w:p>
    <w:p>
      <w:r>
        <w:br w:type="page"/>
      </w:r>
    </w:p>
    <w:p>
      <w:pPr>
        <w:jc w:val="center"/>
      </w:pPr>
      <w:r>
        <w:rPr>
          <w:b/>
          <w:color w:val="1E2761"/>
          <w:sz w:val="48"/>
        </w:rPr>
        <w:t>Table of Contents</w:t>
      </w:r>
    </w:p>
    <w:p>
      <w:r>
        <w:fldChar w:fldCharType="begin"/>
      </w:r>
      <w:r>
        <w:instrText xml:space="preserve"> TOC \o "1-3" \h \z \u </w:instrText>
      </w:r>
      <w:r>
        <w:fldChar w:fldCharType="separate"/>
      </w:r>
      <w:r>
        <w:rPr>
          <w:color w:val="999999"/>
          <w:sz w:val="20"/>
        </w:rPr>
        <w:t>(Right-click → Update Field to generate TOC)</w:t>
      </w:r>
      <w:r>
        <w:fldChar w:fldCharType="end"/>
      </w:r>
    </w:p>
    <w:p>
      <w:r>
        <w:br w:type="page"/>
      </w:r>
    </w:p>
    <w:p>
      <w:pPr>
        <w:pStyle w:val="Heading1"/>
      </w:pPr>
      <w:r>
        <w:t>Bus Module Architecture Analysis</w:t>
      </w:r>
    </w:p>
    <w:p>
      <w:r>
        <w:rPr>
          <w:b/>
        </w:rPr>
        <w:t>Project:</w:t>
      </w:r>
      <w:r>
        <w:t xml:space="preserve"> quorum </w:t>
      </w:r>
      <w:r>
        <w:rPr>
          <w:b/>
        </w:rPr>
        <w:t>Date:</w:t>
      </w:r>
      <w:r>
        <w:t xml:space="preserve"> 2026-03-27 </w:t>
      </w:r>
      <w:r>
        <w:rPr>
          <w:b/>
        </w:rPr>
        <w:t>Author:</w:t>
      </w:r>
      <w:r>
        <w:t xml:space="preserve"> Claude</w:t>
      </w:r>
    </w:p>
    <w:p>
      <w:pPr>
        <w:pBdr>
          <w:bottom w:val="single" w:sz="6" w:space="1" w:color="CCCCCC"/>
        </w:pBdr>
      </w:pPr>
    </w:p>
    <w:p>
      <w:pPr>
        <w:pStyle w:val="Heading2"/>
      </w:pPr>
      <w:r>
        <w:t>1. Executive Summary</w:t>
      </w:r>
    </w:p>
    <w:p>
      <w:r>
        <w:t xml:space="preserve">The </w:t>
      </w:r>
      <w:r>
        <w:rPr>
          <w:rFonts w:ascii="Consolas" w:hAnsi="Consolas"/>
          <w:sz w:val="20"/>
          <w:shd w:fill="F5F5F5" w:val="clear"/>
        </w:rPr>
        <w:t>bus/</w:t>
      </w:r>
      <w:r>
        <w:t xml:space="preserve"> directory is the backbone of the quorum project -- a cross-model audit gate system with structural enforcement. It implements a unified, SQLite-backed event-driven architecture that replaces file-based IPC, JSON lock files, and markdown verdict files with a single source of truth. The module contains 17 TypeScript files spanning event storage, concurrency control, quality measurement, parliamentary deliberation, and process orchestration.</w:t>
      </w:r>
    </w:p>
    <w:p>
      <w:r>
        <w:t xml:space="preserve">The core design principle is: </w:t>
      </w:r>
      <w:r>
        <w:rPr>
          <w:b/>
        </w:rPr>
        <w:t>measurable things are not asked to the LLM</w:t>
      </w:r>
      <w:r>
        <w:t>. Deterministic quality gates (fitness scores, stagnation detection, confluence verification) operate mechanically, while LLM audit is reserved for subjective judgment that cannot be automated.</w:t>
      </w:r>
    </w:p>
    <w:p>
      <w:pPr>
        <w:pBdr>
          <w:bottom w:val="single" w:sz="6" w:space="1" w:color="CCCCCC"/>
        </w:pBdr>
      </w:pPr>
    </w:p>
    <w:p>
      <w:pPr>
        <w:pStyle w:val="Heading2"/>
      </w:pPr>
      <w:r>
        <w:t>2. Architecture Overview</w:t>
      </w:r>
    </w:p>
    <w:p>
      <w:r>
        <w:t>The bus/ modules form a layered architecture with three tiers: a persistence layer (EventStore + SQLite), a coordination layer (locks, claims, message bus), and a domain logic layer (fitness, parliament, orchestration).</w:t>
      </w:r>
    </w:p>
    <w:tbl>
      <w:tblPr>
        <w:tblW w:type="auto" w:w="0"/>
        <w:jc w:val="center"/>
        <w:tblLook w:firstColumn="1" w:firstRow="1" w:lastColumn="0" w:lastRow="0" w:noHBand="0" w:noVBand="1" w:val="04A0"/>
      </w:tblPr>
      <w:tblGrid>
        <w:gridCol w:w="8640"/>
      </w:tblGrid>
      <w:tr>
        <w:tc>
          <w:tcPr>
            <w:tcW w:type="dxa" w:w="8640"/>
            <w:shd w:fill="F5F5F5" w:val="clear"/>
          </w:tcPr>
          <w:p>
            <w:pPr>
              <w:spacing w:before="40" w:after="40"/>
            </w:pPr>
            <w:r>
              <w:rPr>
                <w:rFonts w:ascii="Consolas" w:hAnsi="Consolas"/>
                <w:color w:val="999999"/>
                <w:sz w:val="16"/>
              </w:rPr>
              <w:t>MERMAID</w:t>
              <w:br/>
            </w:r>
            <w:r>
              <w:rPr>
                <w:rFonts w:ascii="Consolas" w:hAnsi="Consolas"/>
                <w:sz w:val="18"/>
              </w:rPr>
              <w:t>flowchart TD</w:t>
            </w:r>
            <w:r>
              <w:br/>
            </w:r>
            <w:r>
              <w:rPr>
                <w:rFonts w:ascii="Consolas" w:hAnsi="Consolas"/>
                <w:sz w:val="18"/>
              </w:rPr>
              <w:t xml:space="preserve">    subgraph Persistence["Persistence Layer"]</w:t>
            </w:r>
            <w:r>
              <w:br/>
            </w:r>
            <w:r>
              <w:rPr>
                <w:rFonts w:ascii="Consolas" w:hAnsi="Consolas"/>
                <w:sz w:val="18"/>
              </w:rPr>
              <w:t xml:space="preserve">        ES[EventStore&lt;br/&gt;SQLite WAL]</w:t>
            </w:r>
            <w:r>
              <w:br/>
            </w:r>
            <w:r>
              <w:rPr>
                <w:rFonts w:ascii="Consolas" w:hAnsi="Consolas"/>
                <w:sz w:val="18"/>
              </w:rPr>
              <w:t xml:space="preserve">        EV[events.ts&lt;br/&gt;53 Event Types]</w:t>
            </w:r>
            <w:r>
              <w:br/>
            </w:r>
            <w:r>
              <w:rPr>
                <w:rFonts w:ascii="Consolas" w:hAnsi="Consolas"/>
                <w:sz w:val="18"/>
              </w:rPr>
              <w:t xml:space="preserve">    end</w:t>
            </w:r>
            <w:r>
              <w:br/>
            </w:r>
            <w:r>
              <w:rPr>
                <w:rFonts w:ascii="Consolas" w:hAnsi="Consolas"/>
                <w:sz w:val="18"/>
              </w:rPr>
            </w:r>
            <w:r>
              <w:br/>
            </w:r>
            <w:r>
              <w:rPr>
                <w:rFonts w:ascii="Consolas" w:hAnsi="Consolas"/>
                <w:sz w:val="18"/>
              </w:rPr>
              <w:t xml:space="preserve">    subgraph Coordination["Coordination Layer"]</w:t>
            </w:r>
            <w:r>
              <w:br/>
            </w:r>
            <w:r>
              <w:rPr>
                <w:rFonts w:ascii="Consolas" w:hAnsi="Consolas"/>
                <w:sz w:val="18"/>
              </w:rPr>
              <w:t xml:space="preserve">        BUS[QuorumBus&lt;br/&gt;Pub/Sub + Ring Buffer]</w:t>
            </w:r>
            <w:r>
              <w:br/>
            </w:r>
            <w:r>
              <w:rPr>
                <w:rFonts w:ascii="Consolas" w:hAnsi="Consolas"/>
                <w:sz w:val="18"/>
              </w:rPr>
              <w:t xml:space="preserve">        LS[LockService&lt;br/&gt;Atomic SQL Locks]</w:t>
            </w:r>
            <w:r>
              <w:br/>
            </w:r>
            <w:r>
              <w:rPr>
                <w:rFonts w:ascii="Consolas" w:hAnsi="Consolas"/>
                <w:sz w:val="18"/>
              </w:rPr>
              <w:t xml:space="preserve">        CS[ClaimService&lt;br/&gt;Per-File Ownership]</w:t>
            </w:r>
            <w:r>
              <w:br/>
            </w:r>
            <w:r>
              <w:rPr>
                <w:rFonts w:ascii="Consolas" w:hAnsi="Consolas"/>
                <w:sz w:val="18"/>
              </w:rPr>
              <w:t xml:space="preserve">        MB[MessageBus&lt;br/&gt;Finding-Level IPC]</w:t>
            </w:r>
            <w:r>
              <w:br/>
            </w:r>
            <w:r>
              <w:rPr>
                <w:rFonts w:ascii="Consolas" w:hAnsi="Consolas"/>
                <w:sz w:val="18"/>
              </w:rPr>
              <w:t xml:space="preserve">    end</w:t>
            </w:r>
            <w:r>
              <w:br/>
            </w:r>
            <w:r>
              <w:rPr>
                <w:rFonts w:ascii="Consolas" w:hAnsi="Consolas"/>
                <w:sz w:val="18"/>
              </w:rPr>
            </w:r>
            <w:r>
              <w:br/>
            </w:r>
            <w:r>
              <w:rPr>
                <w:rFonts w:ascii="Consolas" w:hAnsi="Consolas"/>
                <w:sz w:val="18"/>
              </w:rPr>
              <w:t xml:space="preserve">    subgraph Quality["Quality Gate Layer"]</w:t>
            </w:r>
            <w:r>
              <w:br/>
            </w:r>
            <w:r>
              <w:rPr>
                <w:rFonts w:ascii="Consolas" w:hAnsi="Consolas"/>
                <w:sz w:val="18"/>
              </w:rPr>
              <w:t xml:space="preserve">        FIT[fitness.ts&lt;br/&gt;7-Component Score]</w:t>
            </w:r>
            <w:r>
              <w:br/>
            </w:r>
            <w:r>
              <w:rPr>
                <w:rFonts w:ascii="Consolas" w:hAnsi="Consolas"/>
                <w:sz w:val="18"/>
              </w:rPr>
              <w:t xml:space="preserve">        FL[FitnessLoop&lt;br/&gt;Auto Gate]</w:t>
            </w:r>
            <w:r>
              <w:br/>
            </w:r>
            <w:r>
              <w:rPr>
                <w:rFonts w:ascii="Consolas" w:hAnsi="Consolas"/>
                <w:sz w:val="18"/>
              </w:rPr>
              <w:t xml:space="preserve">        ST[stagnation.ts&lt;br/&gt;7-Pattern Detection]</w:t>
            </w:r>
            <w:r>
              <w:br/>
            </w:r>
            <w:r>
              <w:rPr>
                <w:rFonts w:ascii="Consolas" w:hAnsi="Consolas"/>
                <w:sz w:val="18"/>
              </w:rPr>
              <w:t xml:space="preserve">        AL[auto-learn.ts&lt;br/&gt;Rule Suggestions]</w:t>
            </w:r>
            <w:r>
              <w:br/>
            </w:r>
            <w:r>
              <w:rPr>
                <w:rFonts w:ascii="Consolas" w:hAnsi="Consolas"/>
                <w:sz w:val="18"/>
              </w:rPr>
              <w:t xml:space="preserve">    end</w:t>
            </w:r>
            <w:r>
              <w:br/>
            </w:r>
            <w:r>
              <w:rPr>
                <w:rFonts w:ascii="Consolas" w:hAnsi="Consolas"/>
                <w:sz w:val="18"/>
              </w:rPr>
            </w:r>
            <w:r>
              <w:br/>
            </w:r>
            <w:r>
              <w:rPr>
                <w:rFonts w:ascii="Consolas" w:hAnsi="Consolas"/>
                <w:sz w:val="18"/>
              </w:rPr>
              <w:t xml:space="preserve">    subgraph Parliament["Parliament Layer"]</w:t>
            </w:r>
            <w:r>
              <w:br/>
            </w:r>
            <w:r>
              <w:rPr>
                <w:rFonts w:ascii="Consolas" w:hAnsi="Consolas"/>
                <w:sz w:val="18"/>
              </w:rPr>
              <w:t xml:space="preserve">        ML[meeting-log.ts&lt;br/&gt;3-Path Convergence]</w:t>
            </w:r>
            <w:r>
              <w:br/>
            </w:r>
            <w:r>
              <w:rPr>
                <w:rFonts w:ascii="Consolas" w:hAnsi="Consolas"/>
                <w:sz w:val="18"/>
              </w:rPr>
              <w:t xml:space="preserve">        AM[amendment.ts&lt;br/&gt;Majority Voting]</w:t>
            </w:r>
            <w:r>
              <w:br/>
            </w:r>
            <w:r>
              <w:rPr>
                <w:rFonts w:ascii="Consolas" w:hAnsi="Consolas"/>
                <w:sz w:val="18"/>
              </w:rPr>
              <w:t xml:space="preserve">        CF[confluence.ts&lt;br/&gt;4-Point Integrity]</w:t>
            </w:r>
            <w:r>
              <w:br/>
            </w:r>
            <w:r>
              <w:rPr>
                <w:rFonts w:ascii="Consolas" w:hAnsi="Consolas"/>
                <w:sz w:val="18"/>
              </w:rPr>
              <w:t xml:space="preserve">        NF[normal-form.ts&lt;br/&gt;Stage Tracking]</w:t>
            </w:r>
            <w:r>
              <w:br/>
            </w:r>
            <w:r>
              <w:rPr>
                <w:rFonts w:ascii="Consolas" w:hAnsi="Consolas"/>
                <w:sz w:val="18"/>
              </w:rPr>
              <w:t xml:space="preserve">        PG[parliament-gate.ts&lt;br/&gt;5 Enforcement Gates]</w:t>
            </w:r>
            <w:r>
              <w:br/>
            </w:r>
            <w:r>
              <w:rPr>
                <w:rFonts w:ascii="Consolas" w:hAnsi="Consolas"/>
                <w:sz w:val="18"/>
              </w:rPr>
              <w:t xml:space="preserve">    end</w:t>
            </w:r>
            <w:r>
              <w:br/>
            </w:r>
            <w:r>
              <w:rPr>
                <w:rFonts w:ascii="Consolas" w:hAnsi="Consolas"/>
                <w:sz w:val="18"/>
              </w:rPr>
            </w:r>
            <w:r>
              <w:br/>
            </w:r>
            <w:r>
              <w:rPr>
                <w:rFonts w:ascii="Consolas" w:hAnsi="Consolas"/>
                <w:sz w:val="18"/>
              </w:rPr>
              <w:t xml:space="preserve">    subgraph Execution["Execution Layer"]</w:t>
            </w:r>
            <w:r>
              <w:br/>
            </w:r>
            <w:r>
              <w:rPr>
                <w:rFonts w:ascii="Consolas" w:hAnsi="Consolas"/>
                <w:sz w:val="18"/>
              </w:rPr>
              <w:t xml:space="preserve">        PP[parallel.ts&lt;br/&gt;Graph Coloring]</w:t>
            </w:r>
            <w:r>
              <w:br/>
            </w:r>
            <w:r>
              <w:rPr>
                <w:rFonts w:ascii="Consolas" w:hAnsi="Consolas"/>
                <w:sz w:val="18"/>
              </w:rPr>
              <w:t xml:space="preserve">        ORC[orchestrator.ts&lt;br/&gt;5-Mode Selection]</w:t>
            </w:r>
            <w:r>
              <w:br/>
            </w:r>
            <w:r>
              <w:rPr>
                <w:rFonts w:ascii="Consolas" w:hAnsi="Consolas"/>
                <w:sz w:val="18"/>
              </w:rPr>
              <w:t xml:space="preserve">        MUX[mux.ts&lt;br/&gt;tmux/psmux/raw]</w:t>
            </w:r>
            <w:r>
              <w:br/>
            </w:r>
            <w:r>
              <w:rPr>
                <w:rFonts w:ascii="Consolas" w:hAnsi="Consolas"/>
                <w:sz w:val="18"/>
              </w:rPr>
              <w:t xml:space="preserve">        BP[blueprint-parser.ts&lt;br/&gt;Naming Lint]</w:t>
            </w:r>
            <w:r>
              <w:br/>
            </w:r>
            <w:r>
              <w:rPr>
                <w:rFonts w:ascii="Consolas" w:hAnsi="Consolas"/>
                <w:sz w:val="18"/>
              </w:rPr>
              <w:t xml:space="preserve">        PRJ[projector.ts&lt;br/&gt;SQL to Views]</w:t>
            </w:r>
            <w:r>
              <w:br/>
            </w:r>
            <w:r>
              <w:rPr>
                <w:rFonts w:ascii="Consolas" w:hAnsi="Consolas"/>
                <w:sz w:val="18"/>
              </w:rPr>
              <w:t xml:space="preserve">    end</w:t>
            </w:r>
            <w:r>
              <w:br/>
            </w:r>
            <w:r>
              <w:rPr>
                <w:rFonts w:ascii="Consolas" w:hAnsi="Consolas"/>
                <w:sz w:val="18"/>
              </w:rPr>
            </w:r>
            <w:r>
              <w:br/>
            </w:r>
            <w:r>
              <w:rPr>
                <w:rFonts w:ascii="Consolas" w:hAnsi="Consolas"/>
                <w:sz w:val="18"/>
              </w:rPr>
              <w:t xml:space="preserve">    EV --&gt; ES</w:t>
            </w:r>
            <w:r>
              <w:br/>
            </w:r>
            <w:r>
              <w:rPr>
                <w:rFonts w:ascii="Consolas" w:hAnsi="Consolas"/>
                <w:sz w:val="18"/>
              </w:rPr>
              <w:t xml:space="preserve">    ES --&gt; BUS</w:t>
            </w:r>
            <w:r>
              <w:br/>
            </w:r>
            <w:r>
              <w:rPr>
                <w:rFonts w:ascii="Consolas" w:hAnsi="Consolas"/>
                <w:sz w:val="18"/>
              </w:rPr>
              <w:t xml:space="preserve">    ES --&gt; LS</w:t>
            </w:r>
            <w:r>
              <w:br/>
            </w:r>
            <w:r>
              <w:rPr>
                <w:rFonts w:ascii="Consolas" w:hAnsi="Consolas"/>
                <w:sz w:val="18"/>
              </w:rPr>
              <w:t xml:space="preserve">    ES --&gt; CS</w:t>
            </w:r>
            <w:r>
              <w:br/>
            </w:r>
            <w:r>
              <w:rPr>
                <w:rFonts w:ascii="Consolas" w:hAnsi="Consolas"/>
                <w:sz w:val="18"/>
              </w:rPr>
              <w:t xml:space="preserve">    ES --&gt; MB</w:t>
            </w:r>
            <w:r>
              <w:br/>
            </w:r>
            <w:r>
              <w:rPr>
                <w:rFonts w:ascii="Consolas" w:hAnsi="Consolas"/>
                <w:sz w:val="18"/>
              </w:rPr>
              <w:t xml:space="preserve">    ES --&gt; FL</w:t>
            </w:r>
            <w:r>
              <w:br/>
            </w:r>
            <w:r>
              <w:rPr>
                <w:rFonts w:ascii="Consolas" w:hAnsi="Consolas"/>
                <w:sz w:val="18"/>
              </w:rPr>
              <w:t xml:space="preserve">    ES --&gt; ML</w:t>
            </w:r>
            <w:r>
              <w:br/>
            </w:r>
            <w:r>
              <w:rPr>
                <w:rFonts w:ascii="Consolas" w:hAnsi="Consolas"/>
                <w:sz w:val="18"/>
              </w:rPr>
              <w:t xml:space="preserve">    ES --&gt; AM</w:t>
            </w:r>
            <w:r>
              <w:br/>
            </w:r>
            <w:r>
              <w:rPr>
                <w:rFonts w:ascii="Consolas" w:hAnsi="Consolas"/>
                <w:sz w:val="18"/>
              </w:rPr>
              <w:t xml:space="preserve">    ES --&gt; CF</w:t>
            </w:r>
            <w:r>
              <w:br/>
            </w:r>
            <w:r>
              <w:rPr>
                <w:rFonts w:ascii="Consolas" w:hAnsi="Consolas"/>
                <w:sz w:val="18"/>
              </w:rPr>
              <w:t xml:space="preserve">    ES --&gt; NF</w:t>
            </w:r>
            <w:r>
              <w:br/>
            </w:r>
            <w:r>
              <w:rPr>
                <w:rFonts w:ascii="Consolas" w:hAnsi="Consolas"/>
                <w:sz w:val="18"/>
              </w:rPr>
              <w:t xml:space="preserve">    ES --&gt; PG</w:t>
            </w:r>
            <w:r>
              <w:br/>
            </w:r>
            <w:r>
              <w:rPr>
                <w:rFonts w:ascii="Consolas" w:hAnsi="Consolas"/>
                <w:sz w:val="18"/>
              </w:rPr>
              <w:t xml:space="preserve">    ES --&gt; PRJ</w:t>
            </w:r>
            <w:r>
              <w:br/>
            </w:r>
            <w:r>
              <w:rPr>
                <w:rFonts w:ascii="Consolas" w:hAnsi="Consolas"/>
                <w:sz w:val="18"/>
              </w:rPr>
            </w:r>
            <w:r>
              <w:br/>
            </w:r>
            <w:r>
              <w:rPr>
                <w:rFonts w:ascii="Consolas" w:hAnsi="Consolas"/>
                <w:sz w:val="18"/>
              </w:rPr>
              <w:t xml:space="preserve">    BUS --&gt; MB</w:t>
            </w:r>
            <w:r>
              <w:br/>
            </w:r>
            <w:r>
              <w:rPr>
                <w:rFonts w:ascii="Consolas" w:hAnsi="Consolas"/>
                <w:sz w:val="18"/>
              </w:rPr>
              <w:t xml:space="preserve">    CS --&gt; PP</w:t>
            </w:r>
            <w:r>
              <w:br/>
            </w:r>
            <w:r>
              <w:rPr>
                <w:rFonts w:ascii="Consolas" w:hAnsi="Consolas"/>
                <w:sz w:val="18"/>
              </w:rPr>
              <w:t xml:space="preserve">    PP --&gt; ORC</w:t>
            </w:r>
            <w:r>
              <w:br/>
            </w:r>
            <w:r>
              <w:rPr>
                <w:rFonts w:ascii="Consolas" w:hAnsi="Consolas"/>
                <w:sz w:val="18"/>
              </w:rPr>
              <w:t xml:space="preserve">    FIT --&gt; FL</w:t>
            </w:r>
            <w:r>
              <w:br/>
            </w:r>
            <w:r>
              <w:rPr>
                <w:rFonts w:ascii="Consolas" w:hAnsi="Consolas"/>
                <w:sz w:val="18"/>
              </w:rPr>
              <w:t xml:space="preserve">    FL --&gt; ST</w:t>
            </w:r>
            <w:r>
              <w:br/>
            </w:r>
            <w:r>
              <w:rPr>
                <w:rFonts w:ascii="Consolas" w:hAnsi="Consolas"/>
                <w:sz w:val="18"/>
              </w:rPr>
              <w:t xml:space="preserve">    ST --&gt; AL</w:t>
            </w:r>
            <w:r>
              <w:br/>
            </w:r>
            <w:r>
              <w:rPr>
                <w:rFonts w:ascii="Consolas" w:hAnsi="Consolas"/>
                <w:sz w:val="18"/>
              </w:rPr>
              <w:t xml:space="preserve">    ML --&gt; CF</w:t>
            </w:r>
            <w:r>
              <w:br/>
            </w:r>
            <w:r>
              <w:rPr>
                <w:rFonts w:ascii="Consolas" w:hAnsi="Consolas"/>
                <w:sz w:val="18"/>
              </w:rPr>
              <w:t xml:space="preserve">    ML --&gt; NF</w:t>
            </w:r>
            <w:r>
              <w:br/>
            </w:r>
            <w:r>
              <w:rPr>
                <w:rFonts w:ascii="Consolas" w:hAnsi="Consolas"/>
                <w:sz w:val="18"/>
              </w:rPr>
              <w:t xml:space="preserve">    AM --&gt; PG</w:t>
            </w:r>
            <w:r>
              <w:br/>
            </w:r>
            <w:r>
              <w:rPr>
                <w:rFonts w:ascii="Consolas" w:hAnsi="Consolas"/>
                <w:sz w:val="18"/>
              </w:rPr>
              <w:t xml:space="preserve">    CF --&gt; PG</w:t>
            </w:r>
            <w:r>
              <w:br/>
            </w:r>
            <w:r>
              <w:rPr>
                <w:rFonts w:ascii="Consolas" w:hAnsi="Consolas"/>
                <w:sz w:val="18"/>
              </w:rPr>
              <w:t xml:space="preserve">    NF --&gt; PG</w:t>
            </w:r>
          </w:p>
        </w:tc>
      </w:tr>
    </w:tbl>
    <w:p/>
    <w:p>
      <w:pPr>
        <w:pBdr>
          <w:bottom w:val="single" w:sz="6" w:space="1" w:color="CCCCCC"/>
        </w:pBdr>
      </w:pPr>
    </w:p>
    <w:p>
      <w:pPr>
        <w:pStyle w:val="Heading2"/>
      </w:pPr>
      <w:r>
        <w:t>3. Module Inventory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2761" w:val="clear"/>
          </w:tcPr>
          <w:p>
            <w:pPr>
              <w:jc w:val="center"/>
            </w:pPr>
            <w:r>
              <w:rPr>
                <w:b/>
                <w:color w:val="FFFFFF"/>
                <w:sz w:val="20"/>
              </w:rPr>
              <w:t>Module</w:t>
            </w:r>
          </w:p>
        </w:tc>
        <w:tc>
          <w:tcPr>
            <w:tcW w:type="dxa" w:w="2880"/>
            <w:shd w:fill="1E2761" w:val="clear"/>
          </w:tcPr>
          <w:p>
            <w:pPr>
              <w:jc w:val="center"/>
            </w:pPr>
            <w:r>
              <w:rPr>
                <w:b/>
                <w:color w:val="FFFFFF"/>
                <w:sz w:val="20"/>
              </w:rPr>
              <w:t>Role</w:t>
            </w:r>
          </w:p>
        </w:tc>
        <w:tc>
          <w:tcPr>
            <w:tcW w:type="dxa" w:w="2880"/>
            <w:shd w:fill="1E2761" w:val="clear"/>
          </w:tcPr>
          <w:p>
            <w:pPr>
              <w:jc w:val="center"/>
            </w:pPr>
            <w:r>
              <w:rPr>
                <w:b/>
                <w:color w:val="FFFFFF"/>
                <w:sz w:val="20"/>
              </w:rPr>
              <w:t>Key Pattern</w:t>
            </w:r>
          </w:p>
        </w:tc>
      </w:tr>
      <w:tr>
        <w:tc>
          <w:tcPr>
            <w:tcW w:type="dxa" w:w="2880"/>
          </w:tcPr>
          <w:p>
            <w:r>
              <w:rPr>
                <w:sz w:val="20"/>
              </w:rPr>
              <w:t>**store.ts**</w:t>
            </w:r>
          </w:p>
        </w:tc>
        <w:tc>
          <w:tcPr>
            <w:tcW w:type="dxa" w:w="2880"/>
          </w:tcPr>
          <w:p>
            <w:r>
              <w:rPr>
                <w:sz w:val="20"/>
              </w:rPr>
              <w:t>SQLite-backed event storage with WAL mode, UnitOfWork, and TransactionalUnitOfWork</w:t>
            </w:r>
          </w:p>
        </w:tc>
        <w:tc>
          <w:tcPr>
            <w:tcW w:type="dxa" w:w="2880"/>
          </w:tcPr>
          <w:p>
            <w:r>
              <w:rPr>
                <w:sz w:val="20"/>
              </w:rPr>
              <w:t>Ouroboros pattern: hooks write, TUI reads, shared DB</w:t>
            </w:r>
          </w:p>
        </w:tc>
      </w:tr>
      <w:tr>
        <w:tc>
          <w:tcPr>
            <w:tcW w:type="dxa" w:w="2880"/>
            <w:shd w:fill="F0F4F8" w:val="clear"/>
          </w:tcPr>
          <w:p>
            <w:r>
              <w:rPr>
                <w:sz w:val="20"/>
              </w:rPr>
              <w:t>**bus.ts**</w:t>
            </w:r>
          </w:p>
        </w:tc>
        <w:tc>
          <w:tcPr>
            <w:tcW w:type="dxa" w:w="2880"/>
            <w:shd w:fill="F0F4F8" w:val="clear"/>
          </w:tcPr>
          <w:p>
            <w:r>
              <w:rPr>
                <w:sz w:val="20"/>
              </w:rPr>
              <w:t>In-process pub/sub with ring buffer, SQLite or JSONL backend</w:t>
            </w:r>
          </w:p>
        </w:tc>
        <w:tc>
          <w:tcPr>
            <w:tcW w:type="dxa" w:w="2880"/>
            <w:shd w:fill="F0F4F8" w:val="clear"/>
          </w:tcPr>
          <w:p>
            <w:r>
              <w:rPr>
                <w:sz w:val="20"/>
              </w:rPr>
              <w:t>EventEmitter + persistence delegation</w:t>
            </w:r>
          </w:p>
        </w:tc>
      </w:tr>
      <w:tr>
        <w:tc>
          <w:tcPr>
            <w:tcW w:type="dxa" w:w="2880"/>
          </w:tcPr>
          <w:p>
            <w:r>
              <w:rPr>
                <w:sz w:val="20"/>
              </w:rPr>
              <w:t>**events.ts**</w:t>
            </w:r>
          </w:p>
        </w:tc>
        <w:tc>
          <w:tcPr>
            <w:tcW w:type="dxa" w:w="2880"/>
          </w:tcPr>
          <w:p>
            <w:r>
              <w:rPr>
                <w:sz w:val="20"/>
              </w:rPr>
              <w:t>53 event types, typed payloads, factory function</w:t>
            </w:r>
          </w:p>
        </w:tc>
        <w:tc>
          <w:tcPr>
            <w:tcW w:type="dxa" w:w="2880"/>
          </w:tcPr>
          <w:p>
            <w:r>
              <w:rPr>
                <w:sz w:val="20"/>
              </w:rPr>
              <w:t>Common protocol: all providers normalize to these types</w:t>
            </w:r>
          </w:p>
        </w:tc>
      </w:tr>
      <w:tr>
        <w:tc>
          <w:tcPr>
            <w:tcW w:type="dxa" w:w="2880"/>
            <w:shd w:fill="F0F4F8" w:val="clear"/>
          </w:tcPr>
          <w:p>
            <w:r>
              <w:rPr>
                <w:sz w:val="20"/>
              </w:rPr>
              <w:t>**lock.ts**</w:t>
            </w:r>
          </w:p>
        </w:tc>
        <w:tc>
          <w:tcPr>
            <w:tcW w:type="dxa" w:w="2880"/>
            <w:shd w:fill="F0F4F8" w:val="clear"/>
          </w:tcPr>
          <w:p>
            <w:r>
              <w:rPr>
                <w:sz w:val="20"/>
              </w:rPr>
              <w:t>Atomic lock acquisition via INSERT...ON CONFLICT</w:t>
            </w:r>
          </w:p>
        </w:tc>
        <w:tc>
          <w:tcPr>
            <w:tcW w:type="dxa" w:w="2880"/>
            <w:shd w:fill="F0F4F8" w:val="clear"/>
          </w:tcPr>
          <w:p>
            <w:r>
              <w:rPr>
                <w:sz w:val="20"/>
              </w:rPr>
              <w:t>TOCTOU-free, TTL-based expiry, replaces JSON lock files</w:t>
            </w:r>
          </w:p>
        </w:tc>
      </w:tr>
      <w:tr>
        <w:tc>
          <w:tcPr>
            <w:tcW w:type="dxa" w:w="2880"/>
          </w:tcPr>
          <w:p>
            <w:r>
              <w:rPr>
                <w:sz w:val="20"/>
              </w:rPr>
              <w:t>**claim.ts**</w:t>
            </w:r>
          </w:p>
        </w:tc>
        <w:tc>
          <w:tcPr>
            <w:tcW w:type="dxa" w:w="2880"/>
          </w:tcPr>
          <w:p>
            <w:r>
              <w:rPr>
                <w:sz w:val="20"/>
              </w:rPr>
              <w:t>Per-file ownership for parallel agents</w:t>
            </w:r>
          </w:p>
        </w:tc>
        <w:tc>
          <w:tcPr>
            <w:tcW w:type="dxa" w:w="2880"/>
          </w:tcPr>
          <w:p>
            <w:r>
              <w:rPr>
                <w:sz w:val="20"/>
              </w:rPr>
              <w:t>All-or-nothing atomic claims, same SQL pattern as LockService</w:t>
            </w:r>
          </w:p>
        </w:tc>
      </w:tr>
      <w:tr>
        <w:tc>
          <w:tcPr>
            <w:tcW w:type="dxa" w:w="2880"/>
            <w:shd w:fill="F0F4F8" w:val="clear"/>
          </w:tcPr>
          <w:p>
            <w:r>
              <w:rPr>
                <w:sz w:val="20"/>
              </w:rPr>
              <w:t>**message-bus.ts**</w:t>
            </w:r>
          </w:p>
        </w:tc>
        <w:tc>
          <w:tcPr>
            <w:tcW w:type="dxa" w:w="2880"/>
            <w:shd w:fill="F0F4F8" w:val="clear"/>
          </w:tcPr>
          <w:p>
            <w:r>
              <w:rPr>
                <w:sz w:val="20"/>
              </w:rPr>
              <w:t>Finding-level communication with 3-layer progressive disclosure</w:t>
            </w:r>
          </w:p>
        </w:tc>
        <w:tc>
          <w:tcPr>
            <w:tcW w:type="dxa" w:w="2880"/>
            <w:shd w:fill="F0F4F8" w:val="clear"/>
          </w:tcPr>
          <w:p>
            <w:r>
              <w:rPr>
                <w:sz w:val="20"/>
              </w:rPr>
              <w:t>Dedup, threading, context revival, agent-to-agent queries</w:t>
            </w:r>
          </w:p>
        </w:tc>
      </w:tr>
      <w:tr>
        <w:tc>
          <w:tcPr>
            <w:tcW w:type="dxa" w:w="2880"/>
          </w:tcPr>
          <w:p>
            <w:r>
              <w:rPr>
                <w:sz w:val="20"/>
              </w:rPr>
              <w:t>**parallel.ts**</w:t>
            </w:r>
          </w:p>
        </w:tc>
        <w:tc>
          <w:tcPr>
            <w:tcW w:type="dxa" w:w="2880"/>
          </w:tcPr>
          <w:p>
            <w:r>
              <w:rPr>
                <w:sz w:val="20"/>
              </w:rPr>
              <w:t>Dependency-driven execution groups via graph coloring</w:t>
            </w:r>
          </w:p>
        </w:tc>
        <w:tc>
          <w:tcPr>
            <w:tcW w:type="dxa" w:w="2880"/>
          </w:tcPr>
          <w:p>
            <w:r>
              <w:rPr>
                <w:sz w:val="20"/>
              </w:rPr>
              <w:t>Greedy coloring + Kahn's topological sort</w:t>
            </w:r>
          </w:p>
        </w:tc>
      </w:tr>
      <w:tr>
        <w:tc>
          <w:tcPr>
            <w:tcW w:type="dxa" w:w="2880"/>
            <w:shd w:fill="F0F4F8" w:val="clear"/>
          </w:tcPr>
          <w:p>
            <w:r>
              <w:rPr>
                <w:sz w:val="20"/>
              </w:rPr>
              <w:t>**orchestrator.ts**</w:t>
            </w:r>
          </w:p>
        </w:tc>
        <w:tc>
          <w:tcPr>
            <w:tcW w:type="dxa" w:w="2880"/>
            <w:shd w:fill="F0F4F8" w:val="clear"/>
          </w:tcPr>
          <w:p>
            <w:r>
              <w:rPr>
                <w:sz w:val="20"/>
              </w:rPr>
              <w:t>5-mode auto-selection (serial/parallel/fan-out/pipeline/hybrid)</w:t>
            </w:r>
          </w:p>
        </w:tc>
        <w:tc>
          <w:tcPr>
            <w:tcW w:type="dxa" w:w="2880"/>
            <w:shd w:fill="F0F4F8" w:val="clear"/>
          </w:tcPr>
          <w:p>
            <w:r>
              <w:rPr>
                <w:sz w:val="20"/>
              </w:rPr>
              <w:t>Conflict density + dependency topology analysis</w:t>
            </w:r>
          </w:p>
        </w:tc>
      </w:tr>
      <w:tr>
        <w:tc>
          <w:tcPr>
            <w:tcW w:type="dxa" w:w="2880"/>
          </w:tcPr>
          <w:p>
            <w:r>
              <w:rPr>
                <w:sz w:val="20"/>
              </w:rPr>
              <w:t>**fitness.ts**</w:t>
            </w:r>
          </w:p>
        </w:tc>
        <w:tc>
          <w:tcPr>
            <w:tcW w:type="dxa" w:w="2880"/>
          </w:tcPr>
          <w:p>
            <w:r>
              <w:rPr>
                <w:sz w:val="20"/>
              </w:rPr>
              <w:t>7-component quality metric (0.0-1.0)</w:t>
            </w:r>
          </w:p>
        </w:tc>
        <w:tc>
          <w:tcPr>
            <w:tcW w:type="dxa" w:w="2880"/>
          </w:tcPr>
          <w:p>
            <w:r>
              <w:rPr>
                <w:sz w:val="20"/>
              </w:rPr>
              <w:t>Deterministic: type safety, tests, patterns, build, complexity, security, deps</w:t>
            </w:r>
          </w:p>
        </w:tc>
      </w:tr>
      <w:tr>
        <w:tc>
          <w:tcPr>
            <w:tcW w:type="dxa" w:w="2880"/>
            <w:shd w:fill="F0F4F8" w:val="clear"/>
          </w:tcPr>
          <w:p>
            <w:r>
              <w:rPr>
                <w:sz w:val="20"/>
              </w:rPr>
              <w:t>**fitness-loop.ts**</w:t>
            </w:r>
          </w:p>
        </w:tc>
        <w:tc>
          <w:tcPr>
            <w:tcW w:type="dxa" w:w="2880"/>
            <w:shd w:fill="F0F4F8" w:val="clear"/>
          </w:tcPr>
          <w:p>
            <w:r>
              <w:rPr>
                <w:sz w:val="20"/>
              </w:rPr>
              <w:t>Autonomous quality gate (proceed/self-correct/auto-reject)</w:t>
            </w:r>
          </w:p>
        </w:tc>
        <w:tc>
          <w:tcPr>
            <w:tcW w:type="dxa" w:w="2880"/>
            <w:shd w:fill="F0F4F8" w:val="clear"/>
          </w:tcPr>
          <w:p>
            <w:r>
              <w:rPr>
                <w:sz w:val="20"/>
              </w:rPr>
              <w:t>Baseline comparison with configurable thresholds</w:t>
            </w:r>
          </w:p>
        </w:tc>
      </w:tr>
      <w:tr>
        <w:tc>
          <w:tcPr>
            <w:tcW w:type="dxa" w:w="2880"/>
          </w:tcPr>
          <w:p>
            <w:r>
              <w:rPr>
                <w:sz w:val="20"/>
              </w:rPr>
              <w:t>**stagnation.ts**</w:t>
            </w:r>
          </w:p>
        </w:tc>
        <w:tc>
          <w:tcPr>
            <w:tcW w:type="dxa" w:w="2880"/>
          </w:tcPr>
          <w:p>
            <w:r>
              <w:rPr>
                <w:sz w:val="20"/>
              </w:rPr>
              <w:t>7-pattern detection for audit loop cycling</w:t>
            </w:r>
          </w:p>
        </w:tc>
        <w:tc>
          <w:tcPr>
            <w:tcW w:type="dxa" w:w="2880"/>
          </w:tcPr>
          <w:p>
            <w:r>
              <w:rPr>
                <w:sz w:val="20"/>
              </w:rPr>
              <w:t>spinning, oscillation, no-drift, diminishing-returns, plateau, expansion, divergence</w:t>
            </w:r>
          </w:p>
        </w:tc>
      </w:tr>
      <w:tr>
        <w:tc>
          <w:tcPr>
            <w:tcW w:type="dxa" w:w="2880"/>
            <w:shd w:fill="F0F4F8" w:val="clear"/>
          </w:tcPr>
          <w:p>
            <w:r>
              <w:rPr>
                <w:sz w:val="20"/>
              </w:rPr>
              <w:t>**auto-learn.ts**</w:t>
            </w:r>
          </w:p>
        </w:tc>
        <w:tc>
          <w:tcPr>
            <w:tcW w:type="dxa" w:w="2880"/>
            <w:shd w:fill="F0F4F8" w:val="clear"/>
          </w:tcPr>
          <w:p>
            <w:r>
              <w:rPr>
                <w:sz w:val="20"/>
              </w:rPr>
              <w:t>Repeat pattern detection from audit history</w:t>
            </w:r>
          </w:p>
        </w:tc>
        <w:tc>
          <w:tcPr>
            <w:tcW w:type="dxa" w:w="2880"/>
            <w:shd w:fill="F0F4F8" w:val="clear"/>
          </w:tcPr>
          <w:p>
            <w:r>
              <w:rPr>
                <w:sz w:val="20"/>
              </w:rPr>
              <w:t>3+ occurrences trigger CLAUDE.md rule suggestions</w:t>
            </w:r>
          </w:p>
        </w:tc>
      </w:tr>
      <w:tr>
        <w:tc>
          <w:tcPr>
            <w:tcW w:type="dxa" w:w="2880"/>
          </w:tcPr>
          <w:p>
            <w:r>
              <w:rPr>
                <w:sz w:val="20"/>
              </w:rPr>
              <w:t>**meeting-log.ts**</w:t>
            </w:r>
          </w:p>
        </w:tc>
        <w:tc>
          <w:tcPr>
            <w:tcW w:type="dxa" w:w="2880"/>
          </w:tcPr>
          <w:p>
            <w:r>
              <w:rPr>
                <w:sz w:val="20"/>
              </w:rPr>
              <w:t>Meeting accumulation and 3-path convergence detection</w:t>
            </w:r>
          </w:p>
        </w:tc>
        <w:tc>
          <w:tcPr>
            <w:tcW w:type="dxa" w:w="2880"/>
          </w:tcPr>
          <w:p>
            <w:r>
              <w:rPr>
                <w:sz w:val="20"/>
              </w:rPr>
              <w:t>exact / no-new-items / relaxed convergence, CPS generation</w:t>
            </w:r>
          </w:p>
        </w:tc>
      </w:tr>
      <w:tr>
        <w:tc>
          <w:tcPr>
            <w:tcW w:type="dxa" w:w="2880"/>
            <w:shd w:fill="F0F4F8" w:val="clear"/>
          </w:tcPr>
          <w:p>
            <w:r>
              <w:rPr>
                <w:sz w:val="20"/>
              </w:rPr>
              <w:t>**amendment.ts**</w:t>
            </w:r>
          </w:p>
        </w:tc>
        <w:tc>
          <w:tcPr>
            <w:tcW w:type="dxa" w:w="2880"/>
            <w:shd w:fill="F0F4F8" w:val="clear"/>
          </w:tcPr>
          <w:p>
            <w:r>
              <w:rPr>
                <w:sz w:val="20"/>
              </w:rPr>
              <w:t>Legislative change management with majority voting</w:t>
            </w:r>
          </w:p>
        </w:tc>
        <w:tc>
          <w:tcPr>
            <w:tcW w:type="dxa" w:w="2880"/>
            <w:shd w:fill="F0F4F8" w:val="clear"/>
          </w:tcPr>
          <w:p>
            <w:r>
              <w:rPr>
                <w:sz w:val="20"/>
              </w:rPr>
              <w:t>propose / vote / resolve lifecycle</w:t>
            </w:r>
          </w:p>
        </w:tc>
      </w:tr>
      <w:tr>
        <w:tc>
          <w:tcPr>
            <w:tcW w:type="dxa" w:w="2880"/>
          </w:tcPr>
          <w:p>
            <w:r>
              <w:rPr>
                <w:sz w:val="20"/>
              </w:rPr>
              <w:t>**confluence.ts**</w:t>
            </w:r>
          </w:p>
        </w:tc>
        <w:tc>
          <w:tcPr>
            <w:tcW w:type="dxa" w:w="2880"/>
          </w:tcPr>
          <w:p>
            <w:r>
              <w:rPr>
                <w:sz w:val="20"/>
              </w:rPr>
              <w:t>Post-audit 4-point integrity verification</w:t>
            </w:r>
          </w:p>
        </w:tc>
        <w:tc>
          <w:tcPr>
            <w:tcW w:type="dxa" w:w="2880"/>
          </w:tcPr>
          <w:p>
            <w:r>
              <w:rPr>
                <w:sz w:val="20"/>
              </w:rPr>
              <w:t>Law-Code, Part-Whole, Intent-Result, Law-Law checks</w:t>
            </w:r>
          </w:p>
        </w:tc>
      </w:tr>
      <w:tr>
        <w:tc>
          <w:tcPr>
            <w:tcW w:type="dxa" w:w="2880"/>
            <w:shd w:fill="F0F4F8" w:val="clear"/>
          </w:tcPr>
          <w:p>
            <w:r>
              <w:rPr>
                <w:sz w:val="20"/>
              </w:rPr>
              <w:t>**normal-form.ts**</w:t>
            </w:r>
          </w:p>
        </w:tc>
        <w:tc>
          <w:tcPr>
            <w:tcW w:type="dxa" w:w="2880"/>
            <w:shd w:fill="F0F4F8" w:val="clear"/>
          </w:tcPr>
          <w:p>
            <w:r>
              <w:rPr>
                <w:sz w:val="20"/>
              </w:rPr>
              <w:t>Convergence tracking: Raw Output to Normal Form</w:t>
            </w:r>
          </w:p>
        </w:tc>
        <w:tc>
          <w:tcPr>
            <w:tcW w:type="dxa" w:w="2880"/>
            <w:shd w:fill="F0F4F8" w:val="clear"/>
          </w:tcPr>
          <w:p>
            <w:r>
              <w:rPr>
                <w:sz w:val="20"/>
              </w:rPr>
              <w:t>Per-provider stage tracking, regression detection</w:t>
            </w:r>
          </w:p>
        </w:tc>
      </w:tr>
      <w:tr>
        <w:tc>
          <w:tcPr>
            <w:tcW w:type="dxa" w:w="2880"/>
          </w:tcPr>
          <w:p>
            <w:r>
              <w:rPr>
                <w:sz w:val="20"/>
              </w:rPr>
              <w:t>**parliament-gate.ts**</w:t>
            </w:r>
          </w:p>
        </w:tc>
        <w:tc>
          <w:tcPr>
            <w:tcW w:type="dxa" w:w="2880"/>
          </w:tcPr>
          <w:p>
            <w:r>
              <w:rPr>
                <w:sz w:val="20"/>
              </w:rPr>
              <w:t>5 structural enforcement gates that block work</w:t>
            </w:r>
          </w:p>
        </w:tc>
        <w:tc>
          <w:tcPr>
            <w:tcW w:type="dxa" w:w="2880"/>
          </w:tcPr>
          <w:p>
            <w:r>
              <w:rPr>
                <w:sz w:val="20"/>
              </w:rPr>
              <w:t>Amendment, Verdict, Confluence, Design, Regression gates</w:t>
            </w:r>
          </w:p>
        </w:tc>
      </w:tr>
      <w:tr>
        <w:tc>
          <w:tcPr>
            <w:tcW w:type="dxa" w:w="2880"/>
            <w:shd w:fill="F0F4F8" w:val="clear"/>
          </w:tcPr>
          <w:p>
            <w:r>
              <w:rPr>
                <w:sz w:val="20"/>
              </w:rPr>
              <w:t>**projector.ts**</w:t>
            </w:r>
          </w:p>
        </w:tc>
        <w:tc>
          <w:tcPr>
            <w:tcW w:type="dxa" w:w="2880"/>
            <w:shd w:fill="F0F4F8" w:val="clear"/>
          </w:tcPr>
          <w:p>
            <w:r>
              <w:rPr>
                <w:sz w:val="20"/>
              </w:rPr>
              <w:t>SQLite to view generation for daemon TUI</w:t>
            </w:r>
          </w:p>
        </w:tc>
        <w:tc>
          <w:tcPr>
            <w:tcW w:type="dxa" w:w="2880"/>
            <w:shd w:fill="F0F4F8" w:val="clear"/>
          </w:tcPr>
          <w:p>
            <w:r>
              <w:rPr>
                <w:sz w:val="20"/>
              </w:rPr>
              <w:t>Read-only query wrappers for item states and parliament</w:t>
            </w:r>
          </w:p>
        </w:tc>
      </w:tr>
      <w:tr>
        <w:tc>
          <w:tcPr>
            <w:tcW w:type="dxa" w:w="2880"/>
          </w:tcPr>
          <w:p>
            <w:r>
              <w:rPr>
                <w:sz w:val="20"/>
              </w:rPr>
              <w:t>**mux.ts**</w:t>
            </w:r>
          </w:p>
        </w:tc>
        <w:tc>
          <w:tcPr>
            <w:tcW w:type="dxa" w:w="2880"/>
          </w:tcPr>
          <w:p>
            <w:r>
              <w:rPr>
                <w:sz w:val="20"/>
              </w:rPr>
              <w:t>Cross-platform process multiplexer</w:t>
            </w:r>
          </w:p>
        </w:tc>
        <w:tc>
          <w:tcPr>
            <w:tcW w:type="dxa" w:w="2880"/>
          </w:tcPr>
          <w:p>
            <w:r>
              <w:rPr>
                <w:sz w:val="20"/>
              </w:rPr>
              <w:t>tmux (Unix) / psmux (Windows) / raw fallback</w:t>
            </w:r>
          </w:p>
        </w:tc>
      </w:tr>
      <w:tr>
        <w:tc>
          <w:tcPr>
            <w:tcW w:type="dxa" w:w="2880"/>
            <w:shd w:fill="F0F4F8" w:val="clear"/>
          </w:tcPr>
          <w:p>
            <w:r>
              <w:rPr>
                <w:sz w:val="20"/>
              </w:rPr>
              <w:t>**blueprint-parser.ts**</w:t>
            </w:r>
          </w:p>
        </w:tc>
        <w:tc>
          <w:tcPr>
            <w:tcW w:type="dxa" w:w="2880"/>
            <w:shd w:fill="F0F4F8" w:val="clear"/>
          </w:tcPr>
          <w:p>
            <w:r>
              <w:rPr>
                <w:sz w:val="20"/>
              </w:rPr>
              <w:t>Design phase naming convention extraction and lint</w:t>
            </w:r>
          </w:p>
        </w:tc>
        <w:tc>
          <w:tcPr>
            <w:tcW w:type="dxa" w:w="2880"/>
            <w:shd w:fill="F0F4F8" w:val="clear"/>
          </w:tcPr>
          <w:p>
            <w:r>
              <w:rPr>
                <w:sz w:val="20"/>
              </w:rPr>
              <w:t>Parses Blueprint markdown tables into enforceable rules</w:t>
            </w:r>
          </w:p>
        </w:tc>
      </w:tr>
    </w:tbl>
    <w:p/>
    <w:p>
      <w:pPr>
        <w:pBdr>
          <w:bottom w:val="single" w:sz="6" w:space="1" w:color="CCCCCC"/>
        </w:pBdr>
      </w:pPr>
    </w:p>
    <w:p>
      <w:pPr>
        <w:pStyle w:val="Heading2"/>
      </w:pPr>
      <w:r>
        <w:t>4. Core Design Patterns</w:t>
      </w:r>
    </w:p>
    <w:p>
      <w:pPr>
        <w:pStyle w:val="Heading3"/>
      </w:pPr>
      <w:r>
        <w:t>4.1 Unified SQLite State</w:t>
      </w:r>
    </w:p>
    <w:p>
      <w:r>
        <w:t>All state flows through a single SQLite database using WAL (Write-Ahead Logging) mode. This enables concurrent reads from the TUI daemon while hooks write. Five tables hold the entire system state:</w:t>
      </w:r>
    </w:p>
    <w:p>
      <w:pPr>
        <w:pStyle w:val="ListBullet"/>
      </w:pPr>
      <w:r>
        <w:rPr>
          <w:b/>
        </w:rPr>
        <w:t>events</w:t>
      </w:r>
      <w:r>
        <w:t xml:space="preserve"> -- Immutable event log (append-only)</w:t>
      </w:r>
    </w:p>
    <w:p>
      <w:pPr>
        <w:pStyle w:val="ListBullet"/>
      </w:pPr>
      <w:r>
        <w:rPr>
          <w:b/>
        </w:rPr>
        <w:t>state_transitions</w:t>
      </w:r>
      <w:r>
        <w:t xml:space="preserve"> -- Entity state machines</w:t>
      </w:r>
    </w:p>
    <w:p>
      <w:pPr>
        <w:pStyle w:val="ListBullet"/>
      </w:pPr>
      <w:r>
        <w:rPr>
          <w:b/>
        </w:rPr>
        <w:t>locks</w:t>
      </w:r>
      <w:r>
        <w:t xml:space="preserve"> -- Atomic lock acquisition</w:t>
      </w:r>
    </w:p>
    <w:p>
      <w:pPr>
        <w:pStyle w:val="ListBullet"/>
      </w:pPr>
      <w:r>
        <w:rPr>
          <w:b/>
        </w:rPr>
        <w:t>kv_state</w:t>
      </w:r>
      <w:r>
        <w:t xml:space="preserve"> -- General-purpose key-value store</w:t>
      </w:r>
    </w:p>
    <w:p>
      <w:pPr>
        <w:pStyle w:val="ListBullet"/>
      </w:pPr>
      <w:r>
        <w:rPr>
          <w:b/>
        </w:rPr>
        <w:t>file_claims</w:t>
      </w:r>
      <w:r>
        <w:t xml:space="preserve"> -- Per-file agent ownership</w:t>
      </w:r>
    </w:p>
    <w:p>
      <w:pPr>
        <w:pStyle w:val="Heading3"/>
      </w:pPr>
      <w:r>
        <w:t>4.2 INSERT...ON CONFLICT Pattern</w:t>
      </w:r>
    </w:p>
    <w:p>
      <w:r>
        <w:t>Both LockService and ClaimService use the same atomic SQL pattern to eliminate TOCTOU (Time-of-Check-to-Time-of-Use) race conditions:</w:t>
      </w:r>
    </w:p>
    <w:tbl>
      <w:tblPr>
        <w:tblW w:type="auto" w:w="0"/>
        <w:jc w:val="center"/>
        <w:tblLook w:firstColumn="1" w:firstRow="1" w:lastColumn="0" w:lastRow="0" w:noHBand="0" w:noVBand="1" w:val="04A0"/>
      </w:tblPr>
      <w:tblGrid>
        <w:gridCol w:w="8640"/>
      </w:tblGrid>
      <w:tr>
        <w:tc>
          <w:tcPr>
            <w:tcW w:type="dxa" w:w="8640"/>
            <w:shd w:fill="F5F5F5" w:val="clear"/>
          </w:tcPr>
          <w:p>
            <w:pPr>
              <w:spacing w:before="40" w:after="40"/>
            </w:pPr>
            <w:r>
              <w:rPr>
                <w:rFonts w:ascii="Consolas" w:hAnsi="Consolas"/>
                <w:color w:val="999999"/>
                <w:sz w:val="16"/>
              </w:rPr>
              <w:t>TYPESCRIPT</w:t>
              <w:br/>
            </w:r>
            <w:r>
              <w:rPr>
                <w:rFonts w:ascii="Consolas" w:hAnsi="Consolas"/>
                <w:sz w:val="18"/>
              </w:rPr>
              <w:t>// LockService: atomic lock acquisition</w:t>
            </w:r>
            <w:r>
              <w:br/>
            </w:r>
            <w:r>
              <w:rPr>
                <w:rFonts w:ascii="Consolas" w:hAnsi="Consolas"/>
                <w:sz w:val="18"/>
              </w:rPr>
              <w:t>const stmtUpsert = db.prepare(`</w:t>
            </w:r>
            <w:r>
              <w:br/>
            </w:r>
            <w:r>
              <w:rPr>
                <w:rFonts w:ascii="Consolas" w:hAnsi="Consolas"/>
                <w:sz w:val="18"/>
              </w:rPr>
              <w:t xml:space="preserve">  INSERT INTO locks (lock_name, owner_pid, owner_session, acquired_at, ttl_ms)</w:t>
            </w:r>
            <w:r>
              <w:br/>
            </w:r>
            <w:r>
              <w:rPr>
                <w:rFonts w:ascii="Consolas" w:hAnsi="Consolas"/>
                <w:sz w:val="18"/>
              </w:rPr>
              <w:t xml:space="preserve">  VALUES (?, ?, ?, ?, ?)</w:t>
            </w:r>
            <w:r>
              <w:br/>
            </w:r>
            <w:r>
              <w:rPr>
                <w:rFonts w:ascii="Consolas" w:hAnsi="Consolas"/>
                <w:sz w:val="18"/>
              </w:rPr>
              <w:t xml:space="preserve">  ON CONFLICT(lock_name) DO UPDATE SET</w:t>
            </w:r>
            <w:r>
              <w:br/>
            </w:r>
            <w:r>
              <w:rPr>
                <w:rFonts w:ascii="Consolas" w:hAnsi="Consolas"/>
                <w:sz w:val="18"/>
              </w:rPr>
              <w:t xml:space="preserve">    owner_pid = excluded.owner_pid,</w:t>
            </w:r>
            <w:r>
              <w:br/>
            </w:r>
            <w:r>
              <w:rPr>
                <w:rFonts w:ascii="Consolas" w:hAnsi="Consolas"/>
                <w:sz w:val="18"/>
              </w:rPr>
              <w:t xml:space="preserve">    owner_session = excluded.owner_session,</w:t>
            </w:r>
            <w:r>
              <w:br/>
            </w:r>
            <w:r>
              <w:rPr>
                <w:rFonts w:ascii="Consolas" w:hAnsi="Consolas"/>
                <w:sz w:val="18"/>
              </w:rPr>
              <w:t xml:space="preserve">    acquired_at = excluded.acquired_at,</w:t>
            </w:r>
            <w:r>
              <w:br/>
            </w:r>
            <w:r>
              <w:rPr>
                <w:rFonts w:ascii="Consolas" w:hAnsi="Consolas"/>
                <w:sz w:val="18"/>
              </w:rPr>
              <w:t xml:space="preserve">    ttl_ms = excluded.ttl_ms</w:t>
            </w:r>
            <w:r>
              <w:br/>
            </w:r>
            <w:r>
              <w:rPr>
                <w:rFonts w:ascii="Consolas" w:hAnsi="Consolas"/>
                <w:sz w:val="18"/>
              </w:rPr>
              <w:t xml:space="preserve">  WHERE locks.owner_pid = ?</w:t>
            </w:r>
            <w:r>
              <w:br/>
            </w:r>
            <w:r>
              <w:rPr>
                <w:rFonts w:ascii="Consolas" w:hAnsi="Consolas"/>
                <w:sz w:val="18"/>
              </w:rPr>
              <w:t xml:space="preserve">    OR locks.acquired_at + locks.ttl_ms &lt; ?</w:t>
            </w:r>
            <w:r>
              <w:br/>
            </w:r>
            <w:r>
              <w:rPr>
                <w:rFonts w:ascii="Consolas" w:hAnsi="Consolas"/>
                <w:sz w:val="18"/>
              </w:rPr>
              <w:t>`);</w:t>
            </w:r>
          </w:p>
        </w:tc>
      </w:tr>
    </w:tbl>
    <w:p/>
    <w:p>
      <w:r>
        <w:t>This single SQL statement atomically checks if the lock is available (held by the same owner or expired) and acquires it. No gap between check and acquire means no race condition.</w:t>
      </w:r>
    </w:p>
    <w:p>
      <w:pPr>
        <w:pStyle w:val="Heading3"/>
      </w:pPr>
      <w:r>
        <w:t>4.3 TransactionalUnitOfWork</w:t>
      </w:r>
    </w:p>
    <w:p>
      <w:r>
        <w:t>The TransactionalUnitOfWork provides atomic multi-table commits with file projection support. The 3-phase commit ensures consistency:</w:t>
      </w:r>
    </w:p>
    <w:tbl>
      <w:tblPr>
        <w:tblW w:type="auto" w:w="0"/>
        <w:jc w:val="center"/>
        <w:tblLook w:firstColumn="1" w:firstRow="1" w:lastColumn="0" w:lastRow="0" w:noHBand="0" w:noVBand="1" w:val="04A0"/>
      </w:tblPr>
      <w:tblGrid>
        <w:gridCol w:w="8640"/>
      </w:tblGrid>
      <w:tr>
        <w:tc>
          <w:tcPr>
            <w:tcW w:type="dxa" w:w="8640"/>
            <w:shd w:fill="F5F5F5" w:val="clear"/>
          </w:tcPr>
          <w:p>
            <w:pPr>
              <w:spacing w:before="40" w:after="40"/>
            </w:pPr>
            <w:r>
              <w:rPr>
                <w:rFonts w:ascii="Consolas" w:hAnsi="Consolas"/>
                <w:color w:val="999999"/>
                <w:sz w:val="16"/>
              </w:rPr>
              <w:t>TYPESCRIPT</w:t>
              <w:br/>
            </w:r>
            <w:r>
              <w:rPr>
                <w:rFonts w:ascii="Consolas" w:hAnsi="Consolas"/>
                <w:sz w:val="18"/>
              </w:rPr>
              <w:t>// Phase 1: Write temp files (can fail without side effects)</w:t>
            </w:r>
            <w:r>
              <w:br/>
            </w:r>
            <w:r>
              <w:rPr>
                <w:rFonts w:ascii="Consolas" w:hAnsi="Consolas"/>
                <w:sz w:val="18"/>
              </w:rPr>
              <w:t>// Phase 2: SQLite transaction -- events + transitions + kv_state (atomic)</w:t>
            </w:r>
            <w:r>
              <w:br/>
            </w:r>
            <w:r>
              <w:rPr>
                <w:rFonts w:ascii="Consolas" w:hAnsi="Consolas"/>
                <w:sz w:val="18"/>
              </w:rPr>
              <w:t>// Phase 3: Rename temp files to target (near-atomic)</w:t>
            </w:r>
            <w:r>
              <w:br/>
            </w:r>
            <w:r>
              <w:rPr>
                <w:rFonts w:ascii="Consolas" w:hAnsi="Consolas"/>
                <w:sz w:val="18"/>
              </w:rPr>
              <w:t>// Failure: Phase 2 fails -&gt; delete temp files (zero side effects)</w:t>
            </w:r>
            <w:r>
              <w:br/>
            </w:r>
            <w:r>
              <w:rPr>
                <w:rFonts w:ascii="Consolas" w:hAnsi="Consolas"/>
                <w:sz w:val="18"/>
              </w:rPr>
              <w:t>//          Phase 3 fails -&gt; SQLite is truth, files self-heal</w:t>
            </w:r>
          </w:p>
        </w:tc>
      </w:tr>
    </w:tbl>
    <w:p/>
    <w:p>
      <w:pPr>
        <w:pStyle w:val="Heading3"/>
      </w:pPr>
      <w:r>
        <w:t>4.4 Fail-Open Philosophy</w:t>
      </w:r>
    </w:p>
    <w:p>
      <w:r>
        <w:t>Every enforcement gate follows a fail-open pattern. If an error occurs during gate evaluation, the gate allows passage rather than blocking the system:</w:t>
      </w:r>
    </w:p>
    <w:tbl>
      <w:tblPr>
        <w:tblW w:type="auto" w:w="0"/>
        <w:jc w:val="center"/>
        <w:tblLook w:firstColumn="1" w:firstRow="1" w:lastColumn="0" w:lastRow="0" w:noHBand="0" w:noVBand="1" w:val="04A0"/>
      </w:tblPr>
      <w:tblGrid>
        <w:gridCol w:w="8640"/>
      </w:tblGrid>
      <w:tr>
        <w:tc>
          <w:tcPr>
            <w:tcW w:type="dxa" w:w="8640"/>
            <w:shd w:fill="F5F5F5" w:val="clear"/>
          </w:tcPr>
          <w:p>
            <w:pPr>
              <w:spacing w:before="40" w:after="40"/>
            </w:pPr>
            <w:r>
              <w:rPr>
                <w:rFonts w:ascii="Consolas" w:hAnsi="Consolas"/>
                <w:color w:val="999999"/>
                <w:sz w:val="16"/>
              </w:rPr>
              <w:t>TYPESCRIPT</w:t>
              <w:br/>
            </w:r>
            <w:r>
              <w:rPr>
                <w:rFonts w:ascii="Consolas" w:hAnsi="Consolas"/>
                <w:sz w:val="18"/>
              </w:rPr>
              <w:t>export function checkAmendmentGate(store: EventStore): GateResult {</w:t>
            </w:r>
            <w:r>
              <w:br/>
            </w:r>
            <w:r>
              <w:rPr>
                <w:rFonts w:ascii="Consolas" w:hAnsi="Consolas"/>
                <w:sz w:val="18"/>
              </w:rPr>
              <w:t xml:space="preserve">  try {</w:t>
            </w:r>
            <w:r>
              <w:br/>
            </w:r>
            <w:r>
              <w:rPr>
                <w:rFonts w:ascii="Consolas" w:hAnsi="Consolas"/>
                <w:sz w:val="18"/>
              </w:rPr>
              <w:t xml:space="preserve">    const pendingCount = getPendingAmendmentCount(store);</w:t>
            </w:r>
            <w:r>
              <w:br/>
            </w:r>
            <w:r>
              <w:rPr>
                <w:rFonts w:ascii="Consolas" w:hAnsi="Consolas"/>
                <w:sz w:val="18"/>
              </w:rPr>
              <w:t xml:space="preserve">    if (pendingCount &gt; 0) {</w:t>
            </w:r>
            <w:r>
              <w:br/>
            </w:r>
            <w:r>
              <w:rPr>
                <w:rFonts w:ascii="Consolas" w:hAnsi="Consolas"/>
                <w:sz w:val="18"/>
              </w:rPr>
              <w:t xml:space="preserve">      return { allowed: false, reason: `${pendingCount} pending amendment(s)` };</w:t>
            </w:r>
            <w:r>
              <w:br/>
            </w:r>
            <w:r>
              <w:rPr>
                <w:rFonts w:ascii="Consolas" w:hAnsi="Consolas"/>
                <w:sz w:val="18"/>
              </w:rPr>
              <w:t xml:space="preserve">    }</w:t>
            </w:r>
            <w:r>
              <w:br/>
            </w:r>
            <w:r>
              <w:rPr>
                <w:rFonts w:ascii="Consolas" w:hAnsi="Consolas"/>
                <w:sz w:val="18"/>
              </w:rPr>
              <w:t xml:space="preserve">    return { allowed: true };</w:t>
            </w:r>
            <w:r>
              <w:br/>
            </w:r>
            <w:r>
              <w:rPr>
                <w:rFonts w:ascii="Consolas" w:hAnsi="Consolas"/>
                <w:sz w:val="18"/>
              </w:rPr>
              <w:t xml:space="preserve">  } catch {</w:t>
            </w:r>
            <w:r>
              <w:br/>
            </w:r>
            <w:r>
              <w:rPr>
                <w:rFonts w:ascii="Consolas" w:hAnsi="Consolas"/>
                <w:sz w:val="18"/>
              </w:rPr>
              <w:t xml:space="preserve">    return { allowed: true }; // Fail-open</w:t>
            </w:r>
            <w:r>
              <w:br/>
            </w:r>
            <w:r>
              <w:rPr>
                <w:rFonts w:ascii="Consolas" w:hAnsi="Consolas"/>
                <w:sz w:val="18"/>
              </w:rPr>
              <w:t xml:space="preserve">  }</w:t>
            </w:r>
            <w:r>
              <w:br/>
            </w:r>
            <w:r>
              <w:rPr>
                <w:rFonts w:ascii="Consolas" w:hAnsi="Consolas"/>
                <w:sz w:val="18"/>
              </w:rPr>
              <w:t>}</w:t>
            </w:r>
          </w:p>
        </w:tc>
      </w:tr>
    </w:tbl>
    <w:p/>
    <w:p>
      <w:pPr>
        <w:pBdr>
          <w:bottom w:val="single" w:sz="6" w:space="1" w:color="CCCCCC"/>
        </w:pBdr>
      </w:pPr>
    </w:p>
    <w:p>
      <w:pPr>
        <w:pStyle w:val="Heading2"/>
      </w:pPr>
      <w:r>
        <w:t>5. Data Flow</w:t>
      </w:r>
    </w:p>
    <w:p>
      <w:r>
        <w:t>The typical data flow through the bus follows this sequence:</w:t>
      </w:r>
    </w:p>
    <w:p>
      <w:pPr>
        <w:pStyle w:val="ListNumber"/>
      </w:pPr>
      <w:r>
        <w:rPr>
          <w:b/>
        </w:rPr>
        <w:t>Evidence submission</w:t>
      </w:r>
      <w:r>
        <w:t xml:space="preserve"> -- An adapter hook captures file changes and writes an </w:t>
      </w:r>
      <w:r>
        <w:rPr>
          <w:rFonts w:ascii="Consolas" w:hAnsi="Consolas"/>
          <w:sz w:val="20"/>
          <w:shd w:fill="F5F5F5" w:val="clear"/>
        </w:rPr>
        <w:t>evidence.write</w:t>
      </w:r>
      <w:r>
        <w:t xml:space="preserve"> event via </w:t>
      </w:r>
      <w:r>
        <w:rPr>
          <w:rFonts w:ascii="Consolas" w:hAnsi="Consolas"/>
          <w:sz w:val="20"/>
          <w:shd w:fill="F5F5F5" w:val="clear"/>
        </w:rPr>
        <w:t>EventStore.append()</w:t>
      </w:r>
      <w:r>
        <w:t>.</w:t>
      </w:r>
    </w:p>
    <w:p>
      <w:pPr>
        <w:pStyle w:val="ListNumber"/>
      </w:pPr>
      <w:r>
        <w:rPr>
          <w:b/>
        </w:rPr>
        <w:t>Trigger evaluation</w:t>
      </w:r>
      <w:r>
        <w:t xml:space="preserve"> -- The 13-factor trigger system scores the change. Low scores skip audit (T1), medium scores run simple audit (T2), high scores trigger deliberative consensus (T3).</w:t>
      </w:r>
    </w:p>
    <w:p>
      <w:pPr>
        <w:pStyle w:val="ListNumber"/>
      </w:pPr>
      <w:r>
        <w:rPr>
          <w:b/>
        </w:rPr>
        <w:t>Fitness gate</w:t>
      </w:r>
      <w:r>
        <w:t xml:space="preserve"> -- </w:t>
      </w:r>
      <w:r>
        <w:rPr>
          <w:rFonts w:ascii="Consolas" w:hAnsi="Consolas"/>
          <w:sz w:val="20"/>
          <w:shd w:fill="F5F5F5" w:val="clear"/>
        </w:rPr>
        <w:t>FitnessLoop.evaluate()</w:t>
      </w:r>
      <w:r>
        <w:t xml:space="preserve"> computes a 7-component quality score. If the score dropped more than 0.15 from baseline, the change is auto-rejected without consuming LLM tokens.</w:t>
      </w:r>
    </w:p>
    <w:p>
      <w:pPr>
        <w:pStyle w:val="ListNumber"/>
      </w:pPr>
      <w:r>
        <w:rPr>
          <w:b/>
        </w:rPr>
        <w:t>Audit cycle</w:t>
      </w:r>
      <w:r>
        <w:t xml:space="preserve"> -- Events flow through </w:t>
      </w:r>
      <w:r>
        <w:rPr>
          <w:rFonts w:ascii="Consolas" w:hAnsi="Consolas"/>
          <w:sz w:val="20"/>
          <w:shd w:fill="F5F5F5" w:val="clear"/>
        </w:rPr>
        <w:t>audit.start</w:t>
      </w:r>
      <w:r>
        <w:t xml:space="preserve"> -&gt; </w:t>
      </w:r>
      <w:r>
        <w:rPr>
          <w:rFonts w:ascii="Consolas" w:hAnsi="Consolas"/>
          <w:sz w:val="20"/>
          <w:shd w:fill="F5F5F5" w:val="clear"/>
        </w:rPr>
        <w:t>audit.verdict</w:t>
      </w:r>
      <w:r>
        <w:t xml:space="preserve"> -&gt; </w:t>
      </w:r>
      <w:r>
        <w:rPr>
          <w:rFonts w:ascii="Consolas" w:hAnsi="Consolas"/>
          <w:sz w:val="20"/>
          <w:shd w:fill="F5F5F5" w:val="clear"/>
        </w:rPr>
        <w:t>audit.correction</w:t>
      </w:r>
      <w:r>
        <w:t xml:space="preserve"> states, stored as state transitions.</w:t>
      </w:r>
    </w:p>
    <w:p>
      <w:pPr>
        <w:pStyle w:val="ListNumber"/>
      </w:pPr>
      <w:r>
        <w:rPr>
          <w:b/>
        </w:rPr>
        <w:t>Finding lifecycle</w:t>
      </w:r>
      <w:r>
        <w:t xml:space="preserve"> -- </w:t>
      </w:r>
      <w:r>
        <w:rPr>
          <w:rFonts w:ascii="Consolas" w:hAnsi="Consolas"/>
          <w:sz w:val="20"/>
          <w:shd w:fill="F5F5F5" w:val="clear"/>
        </w:rPr>
        <w:t>MessageBus.submitFindings()</w:t>
      </w:r>
      <w:r>
        <w:t xml:space="preserve"> stores reviewer findings. The main thread polls, author acknowledges, and findings are resolved through the </w:t>
      </w:r>
      <w:r>
        <w:rPr>
          <w:rFonts w:ascii="Consolas" w:hAnsi="Consolas"/>
          <w:sz w:val="20"/>
          <w:shd w:fill="F5F5F5" w:val="clear"/>
        </w:rPr>
        <w:t>finding.detect</w:t>
      </w:r>
      <w:r>
        <w:t xml:space="preserve"> -&gt; </w:t>
      </w:r>
      <w:r>
        <w:rPr>
          <w:rFonts w:ascii="Consolas" w:hAnsi="Consolas"/>
          <w:sz w:val="20"/>
          <w:shd w:fill="F5F5F5" w:val="clear"/>
        </w:rPr>
        <w:t>finding.ack</w:t>
      </w:r>
      <w:r>
        <w:t xml:space="preserve"> -&gt; </w:t>
      </w:r>
      <w:r>
        <w:rPr>
          <w:rFonts w:ascii="Consolas" w:hAnsi="Consolas"/>
          <w:sz w:val="20"/>
          <w:shd w:fill="F5F5F5" w:val="clear"/>
        </w:rPr>
        <w:t>finding.resolve</w:t>
      </w:r>
      <w:r>
        <w:t xml:space="preserve"> lifecycle.</w:t>
      </w:r>
    </w:p>
    <w:p>
      <w:pPr>
        <w:pStyle w:val="ListNumber"/>
      </w:pPr>
      <w:r>
        <w:rPr>
          <w:b/>
        </w:rPr>
        <w:t>Parliament gates</w:t>
      </w:r>
      <w:r>
        <w:t xml:space="preserve"> -- Before merge, </w:t>
      </w:r>
      <w:r>
        <w:rPr>
          <w:rFonts w:ascii="Consolas" w:hAnsi="Consolas"/>
          <w:sz w:val="20"/>
          <w:shd w:fill="F5F5F5" w:val="clear"/>
        </w:rPr>
        <w:t>checkAllGates()</w:t>
      </w:r>
      <w:r>
        <w:t xml:space="preserve"> evaluates 5 enforcement gates. Any gate failure blocks the operation until the condition is resolved.</w:t>
      </w:r>
    </w:p>
    <w:p>
      <w:pPr>
        <w:pBdr>
          <w:bottom w:val="single" w:sz="6" w:space="1" w:color="CCCCCC"/>
        </w:pBdr>
      </w:pPr>
    </w:p>
    <w:p>
      <w:pPr>
        <w:pStyle w:val="Heading2"/>
      </w:pPr>
      <w:r>
        <w:t>6. Risk Assessment and Recommendations</w:t>
      </w:r>
    </w:p>
    <w:p>
      <w:pPr>
        <w:pStyle w:val="Heading3"/>
      </w:pPr>
      <w:r>
        <w:t>Risks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2761" w:val="clear"/>
          </w:tcPr>
          <w:p>
            <w:pPr>
              <w:jc w:val="center"/>
            </w:pPr>
            <w:r>
              <w:rPr>
                <w:b/>
                <w:color w:val="FFFFFF"/>
                <w:sz w:val="20"/>
              </w:rPr>
              <w:t>Risk</w:t>
            </w:r>
          </w:p>
        </w:tc>
        <w:tc>
          <w:tcPr>
            <w:tcW w:type="dxa" w:w="2880"/>
            <w:shd w:fill="1E2761" w:val="clear"/>
          </w:tcPr>
          <w:p>
            <w:pPr>
              <w:jc w:val="center"/>
            </w:pPr>
            <w:r>
              <w:rPr>
                <w:b/>
                <w:color w:val="FFFFFF"/>
                <w:sz w:val="20"/>
              </w:rPr>
              <w:t>Severity</w:t>
            </w:r>
          </w:p>
        </w:tc>
        <w:tc>
          <w:tcPr>
            <w:tcW w:type="dxa" w:w="2880"/>
            <w:shd w:fill="1E2761" w:val="clear"/>
          </w:tcPr>
          <w:p>
            <w:pPr>
              <w:jc w:val="center"/>
            </w:pPr>
            <w:r>
              <w:rPr>
                <w:b/>
                <w:color w:val="FFFFFF"/>
                <w:sz w:val="20"/>
              </w:rPr>
              <w:t>Detail</w:t>
            </w:r>
          </w:p>
        </w:tc>
      </w:tr>
      <w:tr>
        <w:tc>
          <w:tcPr>
            <w:tcW w:type="dxa" w:w="2880"/>
          </w:tcPr>
          <w:p>
            <w:r>
              <w:rPr>
                <w:sz w:val="20"/>
              </w:rPr>
              <w:t>SQLite single-writer bottleneck</w:t>
            </w:r>
          </w:p>
        </w:tc>
        <w:tc>
          <w:tcPr>
            <w:tcW w:type="dxa" w:w="2880"/>
          </w:tcPr>
          <w:p>
            <w:r>
              <w:rPr>
                <w:sz w:val="20"/>
              </w:rPr>
              <w:t>Medium</w:t>
            </w:r>
          </w:p>
        </w:tc>
        <w:tc>
          <w:tcPr>
            <w:tcW w:type="dxa" w:w="2880"/>
          </w:tcPr>
          <w:p>
            <w:r>
              <w:rPr>
                <w:sz w:val="20"/>
              </w:rPr>
              <w:t>WAL mode allows concurrent reads but only one writer at a time. High-throughput parallel agent scenarios could contend on writes.</w:t>
            </w:r>
          </w:p>
        </w:tc>
      </w:tr>
      <w:tr>
        <w:tc>
          <w:tcPr>
            <w:tcW w:type="dxa" w:w="2880"/>
            <w:shd w:fill="F0F4F8" w:val="clear"/>
          </w:tcPr>
          <w:p>
            <w:r>
              <w:rPr>
                <w:sz w:val="20"/>
              </w:rPr>
              <w:t>TTL-based expiry precision</w:t>
            </w:r>
          </w:p>
        </w:tc>
        <w:tc>
          <w:tcPr>
            <w:tcW w:type="dxa" w:w="2880"/>
            <w:shd w:fill="F0F4F8" w:val="clear"/>
          </w:tcPr>
          <w:p>
            <w:r>
              <w:rPr>
                <w:sz w:val="20"/>
              </w:rPr>
              <w:t>Low</w:t>
            </w:r>
          </w:p>
        </w:tc>
        <w:tc>
          <w:tcPr>
            <w:tcW w:type="dxa" w:w="2880"/>
            <w:shd w:fill="F0F4F8" w:val="clear"/>
          </w:tcPr>
          <w:p>
            <w:r>
              <w:rPr>
                <w:sz w:val="20"/>
              </w:rPr>
              <w:t>Lock and claim TTL relies on `Date.now()` comparisons. Clock skew between processes on the same machine is negligible but could matter in distributed setups.</w:t>
            </w:r>
          </w:p>
        </w:tc>
      </w:tr>
      <w:tr>
        <w:tc>
          <w:tcPr>
            <w:tcW w:type="dxa" w:w="2880"/>
          </w:tcPr>
          <w:p>
            <w:r>
              <w:rPr>
                <w:sz w:val="20"/>
              </w:rPr>
              <w:t>Event table growth</w:t>
            </w:r>
          </w:p>
        </w:tc>
        <w:tc>
          <w:tcPr>
            <w:tcW w:type="dxa" w:w="2880"/>
          </w:tcPr>
          <w:p>
            <w:r>
              <w:rPr>
                <w:sz w:val="20"/>
              </w:rPr>
              <w:t>Medium</w:t>
            </w:r>
          </w:p>
        </w:tc>
        <w:tc>
          <w:tcPr>
            <w:tcW w:type="dxa" w:w="2880"/>
          </w:tcPr>
          <w:p>
            <w:r>
              <w:rPr>
                <w:sz w:val="20"/>
              </w:rPr>
              <w:t>The events table is append-only with no built-in compaction. Long-running projects will accumulate unbounded event history.</w:t>
            </w:r>
          </w:p>
        </w:tc>
      </w:tr>
      <w:tr>
        <w:tc>
          <w:tcPr>
            <w:tcW w:type="dxa" w:w="2880"/>
            <w:shd w:fill="F0F4F8" w:val="clear"/>
          </w:tcPr>
          <w:p>
            <w:r>
              <w:rPr>
                <w:sz w:val="20"/>
              </w:rPr>
              <w:t>Cached prepared statement memory</w:t>
            </w:r>
          </w:p>
        </w:tc>
        <w:tc>
          <w:tcPr>
            <w:tcW w:type="dxa" w:w="2880"/>
            <w:shd w:fill="F0F4F8" w:val="clear"/>
          </w:tcPr>
          <w:p>
            <w:r>
              <w:rPr>
                <w:sz w:val="20"/>
              </w:rPr>
              <w:t>Low</w:t>
            </w:r>
          </w:p>
        </w:tc>
        <w:tc>
          <w:tcPr>
            <w:tcW w:type="dxa" w:w="2880"/>
            <w:shd w:fill="F0F4F8" w:val="clear"/>
          </w:tcPr>
          <w:p>
            <w:r>
              <w:rPr>
                <w:sz w:val="20"/>
              </w:rPr>
              <w:t>EventStore's `queryCache` and `countCache` grow unbounded per unique filter shape. Unlikely to be large in practice but has no eviction policy.</w:t>
            </w:r>
          </w:p>
        </w:tc>
      </w:tr>
      <w:tr>
        <w:tc>
          <w:tcPr>
            <w:tcW w:type="dxa" w:w="2880"/>
          </w:tcPr>
          <w:p>
            <w:r>
              <w:rPr>
                <w:sz w:val="20"/>
              </w:rPr>
              <w:t>Fail-open gate bypass</w:t>
            </w:r>
          </w:p>
        </w:tc>
        <w:tc>
          <w:tcPr>
            <w:tcW w:type="dxa" w:w="2880"/>
          </w:tcPr>
          <w:p>
            <w:r>
              <w:rPr>
                <w:sz w:val="20"/>
              </w:rPr>
              <w:t>Low</w:t>
            </w:r>
          </w:p>
        </w:tc>
        <w:tc>
          <w:tcPr>
            <w:tcW w:type="dxa" w:w="2880"/>
          </w:tcPr>
          <w:p>
            <w:r>
              <w:rPr>
                <w:sz w:val="20"/>
              </w:rPr>
              <w:t>All 5 parliament gates return `allowed: true` on error. While this prevents system lockout, it means corrupted state silently bypasses enforcement.</w:t>
            </w:r>
          </w:p>
        </w:tc>
      </w:tr>
    </w:tbl>
    <w:p/>
    <w:p>
      <w:pPr>
        <w:pStyle w:val="Heading3"/>
      </w:pPr>
      <w:r>
        <w:t>Recommendations</w:t>
      </w:r>
    </w:p>
    <w:p>
      <w:pPr>
        <w:pStyle w:val="ListNumber"/>
      </w:pPr>
      <w:r>
        <w:rPr>
          <w:b/>
        </w:rPr>
        <w:t>Event compaction</w:t>
      </w:r>
      <w:r>
        <w:t xml:space="preserve"> -- Implement a periodic compaction strategy (e.g., archive events older than N days to a separate table or file) to prevent unbounded growth of the events table.</w:t>
      </w:r>
    </w:p>
    <w:p>
      <w:pPr>
        <w:pStyle w:val="ListNumber"/>
      </w:pPr>
      <w:r>
        <w:rPr>
          <w:b/>
        </w:rPr>
        <w:t>Write batching</w:t>
      </w:r>
      <w:r>
        <w:t xml:space="preserve"> -- For parallel agent scenarios, consider batching writes through the QuorumBus ring buffer with periodic flush, reducing SQLite write contention.</w:t>
      </w:r>
    </w:p>
    <w:p>
      <w:pPr>
        <w:pStyle w:val="ListNumber"/>
      </w:pPr>
      <w:r>
        <w:rPr>
          <w:b/>
        </w:rPr>
        <w:t>Cache eviction</w:t>
      </w:r>
      <w:r>
        <w:t xml:space="preserve"> -- Add an LRU eviction policy to EventStore's </w:t>
      </w:r>
      <w:r>
        <w:rPr>
          <w:rFonts w:ascii="Consolas" w:hAnsi="Consolas"/>
          <w:sz w:val="20"/>
          <w:shd w:fill="F5F5F5" w:val="clear"/>
        </w:rPr>
        <w:t>queryCache</w:t>
      </w:r>
      <w:r>
        <w:t xml:space="preserve"> and </w:t>
      </w:r>
      <w:r>
        <w:rPr>
          <w:rFonts w:ascii="Consolas" w:hAnsi="Consolas"/>
          <w:sz w:val="20"/>
          <w:shd w:fill="F5F5F5" w:val="clear"/>
        </w:rPr>
        <w:t>countCache</w:t>
      </w:r>
      <w:r>
        <w:t xml:space="preserve"> maps, bounded to a reasonable maximum (e.g., 100 entries).</w:t>
      </w:r>
    </w:p>
    <w:p>
      <w:pPr>
        <w:pStyle w:val="ListNumber"/>
      </w:pPr>
      <w:r>
        <w:rPr>
          <w:b/>
        </w:rPr>
        <w:t>Gate observability</w:t>
      </w:r>
      <w:r>
        <w:t xml:space="preserve"> -- Log gate failures (the </w:t>
      </w:r>
      <w:r>
        <w:rPr>
          <w:rFonts w:ascii="Consolas" w:hAnsi="Consolas"/>
          <w:sz w:val="20"/>
          <w:shd w:fill="F5F5F5" w:val="clear"/>
        </w:rPr>
        <w:t>catch</w:t>
      </w:r>
      <w:r>
        <w:t xml:space="preserve"> branches) to a side-channel so that silent fail-open events can be audited post-hoc.</w:t>
      </w:r>
    </w:p>
    <w:p>
      <w:pPr>
        <w:pStyle w:val="ListNumber"/>
      </w:pPr>
      <w:r>
        <w:rPr>
          <w:b/>
        </w:rPr>
        <w:t>Claim conflict metrics</w:t>
      </w:r>
      <w:r>
        <w:t xml:space="preserve"> -- Add instrumentation to ClaimService to track conflict frequency and average wait time, enabling capacity planning for parallel execution.</w:t>
      </w:r>
    </w:p>
    <w:p>
      <w:pPr>
        <w:pBdr>
          <w:bottom w:val="single" w:sz="6" w:space="1" w:color="CCCCCC"/>
        </w:pBdr>
      </w:pPr>
    </w:p>
    <w:p>
      <w:pPr>
        <w:pStyle w:val="Heading2"/>
      </w:pPr>
      <w:r>
        <w:t>7. Conclusion</w:t>
      </w:r>
    </w:p>
    <w:p>
      <w:r>
        <w:t>The bus/ module is a well-structured event-driven backbone that eliminates file-based IPC in favor of SQLite as a single source of truth. Its layered architecture cleanly separates persistence, coordination, quality measurement, and parliamentary governance. The INSERT...ON CONFLICT pattern for locks and claims is a particularly strong choice for eliminating race conditions. The main areas for future improvement are event compaction for long-lived projects and enhanced observability for the fail-open gate pattern.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76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76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76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276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