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36"/>
        </w:rPr>
        <w:t>Relatórios de Tomada de Decisão</w:t>
      </w:r>
    </w:p>
    <w:p>
      <w:pPr>
        <w:jc w:val="center"/>
      </w:pPr>
      <w:r>
        <w:rPr>
          <w:rFonts w:ascii="Arial" w:hAnsi="Arial" w:eastAsia="Arial"/>
          <w:b w:val="0"/>
          <w:sz w:val="22"/>
        </w:rPr>
        <w:t>FirewallSign</w:t>
      </w:r>
    </w:p>
    <w:p/>
    <w:p>
      <w:pPr>
        <w:pStyle w:val="Heading1"/>
      </w:pPr>
      <w:r>
        <w:rPr>
          <w:rFonts w:ascii="Arial" w:hAnsi="Arial" w:eastAsia="Arial"/>
          <w:b/>
          <w:sz w:val="28"/>
        </w:rPr>
        <w:t>1. Relatórios gerenciais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rPr>
                <w:rFonts w:ascii="Arial" w:hAnsi="Arial" w:eastAsia="Arial"/>
                <w:b/>
                <w:sz w:val="20"/>
              </w:rPr>
              <w:t>Relatório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rFonts w:ascii="Arial" w:hAnsi="Arial" w:eastAsia="Arial"/>
                <w:b/>
                <w:sz w:val="20"/>
              </w:rPr>
              <w:t>Objetivo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 w:eastAsia="Arial"/>
                <w:b w:val="0"/>
                <w:sz w:val="20"/>
              </w:rPr>
              <w:t>Resumo geral</w:t>
            </w:r>
          </w:p>
        </w:tc>
        <w:tc>
          <w:tcPr>
            <w:tcW w:type="dxa" w:w="4968"/>
          </w:tcPr>
          <w:p>
            <w:r>
              <w:rPr>
                <w:rFonts w:ascii="Arial" w:hAnsi="Arial" w:eastAsia="Arial"/>
                <w:b w:val="0"/>
                <w:sz w:val="20"/>
              </w:rPr>
              <w:t>Exibir total de clientes, planos, assinaturas, cancelamentos e receita mensal ativa.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 w:eastAsia="Arial"/>
                <w:b w:val="0"/>
                <w:sz w:val="20"/>
              </w:rPr>
              <w:t>Assinaturas por plano</w:t>
            </w:r>
          </w:p>
        </w:tc>
        <w:tc>
          <w:tcPr>
            <w:tcW w:type="dxa" w:w="4968"/>
          </w:tcPr>
          <w:p>
            <w:r>
              <w:rPr>
                <w:rFonts w:ascii="Arial" w:hAnsi="Arial" w:eastAsia="Arial"/>
                <w:b w:val="0"/>
                <w:sz w:val="20"/>
              </w:rPr>
              <w:t>Mostrar quais planos possuem mais contratações e maior receita.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 w:eastAsia="Arial"/>
                <w:b w:val="0"/>
                <w:sz w:val="20"/>
              </w:rPr>
              <w:t>Cancelamentos por motivo</w:t>
            </w:r>
          </w:p>
        </w:tc>
        <w:tc>
          <w:tcPr>
            <w:tcW w:type="dxa" w:w="4968"/>
          </w:tcPr>
          <w:p>
            <w:r>
              <w:rPr>
                <w:rFonts w:ascii="Arial" w:hAnsi="Arial" w:eastAsia="Arial"/>
                <w:b w:val="0"/>
                <w:sz w:val="20"/>
              </w:rPr>
              <w:t>Apoiar a identificação dos principais motivos de perda de clientes.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 w:eastAsia="Arial"/>
                <w:b w:val="0"/>
                <w:sz w:val="20"/>
              </w:rPr>
              <w:t>Clientes por estado</w:t>
            </w:r>
          </w:p>
        </w:tc>
        <w:tc>
          <w:tcPr>
            <w:tcW w:type="dxa" w:w="4968"/>
          </w:tcPr>
          <w:p>
            <w:r>
              <w:rPr>
                <w:rFonts w:ascii="Arial" w:hAnsi="Arial" w:eastAsia="Arial"/>
                <w:b w:val="0"/>
                <w:sz w:val="20"/>
              </w:rPr>
              <w:t>Auxiliar na análise geográfica da base de clientes.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b/>
          <w:sz w:val="28"/>
        </w:rPr>
        <w:t>2. Relatórios estratégicos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rPr>
                <w:rFonts w:ascii="Arial" w:hAnsi="Arial" w:eastAsia="Arial"/>
                <w:b/>
                <w:sz w:val="20"/>
              </w:rPr>
              <w:t>Relatório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rFonts w:ascii="Arial" w:hAnsi="Arial" w:eastAsia="Arial"/>
                <w:b/>
                <w:sz w:val="20"/>
              </w:rPr>
              <w:t>Objetivo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 w:eastAsia="Arial"/>
                <w:b w:val="0"/>
                <w:sz w:val="20"/>
              </w:rPr>
              <w:t>Risco de churn</w:t>
            </w:r>
          </w:p>
        </w:tc>
        <w:tc>
          <w:tcPr>
            <w:tcW w:type="dxa" w:w="4968"/>
          </w:tcPr>
          <w:p>
            <w:r>
              <w:rPr>
                <w:rFonts w:ascii="Arial" w:hAnsi="Arial" w:eastAsia="Arial"/>
                <w:b w:val="0"/>
                <w:sz w:val="20"/>
              </w:rPr>
              <w:t>Listar clientes com maior chance de cancelamento ou perda.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 w:eastAsia="Arial"/>
                <w:b w:val="0"/>
                <w:sz w:val="20"/>
              </w:rPr>
              <w:t>Propensão de compra</w:t>
            </w:r>
          </w:p>
        </w:tc>
        <w:tc>
          <w:tcPr>
            <w:tcW w:type="dxa" w:w="4968"/>
          </w:tcPr>
          <w:p>
            <w:r>
              <w:rPr>
                <w:rFonts w:ascii="Arial" w:hAnsi="Arial" w:eastAsia="Arial"/>
                <w:b w:val="0"/>
                <w:sz w:val="20"/>
              </w:rPr>
              <w:t>Identificar clientes com maior chance de contratar mais ou fazer upgrade.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b/>
          <w:sz w:val="28"/>
        </w:rPr>
        <w:t>3. Exemplos de ações estratégicas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Clientes com alto risco de churn podem receber contato preventivo ou desconto.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Clientes com alta propensão de compra podem receber proposta de upgrade.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Planos com alto cancelamento podem ser revisados pela gestão.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Estados com maior concentração de clientes podem receber campanhas regionais.</w:t>
      </w:r>
    </w:p>
    <w:p>
      <w:pPr>
        <w:pStyle w:val="Heading1"/>
      </w:pPr>
      <w:r>
        <w:rPr>
          <w:rFonts w:ascii="Arial" w:hAnsi="Arial" w:eastAsia="Arial"/>
          <w:b/>
          <w:sz w:val="28"/>
        </w:rPr>
        <w:t>4. Indicadores usados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Total de clientes.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Total de assinaturas.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Assinaturas ativas e canceladas.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Taxa de cancelamento.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Receita mensal ativa.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Plano mais contratado.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Ranking de clientes por risco e oportunidade.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