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sz w:val="36"/>
        </w:rPr>
        <w:t>Diagrama de Banco de Dados</w:t>
      </w:r>
    </w:p>
    <w:p>
      <w:pPr>
        <w:jc w:val="center"/>
      </w:pPr>
      <w:r>
        <w:rPr>
          <w:rFonts w:ascii="Arial" w:hAnsi="Arial" w:eastAsia="Arial"/>
          <w:b w:val="0"/>
          <w:sz w:val="22"/>
        </w:rPr>
        <w:t>Modelo Relacional</w:t>
      </w:r>
    </w:p>
    <w:p/>
    <w:p>
      <w:pPr>
        <w:pStyle w:val="Heading1"/>
      </w:pPr>
      <w:r>
        <w:rPr>
          <w:rFonts w:ascii="Arial" w:hAnsi="Arial" w:eastAsia="Arial"/>
          <w:b/>
          <w:sz w:val="28"/>
        </w:rPr>
        <w:t>1. Entidades principais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Cliente: representa o cliente cadastrado no sistema.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Plano: representa o produto/plano de firewall.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Assinatura: representa a contratação feita por um cliente.</w:t>
      </w:r>
    </w:p>
    <w:p>
      <w:pPr>
        <w:pStyle w:val="Heading1"/>
      </w:pPr>
      <w:r>
        <w:rPr>
          <w:rFonts w:ascii="Arial" w:hAnsi="Arial" w:eastAsia="Arial"/>
          <w:b/>
          <w:sz w:val="28"/>
        </w:rPr>
        <w:t>2. Relacionamentos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Um cliente pode possuir várias assinaturas.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Um plano pode estar relacionado a várias assinaturas.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Cada assinatura pertence a um cliente e a um plano.</w:t>
      </w:r>
    </w:p>
    <w:p>
      <w:r>
        <w:drawing>
          <wp:inline xmlns:a="http://schemas.openxmlformats.org/drawingml/2006/main" xmlns:pic="http://schemas.openxmlformats.org/drawingml/2006/picture">
            <wp:extent cx="6126480" cy="339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ban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 w:eastAsia="Arial"/>
          <w:b/>
          <w:sz w:val="28"/>
        </w:rPr>
        <w:t>3. Descrição das tabelas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>
              <w:rPr>
                <w:rFonts w:ascii="Arial" w:hAnsi="Arial" w:eastAsia="Arial"/>
                <w:b/>
                <w:sz w:val="20"/>
              </w:rPr>
              <w:t>Tabela</w:t>
            </w:r>
          </w:p>
        </w:tc>
        <w:tc>
          <w:tcPr>
            <w:tcW w:type="dxa" w:w="4968"/>
            <w:shd w:fill="D9EAF7"/>
            <w:vAlign w:val="center"/>
          </w:tcPr>
          <w:p>
            <w:r>
              <w:rPr>
                <w:rFonts w:ascii="Arial" w:hAnsi="Arial" w:eastAsia="Arial"/>
                <w:b/>
                <w:sz w:val="20"/>
              </w:rPr>
              <w:t>Descrição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clientes</w:t>
            </w:r>
          </w:p>
        </w:tc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Armazena nome, e-mail, cidade, estado, país e data de criação.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planos</w:t>
            </w:r>
          </w:p>
        </w:tc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Armazena nome, descrição, preço mensal, limite de dispositivos, suporte e recursos.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assinaturas</w:t>
            </w:r>
          </w:p>
        </w:tc>
        <w:tc>
          <w:tcPr>
            <w:tcW w:type="dxa" w:w="4968"/>
          </w:tcPr>
          <w:p>
            <w:r>
              <w:rPr>
                <w:rFonts w:ascii="Arial" w:hAnsi="Arial" w:eastAsia="Arial"/>
                <w:b w:val="0"/>
                <w:sz w:val="20"/>
              </w:rPr>
              <w:t>Relaciona clientes e planos, armazenando quantidade, ciclo, status, valor mensal e cancelamento.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