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Una hora hoy.</w:t>
        <w:br/>
        <w:t>Un paso más cerca.</w:t>
      </w:r>
    </w:p>
    <w:p>
      <w:pPr>
        <w:pStyle w:val="Subtitle"/>
      </w:pPr>
      <w:r>
        <w:t>Ruta de preparación independiente · Analista I · OPEC 242699</w:t>
      </w:r>
    </w:p>
    <w:p>
      <w:r>
        <w:t>Manual de estudio y recuperación · Versión 1.1.0</w:t>
      </w:r>
    </w:p>
    <w:p>
      <w:r>
        <w:t>Revisión: 2026-10-20 · America/Bogota</w:t>
      </w:r>
    </w:p>
    <w:p>
      <w:pPr>
        <w:pStyle w:val="Heading1"/>
      </w:pPr>
      <w:r>
        <w:t>Antes de estudiar</w:t>
      </w:r>
    </w:p>
    <w:p>
      <w:r>
        <w:t>Este manual es útil sin abrir la aplicación: contiene las mismas explicaciones, ejemplos y ejercicios de recuperación. La guía de cada recuperación permite contrastar tu respuesta, sin calificación automática.</w:t>
      </w:r>
    </w:p>
    <w:p>
      <w:r>
        <w:t>La fecha objetivo del 8 de noviembre de 2026 fue aportada por la usuaria y no está confirmada oficialmente. El proceso de selección y la correspondencia de la OPEC con los adjuntos siguen pendientes.</w:t>
      </w:r>
    </w:p>
    <w:p>
      <w:r>
        <w:t>La edición ampliada desarrolla conceptos y casos de bienes, servicios, caja menor, mercancías, presupuesto y cierre, documentos electrónicos y acceso, estructura, SUMA y SUMAR.SI y razonamiento de varios pasos. Las tablas comparativas y los ejemplos resueltos acompañan las mismas explicaciones de la aplicación. La cobertura sigue siendo parcial.</w:t>
      </w:r>
    </w:p>
    <w:p>
      <w:r>
        <w:t>Este material no es oficial, no garantiza aprobar y no sustituye los documentos del concurso. Se consultaron normas y notas en el Normograma DIAN, pero no el corte del concurso ni los descriptores de competencias. CNSC no estuvo disponible (503). Las reflexiones de competencias no tienen una clave correcta.</w:t>
      </w:r>
    </w:p>
    <w:p>
      <w:r>
        <w:t>El término revisión documental completada indica lectura de un adjunto, comprobación en la fuente oficial localizada o cálculo reproducible. No implica revisión humana, validación psicométrica ni certificación institucional.</w:t>
      </w:r>
    </w:p>
    <w:p>
      <w:pPr>
        <w:pStyle w:val="Heading1"/>
      </w:pPr>
      <w:r>
        <w:t>Cómo usar una hora</w:t>
      </w:r>
    </w:p>
    <w:p>
      <w:pPr>
        <w:pStyle w:val="ListBullet"/>
      </w:pPr>
      <w:r>
        <w:t>10 minutos: recuperar errores e ideas sin mirar.</w:t>
      </w:r>
    </w:p>
    <w:p>
      <w:pPr>
        <w:pStyle w:val="ListBullet"/>
      </w:pPr>
      <w:r>
        <w:t>20 minutos: leer la explicación y trabajar el ejemplo.</w:t>
      </w:r>
    </w:p>
    <w:p>
      <w:pPr>
        <w:pStyle w:val="ListBullet"/>
      </w:pPr>
      <w:r>
        <w:t>20 minutos: practicar los ítems disponibles, sin completar cantidades con material dudoso.</w:t>
      </w:r>
    </w:p>
    <w:p>
      <w:pPr>
        <w:pStyle w:val="ListBullet"/>
      </w:pPr>
      <w:r>
        <w:t>10 minutos: revisar explicaciones, registrar pendientes y preparar el siguiente repaso.</w:t>
      </w:r>
    </w:p>
    <w:p>
      <w:r>
        <w:t>La ruta original tiene 19 bloques. Si quedan menos días, la aplicación agrupa bloques dentro de 60 minutos diarios, declara la reducción de profundidad y conserva lo pendiente. No supone más disponibilidad. Si la fecha pasó, ofrece una ruta flexible sin contador negativo.</w:t>
      </w:r>
    </w:p>
    <w:p>
      <w:pPr>
        <w:pStyle w:val="Heading1"/>
      </w:pPr>
      <w:r>
        <w:t>Ruta orientativa de 19 bloques</w:t>
      </w:r>
    </w:p>
    <w:p>
      <w:pPr>
        <w:pStyle w:val="Heading3"/>
      </w:pPr>
      <w:r>
        <w:t>S01 · Diagnóstico inicial</w:t>
      </w:r>
    </w:p>
    <w:p>
      <w:r>
        <w:t>Resuelve 27 ítems iniciales, tres por indicador. Son una señal de fundamentos, no una medida de dominio ni de cobertura integral.</w:t>
      </w:r>
    </w:p>
    <w:p>
      <w:pPr>
        <w:pStyle w:val="Heading3"/>
      </w:pPr>
      <w:r>
        <w:t>S02 · Misionalidad y estructura</w:t>
      </w:r>
    </w:p>
    <w:p>
      <w:r>
        <w:t>Distingue competencias institucionales, niveles y propósito del empleo con el Decreto 1742; adscripción OPEC pendiente.</w:t>
      </w:r>
    </w:p>
    <w:p>
      <w:pPr>
        <w:pStyle w:val="Heading3"/>
      </w:pPr>
      <w:r>
        <w:t>S03 · Bienes · alcance del cargo</w:t>
      </w:r>
    </w:p>
    <w:p>
      <w:r>
        <w:t>Lee la explicación esencial y trabaja un ejemplo resuelto; recupera con tus palabras y practica. La profundización restante puede continuarse otro día, dentro de tu hora disponible.</w:t>
      </w:r>
    </w:p>
    <w:p>
      <w:pPr>
        <w:pStyle w:val="Heading3"/>
      </w:pPr>
      <w:r>
        <w:t>S04 · Bienes · recuperar y contrastar</w:t>
      </w:r>
    </w:p>
    <w:p>
      <w:r>
        <w:t>Lee la explicación esencial y trabaja un ejemplo resuelto; recupera con tus palabras y practica. La profundización restante puede continuarse otro día, dentro de tu hora disponible.</w:t>
      </w:r>
    </w:p>
    <w:p>
      <w:pPr>
        <w:pStyle w:val="Heading3"/>
      </w:pPr>
      <w:r>
        <w:t>S05 · Servicios administrativos</w:t>
      </w:r>
    </w:p>
    <w:p>
      <w:r>
        <w:t>Lee la explicación esencial y trabaja un ejemplo resuelto; recupera con tus palabras y practica. La profundización restante puede continuarse otro día, dentro de tu hora disponible.</w:t>
      </w:r>
    </w:p>
    <w:p>
      <w:pPr>
        <w:pStyle w:val="Heading3"/>
      </w:pPr>
      <w:r>
        <w:t>S06 · Mercancías · actividad y soporte</w:t>
      </w:r>
    </w:p>
    <w:p>
      <w:r>
        <w:t>Lee la explicación esencial y trabaja un ejemplo resuelto; recupera con tus palabras y practica. La profundización restante puede continuarse otro día, dentro de tu hora disponible.</w:t>
      </w:r>
    </w:p>
    <w:p>
      <w:pPr>
        <w:pStyle w:val="Heading3"/>
      </w:pPr>
      <w:r>
        <w:t>S07 · Mercancías · recuperación</w:t>
      </w:r>
    </w:p>
    <w:p>
      <w:r>
        <w:t>Lee la explicación esencial y trabaja un ejemplo resuelto; recupera con tus palabras y practica. La profundización restante puede continuarse otro día, dentro de tu hora disponible.</w:t>
      </w:r>
    </w:p>
    <w:p>
      <w:pPr>
        <w:pStyle w:val="Heading3"/>
      </w:pPr>
      <w:r>
        <w:t>S08 · Presupuesto · primera lectura</w:t>
      </w:r>
    </w:p>
    <w:p>
      <w:r>
        <w:t>Lee la explicación esencial y trabaja un ejemplo resuelto; recupera con tus palabras y practica. La profundización restante puede continuarse otro día, dentro de tu hora disponible.</w:t>
      </w:r>
    </w:p>
    <w:p>
      <w:pPr>
        <w:pStyle w:val="Heading3"/>
      </w:pPr>
      <w:r>
        <w:t>S09 · Presupuesto · práctica y dudas</w:t>
      </w:r>
    </w:p>
    <w:p>
      <w:r>
        <w:t>Lee la explicación esencial y trabaja un ejemplo resuelto; recupera con tus palabras y practica. La profundización restante puede continuarse otro día, dentro de tu hora disponible.</w:t>
      </w:r>
    </w:p>
    <w:p>
      <w:pPr>
        <w:pStyle w:val="Heading3"/>
      </w:pPr>
      <w:r>
        <w:t>S10 · Gestión documental · contexto</w:t>
      </w:r>
    </w:p>
    <w:p>
      <w:r>
        <w:t>Lee la explicación esencial y trabaja un ejemplo resuelto; recupera con tus palabras y practica. La profundización restante puede continuarse otro día, dentro de tu hora disponible.</w:t>
      </w:r>
    </w:p>
    <w:p>
      <w:pPr>
        <w:pStyle w:val="Heading3"/>
      </w:pPr>
      <w:r>
        <w:t>S11 · Gestión documental · recuperación</w:t>
      </w:r>
    </w:p>
    <w:p>
      <w:r>
        <w:t>Lee la explicación esencial y trabaja un ejemplo resuelto; recupera con tus palabras y practica. La profundización restante puede continuarse otro día, dentro de tu hora disponible.</w:t>
      </w:r>
    </w:p>
    <w:p>
      <w:pPr>
        <w:pStyle w:val="Heading3"/>
      </w:pPr>
      <w:r>
        <w:t>S12 · Ofimática · SUMA con respaldo</w:t>
      </w:r>
    </w:p>
    <w:p>
      <w:r>
        <w:t>Lee la explicación esencial y trabaja un ejemplo resuelto; recupera con tus palabras y practica. La profundización restante puede continuarse otro día, dentro de tu hora disponible.</w:t>
      </w:r>
    </w:p>
    <w:p>
      <w:pPr>
        <w:pStyle w:val="Heading3"/>
      </w:pPr>
      <w:r>
        <w:t>S13 · Razonamiento matemático</w:t>
      </w:r>
    </w:p>
    <w:p>
      <w:r>
        <w:t>Lee la explicación esencial y trabaja un ejemplo resuelto; recupera con tus palabras y practica. La profundización restante puede continuarse otro día, dentro de tu hora disponible.</w:t>
      </w:r>
    </w:p>
    <w:p>
      <w:pPr>
        <w:pStyle w:val="Heading3"/>
      </w:pPr>
      <w:r>
        <w:t>S14 · Competencias · reflexión</w:t>
      </w:r>
    </w:p>
    <w:p>
      <w:r>
        <w:t>Lee la explicación esencial y trabaja un ejemplo resuelto; recupera con tus palabras y practica. La profundización restante puede continuarse otro día, dentro de tu hora disponible.</w:t>
      </w:r>
    </w:p>
    <w:p>
      <w:pPr>
        <w:pStyle w:val="Heading3"/>
      </w:pPr>
      <w:r>
        <w:t>S15 · Valores · reflexión</w:t>
      </w:r>
    </w:p>
    <w:p>
      <w:r>
        <w:t>Lee la explicación esencial y trabaja un ejemplo resuelto; recupera con tus palabras y practica. La profundización restante puede continuarse otro día, dentro de tu hora disponible.</w:t>
      </w:r>
    </w:p>
    <w:p>
      <w:pPr>
        <w:pStyle w:val="Heading3"/>
      </w:pPr>
      <w:r>
        <w:t>S16 · Simulacro parcial A</w:t>
      </w:r>
    </w:p>
    <w:p>
      <w:r>
        <w:t>25 preguntas reservadas con casos originales y fundamentos contrastados; máximo 60 minutos de entrenamiento. Revisa el razonamiento después de entregar. Cobertura parcial.</w:t>
      </w:r>
    </w:p>
    <w:p>
      <w:pPr>
        <w:pStyle w:val="Heading3"/>
      </w:pPr>
      <w:r>
        <w:t>S17 · Refuerzo según tus errores</w:t>
      </w:r>
    </w:p>
    <w:p>
      <w:r>
        <w:t>Prioriza los indicadores con errores registrados y los repasos vencidos.</w:t>
      </w:r>
    </w:p>
    <w:p>
      <w:pPr>
        <w:pStyle w:val="Heading3"/>
      </w:pPr>
      <w:r>
        <w:t>S18 · Simulacro parcial B</w:t>
      </w:r>
    </w:p>
    <w:p>
      <w:r>
        <w:t>25 preguntas reservadas con casos originales y fundamentos contrastados; máximo 60 minutos de entrenamiento. Revisa el razonamiento después de entregar. Cobertura parcial.</w:t>
      </w:r>
    </w:p>
    <w:p>
      <w:pPr>
        <w:pStyle w:val="Heading3"/>
      </w:pPr>
      <w:r>
        <w:t>S19 · Repaso final</w:t>
      </w:r>
    </w:p>
    <w:p>
      <w:r>
        <w:t>Recupera lo aprendido y revisa las limitaciones del banco antes de cerrar.</w:t>
      </w:r>
    </w:p>
    <w:p>
      <w:pPr>
        <w:pStyle w:val="Heading1"/>
      </w:pPr>
      <w:r>
        <w:t>Mapa del contenido</w:t>
      </w:r>
    </w:p>
    <w:p>
      <w:r>
        <w:t>L-BIE · Bienes: reconocer el alcance del apoyo — Lectura de la ficha como introducción. Las lecciones ampliadas siguientes desarrollan los apartados adicionales contrastados.</w:t>
      </w:r>
    </w:p>
    <w:p>
      <w:r>
        <w:t>L-BIE2 · Inventario patrimonial: del soporte a la conciliación y la entrega — Desarrollo de los apartados citados; cobertura temática parcial y corte del examen sin confirmar.</w:t>
      </w:r>
    </w:p>
    <w:p>
      <w:r>
        <w:t>L-SER · Servicios: leer una solicitud de apoyo — Lectura de la ficha como introducción. Las lecciones ampliadas siguientes desarrollan los apartados adicionales contrastados.</w:t>
      </w:r>
    </w:p>
    <w:p>
      <w:r>
        <w:t>L-SER2 · Servicios generales: planear, supervisar y documentar el incumplimiento — Desarrollo de los apartados citados; cobertura temática parcial y corte del examen sin confirmar.</w:t>
      </w:r>
    </w:p>
    <w:p>
      <w:r>
        <w:t>L-SER3 · Caja menor: urgencia con soportes y límites — Desarrollo de los apartados citados; cobertura temática parcial y corte del examen sin confirmar.</w:t>
      </w:r>
    </w:p>
    <w:p>
      <w:r>
        <w:t>L-MER · Mercancías: actividad, condición y soporte — Lectura de la ficha como introducción. Las lecciones ampliadas siguientes desarrollan los apartados adicionales contrastados.</w:t>
      </w:r>
    </w:p>
    <w:p>
      <w:r>
        <w:t>L-MER2 · Ingreso de mercancías: identidad, situación jurídica y avalúo — Desarrollo de los apartados citados; cobertura temática parcial y corte del examen sin confirmar.</w:t>
      </w:r>
    </w:p>
    <w:p>
      <w:r>
        <w:t>L-MER3 · Traslado, costos y disposición: resolver por condiciones — Desarrollo de los apartados citados; cobertura temática parcial y corte del examen sin confirmar.</w:t>
      </w:r>
    </w:p>
    <w:p>
      <w:r>
        <w:t>L-EST · Tres niveles y una estructura: leer sin adivinar la OPEC — Fundamentos de estructura contrastados; adscripción OPEC y actos internos pendientes</w:t>
      </w:r>
    </w:p>
    <w:p>
      <w:r>
        <w:t>L-PRE · Presupuesto público: empezar sin confundir sistemas — Lectura de la ficha como introducción. Las lecciones ampliadas siguientes desarrollan los apartados adicionales contrastados.</w:t>
      </w:r>
    </w:p>
    <w:p>
      <w:r>
        <w:t>L-PRE2 · Del CDP al pago: qué acredita cada operación — Desarrollo de los apartados citados; cobertura temática parcial y corte del examen sin confirmar.</w:t>
      </w:r>
    </w:p>
    <w:p>
      <w:r>
        <w:t>L-PRE3 · Cierre presupuestal: reservas y cuentas por pagar con números — Desarrollo de los apartados citados; cobertura temática parcial y corte del examen sin confirmar.</w:t>
      </w:r>
    </w:p>
    <w:p>
      <w:r>
        <w:t>L-DOC · Gestión documental: apoyo y límites de la fuente — Lectura de la ficha como introducción. Las lecciones ampliadas siguientes desarrollan los apartados adicionales contrastados.</w:t>
      </w:r>
    </w:p>
    <w:p>
      <w:r>
        <w:t>L-DOC2 · Documento, ciclo vital, tablas e inventarios — Conceptos archivísticos básicos contrastados; reglamentación y procedimientos específicos pendientes</w:t>
      </w:r>
    </w:p>
    <w:p>
      <w:r>
        <w:t>L-DOC3 · Expediente digital y acceso: integridad, firma y versión pública — Desarrollo de los apartados citados; cobertura temática parcial y corte del examen sin confirmar.</w:t>
      </w:r>
    </w:p>
    <w:p>
      <w:r>
        <w:t>L-MIS · Competencias de la DIAN y propósito del empleo — Competencias institucionales contrastadas; texto literal de misión y corte del concurso pendientes</w:t>
      </w:r>
    </w:p>
    <w:p>
      <w:r>
        <w:t>L-OFI · Excel: sumar con referencias y rangos — Fundamentos de SUMA documentados; cobertura de ofimática parcial, producto y edición del examen pendientes</w:t>
      </w:r>
    </w:p>
    <w:p>
      <w:r>
        <w:t>L-OFI2 · Excel aplicado: sumar por categoría y comprobar el resultado — Desarrollo de los apartados citados; cobertura temática parcial y corte del examen sin confirmar.</w:t>
      </w:r>
    </w:p>
    <w:p>
      <w:r>
        <w:t>L-MAT1 · Porcentajes, razones y promedios — Matemática reproducible; sin reglas jurídicas</w:t>
      </w:r>
    </w:p>
    <w:p>
      <w:r>
        <w:t>L-MAT2 · Datos, unidades y trabajo a tasa constante — Matemática reproducible; sin reglas jurídicas</w:t>
      </w:r>
    </w:p>
    <w:p>
      <w:r>
        <w:t>L-MAT3 · Casos de varios pasos: bases, porcentajes y promedios ponderados — Desarrollo de los apartados citados; cobertura temática parcial y corte del examen sin confirmar.</w:t>
      </w:r>
    </w:p>
    <w:p>
      <w:r>
        <w:t>L-COM · Competencias: reflexión sin inventar niveles — Descriptores y formato oficial pendientes</w:t>
      </w:r>
    </w:p>
    <w:p>
      <w:r>
        <w:t>L-COM2 · Competencias: de la descripción a una conducta observable — Lectura crítica del adjunto y reflexión original sin calificación. Correspondencia con diccionario oficial pendiente.</w:t>
      </w:r>
    </w:p>
    <w:p>
      <w:r>
        <w:t>L-VAL · Cinco valores: distinguir hechos y corregir rótulos del material — Guía didáctica original apoyada en la tabla final del adjunto; no es transcripción oficial verificada ni perfil calificable.</w:t>
      </w:r>
    </w:p>
    <w:p>
      <w:r>
        <w:br w:type="page"/>
      </w:r>
    </w:p>
    <w:p>
      <w:pPr>
        <w:pStyle w:val="Heading1"/>
      </w:pPr>
      <w:r>
        <w:t>1. Bienes: reconocer el alcance del apoyo</w:t>
      </w:r>
    </w:p>
    <w:p>
      <w:r>
        <w:t>Objetivo: Relacionar necesidades de bienes e infraestructura con la función 4 de la ficha, sin deducir procedimientos que el archivo no contiene.</w:t>
      </w:r>
    </w:p>
    <w:p>
      <w:r>
        <w:t>Estado: revisión documental completada | Versión 1.1.0 | Revisión 2026-10-20</w:t>
      </w:r>
    </w:p>
    <w:p>
      <w:r>
        <w:t>Alcance: Lectura de la ficha como introducción. Las lecciones ampliadas siguientes desarrollan los apartados adicionales contrastados.</w:t>
      </w:r>
    </w:p>
    <w:p>
      <w:pPr>
        <w:pStyle w:val="Heading2"/>
      </w:pPr>
      <w:r>
        <w:t>Explicación</w:t>
      </w:r>
    </w:p>
    <w:p>
      <w:r>
        <w:t>La función 4 del archivo TP-DE-2013 agrupa varias acciones de apoyo: servicios generales, transporte, provisión y aseguramiento de bienes, requerimientos de infraestructura y gestión documental. Incluye la administración y control de los bienes muebles de propiedad de la DIAN, los adquiridos y los asignados, y los inmuebles que conforman su patrimonio o se reciban en dación de pago. Esta enumeración permite identificar el alcance del empleo; no proporciona por sí sola un procedimiento de inventarios.</w:t>
      </w:r>
    </w:p>
    <w:p>
      <w:r>
        <w:t>Para una contadora con experiencia, la primera distinción útil es entre reconocer el objeto de una solicitud y determinar su tratamiento normativo. Leer que el cargo apoya la administración de bienes no permite fijar un umbral contable, decidir una baja, establecer una vida útil ni ordenar una transferencia. La ficha remite expresamente a normativa, políticas y procedimientos vigentes; esos documentos todavía no fueron consultados.</w:t>
      </w:r>
    </w:p>
    <w:p>
      <w:r>
        <w:t>Como ejercicio de lectura, prepara una tabla con tres columnas: hecho descrito, frase de la ficha que lo relaciona con el empleo y documento adicional que haría falta para ejecutar la acción. Esta tabla es una herramienta pedagógica, no un formato oficial. Su utilidad es impedir que una experiencia del sector privado se convierta, sin comprobación, en una regla para la entidad pública.</w:t>
      </w:r>
    </w:p>
    <w:p>
      <w:r>
        <w:t>El artículo 41, numerales 7 y 9, del Decreto 1742 ubica en la Subdirección Administrativa parámetros de administración y control de bienes y criterios para registro, custodia y manejo del inventario patrimonial, con información actualizada, oportuna y confiable y su contabilización. Es una función de esa dependencia, no una atribución automática de autorización para Analista I. Los formatos y flujos específicos siguen pendientes.</w:t>
      </w:r>
    </w:p>
    <w:p>
      <w:r>
        <w:t>Ahora puedes continuar en Inventario patrimonial: del soporte a la conciliación y la entrega. Allí se distinguen identificación, soporte y contabilización y se desarrolla la transferencia gratuita entre entidades estatales con el artículo concreto. No es necesario limitarse a reconocer una frase de la ficha.</w:t>
      </w:r>
    </w:p>
    <w:p>
      <w:pPr>
        <w:pStyle w:val="Heading2"/>
      </w:pPr>
      <w:r>
        <w:t>Ejemplo original</w:t>
      </w:r>
    </w:p>
    <w:p>
      <w:r>
        <w:t>Caso original: llega un requerimiento sobre un bien mueble asignado a un área. La función 4 permite relacionarlo con administración y control de bienes. Antes de afirmar quién autoriza un traslado o qué formato se usa, harían falta el procedimiento y la distribución de competencias aplicables.</w:t>
      </w:r>
    </w:p>
    <w:p>
      <w:pPr>
        <w:pStyle w:val="Heading2"/>
      </w:pPr>
      <w:r>
        <w:t>Distinciones importantes</w:t>
      </w:r>
    </w:p>
    <w:p>
      <w:pPr>
        <w:pStyle w:val="ListBullet"/>
      </w:pPr>
      <w:r>
        <w:t>Bienes de la entidad y mercancías aprehendidas aparecen en funciones diferentes; no asumas el mismo trámite.</w:t>
      </w:r>
    </w:p>
    <w:p>
      <w:pPr>
        <w:pStyle w:val="ListBullet"/>
      </w:pPr>
      <w:r>
        <w:t>Una actividad de apoyo no establece por sí misma competencia para autorizar decisiones.</w:t>
      </w:r>
    </w:p>
    <w:p>
      <w:pPr>
        <w:pStyle w:val="Heading2"/>
      </w:pPr>
      <w:r>
        <w:t>Errores frecuentes</w:t>
      </w:r>
    </w:p>
    <w:p>
      <w:pPr>
        <w:pStyle w:val="ListBullet"/>
      </w:pPr>
      <w:r>
        <w:t>Inventar formatos, periodicidades de inventario o responsables de aprobación.</w:t>
      </w:r>
    </w:p>
    <w:p>
      <w:pPr>
        <w:pStyle w:val="ListBullet"/>
      </w:pPr>
      <w:r>
        <w:t>Trasladar políticas contables de una empresa privada a la DIAN sin fuente.</w:t>
      </w:r>
    </w:p>
    <w:p>
      <w:pPr>
        <w:pStyle w:val="Heading2"/>
      </w:pPr>
      <w:r>
        <w:t>Recuperación: responde antes de leer la guía</w:t>
      </w:r>
    </w:p>
    <w:p>
      <w:r>
        <w:t>Explica qué permite comprobar la función 4 sobre un bien asignado y qué no permite afirmar sobre su traslado.</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Permite relacionar su administración y control con el apoyo del empleo. No fija autorización, formulario, plazo ni procedimiento de traslado.</w:t>
      </w:r>
    </w:p>
    <w:p>
      <w:pPr>
        <w:pStyle w:val="Heading3"/>
      </w:pPr>
      <w:r>
        <w:t>Fuentes de esta lección</w:t>
      </w:r>
    </w:p>
    <w:p>
      <w:r>
        <w:t>ADJ-PDF · Descripción del empleo · Analista I · TP-DE-2013. Página 1, función 4. Estado: leído en adjunto. Archivo/URL: ./docs/ficha-TP-DE-2013.pdf.</w:t>
      </w:r>
    </w:p>
    <w:p>
      <w:r>
        <w:t>OF-D1742 · Decreto 1742 de 2020 · estructura y funciones de la DIAN. Art. 41, numerales 7 y 9. Estado: contrastado en fuente oficial. Archivo/URL: https://normograma.dian.gov.co/dian/compilacion/docs/decreto_1742_2020.htm.</w:t>
      </w:r>
    </w:p>
    <w:p>
      <w:r>
        <w:br w:type="page"/>
      </w:r>
    </w:p>
    <w:p>
      <w:pPr>
        <w:pStyle w:val="Heading1"/>
      </w:pPr>
      <w:r>
        <w:t>2. Inventario patrimonial: del soporte a la conciliación y la entrega</w:t>
      </w:r>
    </w:p>
    <w:p>
      <w:r>
        <w:t>Objetivo: Explicar cómo se relacionan identificación, custodia, movimiento y contabilización; resolver una transferencia gratuita con los datos del caso.</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Un inventario útil permite reconocer cada bien y reconstruir qué ocurrió con él. El art. 41.9 del Decreto 1742 conecta registro, administración, custodia y manejo con información actualizada, oportuna y confiable y con su contabilización. La conciliación no termina al igualar un total: también necesita explicar diferencias de ubicación, identificación o responsable.</w:t>
      </w:r>
    </w:p>
    <w:p>
      <w:r>
        <w:t>Usa cuatro preguntas de trabajo: ¿qué bien es?, ¿dónde está?, ¿a quién se entregó para su uso o custodia?, ¿qué soporte explica el último movimiento? Serial, placa, descripción y ubicación son ejemplos didácticos de datos de control; el procedimiento interno determina los campos oficiales y quién puede modificarlos. Un cambio de oficina no demuestra por sí solo una baja o un cambio de propiedad.</w:t>
      </w:r>
    </w:p>
    <w:p>
      <w:r>
        <w:t>En una conciliación compara la existencia física, el registro de movimientos y la información contable que corresponda. Si dos registros tienen el mismo serial, no concluyas que hay dos equipos. Si falta un soporte, registra la diferencia para verificación; ajustar una cifra para ocultarla destruye la trazabilidad. Esta es una técnica de análisis, no un procedimiento disciplinario ni autorización para imputar responsabilidad.</w:t>
      </w:r>
    </w:p>
    <w:p>
      <w:r>
        <w:t>Para los bienes muebles que una entidad estatal no utiliza, el art. 2.2.1.2.2.4.3 del Decreto 1082 regula el ofrecimiento gratuito a otras entidades estatales: inventario, acto motivado y publicación en la web. La interesada manifiesta por escrito su necesidad funcional y las razones dentro de treinta días calendario desde la publicación. Esta modalidad no incluye automáticamente a cualquier particular.</w:t>
      </w:r>
    </w:p>
    <w:p>
      <w:r>
        <w:t>Si hay dos o más manifestaciones de entidades estatales, la norma da preferencia a la que primero manifestó interés. Primero comprueba destinatario, oportunidad y contenido de cada solicitud; después compara el orden de llegada. Una finalidad social atractiva no reemplaza las condiciones de esa disposición.</w:t>
      </w:r>
    </w:p>
    <w:p>
      <w:r>
        <w:t>Los representantes legales suscriben el acta de entrega y fijan la entrega material dentro de un máximo de treinta días calendario desde su suscripción. Distingue este plazo del que corre para manifestar interés: tienen duración similar, pero hechos iniciales diferentes. El Analista prepara y verifica dentro de su encargo; la ficha no le da por sí sola representación legal.</w:t>
      </w:r>
    </w:p>
    <w:p>
      <w:pPr>
        <w:pStyle w:val="Heading2"/>
      </w:pPr>
      <w:r>
        <w:t>Ejemplo original</w:t>
      </w:r>
    </w:p>
    <w:p>
      <w:r>
        <w:t>Ejemplo original: se ofrecen 12 monitores no utilizados. Dos entidades públicas presentan solicitudes completas, ambas oportunas, el 6 y el 9 de agosto; una organización privada los pide el 4. Para esta modalidad, se analiza la solicitud pública del 6, no la privada del 4.</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Situación</w:t>
            </w:r>
          </w:p>
        </w:tc>
        <w:tc>
          <w:tcPr>
            <w:tcW w:type="dxa" w:w="2880"/>
          </w:tcPr>
          <w:p>
            <w:r>
              <w:t>Qué comprobar</w:t>
            </w:r>
          </w:p>
        </w:tc>
        <w:tc>
          <w:tcPr>
            <w:tcW w:type="dxa" w:w="2880"/>
          </w:tcPr>
          <w:p>
            <w:r>
              <w:t>Confusión que se evita</w:t>
            </w:r>
          </w:p>
        </w:tc>
      </w:tr>
      <w:tr>
        <w:tc>
          <w:tcPr>
            <w:tcW w:type="dxa" w:w="2880"/>
          </w:tcPr>
          <w:p>
            <w:r>
              <w:t>Traslado interno</w:t>
            </w:r>
          </w:p>
        </w:tc>
        <w:tc>
          <w:tcPr>
            <w:tcW w:type="dxa" w:w="2880"/>
          </w:tcPr>
          <w:p>
            <w:r>
              <w:t>Identidad, ubicación y soporte del movimiento</w:t>
            </w:r>
          </w:p>
        </w:tc>
        <w:tc>
          <w:tcPr>
            <w:tcW w:type="dxa" w:w="2880"/>
          </w:tcPr>
          <w:p>
            <w:r>
              <w:t>Trasladar no es dar de baja</w:t>
            </w:r>
          </w:p>
        </w:tc>
      </w:tr>
      <w:tr>
        <w:tc>
          <w:tcPr>
            <w:tcW w:type="dxa" w:w="2880"/>
          </w:tcPr>
          <w:p>
            <w:r>
              <w:t>Bien no utilizado que se ofrece gratis</w:t>
            </w:r>
          </w:p>
        </w:tc>
        <w:tc>
          <w:tcPr>
            <w:tcW w:type="dxa" w:w="2880"/>
          </w:tcPr>
          <w:p>
            <w:r>
              <w:t>Inventario, acto, publicación y entidades interesadas</w:t>
            </w:r>
          </w:p>
        </w:tc>
        <w:tc>
          <w:tcPr>
            <w:tcW w:type="dxa" w:w="2880"/>
          </w:tcPr>
          <w:p>
            <w:r>
              <w:t>No es una donación libre a cualquier particular</w:t>
            </w:r>
          </w:p>
        </w:tc>
      </w:tr>
      <w:tr>
        <w:tc>
          <w:tcPr>
            <w:tcW w:type="dxa" w:w="2880"/>
          </w:tcPr>
          <w:p>
            <w:r>
              <w:t>Entrega entre entidades</w:t>
            </w:r>
          </w:p>
        </w:tc>
        <w:tc>
          <w:tcPr>
            <w:tcW w:type="dxa" w:w="2880"/>
          </w:tcPr>
          <w:p>
            <w:r>
              <w:t>Acta de representantes y fecha de entrega material</w:t>
            </w:r>
          </w:p>
        </w:tc>
        <w:tc>
          <w:tcPr>
            <w:tcW w:type="dxa" w:w="2880"/>
          </w:tcPr>
          <w:p>
            <w:r>
              <w:t>Preparar el acta no equivale a firmarla como representante</w:t>
            </w:r>
          </w:p>
        </w:tc>
      </w:tr>
    </w:tbl>
    <w:p>
      <w:pPr>
        <w:pStyle w:val="Heading2"/>
      </w:pPr>
      <w:r>
        <w:t>Cómo resolver el ejemplo</w:t>
      </w:r>
    </w:p>
    <w:p>
      <w:pPr>
        <w:pStyle w:val="ListNumber"/>
      </w:pPr>
      <w:r>
        <w:t>Identifica que el caso trata de bienes muebles patrimoniales, no de mercancías decomisadas.</w:t>
      </w:r>
    </w:p>
    <w:p>
      <w:pPr>
        <w:pStyle w:val="ListNumber"/>
      </w:pPr>
      <w:r>
        <w:t>Separa a quienes pueden participar en esta modalidad de quienes no.</w:t>
      </w:r>
    </w:p>
    <w:p>
      <w:pPr>
        <w:pStyle w:val="ListNumber"/>
      </w:pPr>
      <w:r>
        <w:t>Comprueba que las manifestaciones públicas son completas y oportunas.</w:t>
      </w:r>
    </w:p>
    <w:p>
      <w:pPr>
        <w:pStyle w:val="ListNumber"/>
      </w:pPr>
      <w:r>
        <w:t>Aplica la preferencia a la primera entidad estatal y prepara el acta para quienes tienen representación.</w:t>
      </w:r>
    </w:p>
    <w:p>
      <w:pPr>
        <w:pStyle w:val="Heading2"/>
      </w:pPr>
      <w:r>
        <w:t>Distinciones importantes</w:t>
      </w:r>
    </w:p>
    <w:p>
      <w:pPr>
        <w:pStyle w:val="ListBullet"/>
      </w:pPr>
      <w:r>
        <w:t>Identifica que el caso trata de bienes muebles patrimoniales, no de mercancías decomisadas.</w:t>
      </w:r>
    </w:p>
    <w:p>
      <w:pPr>
        <w:pStyle w:val="ListBullet"/>
      </w:pPr>
      <w:r>
        <w:t>Aplica la preferencia a la primera entidad estatal y prepara el acta para quienes tienen representación.</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Explica por qué el primer correo no siempre determina al destinatario y distingue los dos plazos de treinta días.</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La preferencia opera entre entidades estatales que manifiestan interés en las condiciones de la disposición. Un plazo corre desde publicación para manifestar interés; el otro desde suscripción del acta para la entrega material.</w:t>
      </w:r>
    </w:p>
    <w:p>
      <w:pPr>
        <w:pStyle w:val="Heading3"/>
      </w:pPr>
      <w:r>
        <w:t>Fuentes de esta lección</w:t>
      </w:r>
    </w:p>
    <w:p>
      <w:r>
        <w:t>OF-D1742 · Decreto 1742 de 2020 · estructura y funciones de la DIAN. Art. 41, numerales 7 y 9. Estado: contrastado en fuente oficial. Archivo/URL: https://normograma.dian.gov.co/dian/compilacion/docs/decreto_1742_2020.htm.</w:t>
      </w:r>
    </w:p>
    <w:p>
      <w:r>
        <w:t>OF-D1082 · Decreto 1082 de 2015 · adquisiciones y transferencia gratuita. Art. 2.2.1.2.2.4.3. Estado: revisión documental completada. Archivo/URL: https://normograma.dian.gov.co/dian/compilacion/docs/decreto_1082_2015.htm.</w:t>
      </w:r>
    </w:p>
    <w:p>
      <w:r>
        <w:t>ADJ-ESTUDIO · MATERIAL DE ESTUDIO · documento aportado. Párrafos 29–30 y tabla de enajenación. Estado: analizado; no es fuente oficial. Archivo/URL: ./docs/analisis-materiales-ampliacion.md.</w:t>
      </w:r>
    </w:p>
    <w:p>
      <w:r>
        <w:t>ADJ-SIMULACRO · Simulacro DIAN 2676 · OPEC 242699 · ConMérito. PDF pp. 3 y 114: tema de transferencia gratuita; caso nuevo con datos distintos. Estado: analizado; no es fuente oficial. Archivo/URL: ./docs/analisis-materiales-ampliacion.md.</w:t>
      </w:r>
    </w:p>
    <w:p>
      <w:r>
        <w:br w:type="page"/>
      </w:r>
    </w:p>
    <w:p>
      <w:pPr>
        <w:pStyle w:val="Heading1"/>
      </w:pPr>
      <w:r>
        <w:t>3. Servicios: leer una solicitud de apoyo</w:t>
      </w:r>
    </w:p>
    <w:p>
      <w:r>
        <w:t>Objetivo: Distinguir el apoyo a servicios administrativos de las decisiones o procedimientos que no aparecen en la ficha.</w:t>
      </w:r>
    </w:p>
    <w:p>
      <w:r>
        <w:t>Estado: revisión documental completada | Versión 1.1.0 | Revisión 2026-10-20</w:t>
      </w:r>
    </w:p>
    <w:p>
      <w:r>
        <w:t>Alcance: Lectura de la ficha como introducción. Las lecciones ampliadas siguientes desarrollan los apartados adicionales contrastados.</w:t>
      </w:r>
    </w:p>
    <w:p>
      <w:pPr>
        <w:pStyle w:val="Heading2"/>
      </w:pPr>
      <w:r>
        <w:t>Explicación</w:t>
      </w:r>
    </w:p>
    <w:p>
      <w:r>
        <w:t>La función 4 ordena apoyar a todos los subprocesos en acciones que faciliten servicios generales, transporte, provisión de bienes y servicios, aseguramiento de bienes y requerimientos de infraestructura. La expresión apoyar conecta el empleo con necesidades de operación. No reemplaza una delegación de competencias ni detalla las etapas de contratación.</w:t>
      </w:r>
    </w:p>
    <w:p>
      <w:r>
        <w:t>Una forma de estudiar es clasificar cada solicitud según su objeto: transporte, infraestructura, provisión o aseguramiento. Después anota qué parte está literalmente nombrada y qué requiere consulta adicional. Clasificar una necesidad no equivale a seleccionar una modalidad contractual ni a determinar el gasto autorizado. Esa separación ayuda a aprovechar tu experiencia contable sin atribuir a la ficha información que no tiene.</w:t>
      </w:r>
    </w:p>
    <w:p>
      <w:r>
        <w:t>Las funciones 7 y 9 también mencionan procesar información y prestar apoyo técnico, administrativo y operativo en planes y componentes. Son funciones más amplias del manual. Aquí solo las usamos como contexto del cargo; no añadimos auditoría, contratación completa ni todo el sistema de gestión al temario del Word. El alcance de una evaluación se debe confirmar en los documentos de la inscripción.</w:t>
      </w:r>
    </w:p>
    <w:p>
      <w:r>
        <w:t>El Decreto 1742, artículo 41, numeral 1, asigna a la Subdirección Administrativa administrar recursos físicos y garantizar servicios generales, con lineamientos nacionales. Su numeral 6 menciona administrar y controlar el parque automotor conforme a reglamentos y normas. Esto aporta contexto institucional al apoyo del empleo, sin determinar proveedor ni modalidad contractual para un caso.</w:t>
      </w:r>
    </w:p>
    <w:p>
      <w:r>
        <w:t>La ampliación desarrolla planeación mediante el Plan Anual de Adquisiciones, seguimiento contractual y diferencia entre informe y sanción. Otra lectura estudia caja menor. Se conservan los límites de competencia del empleo, pero ya hay fuentes adicionales para enseñar esos conceptos.</w:t>
      </w:r>
    </w:p>
    <w:p>
      <w:pPr>
        <w:pStyle w:val="Heading2"/>
      </w:pPr>
      <w:r>
        <w:t>Ejemplo original</w:t>
      </w:r>
    </w:p>
    <w:p>
      <w:r>
        <w:t>Caso original: un área necesita transporte para una actividad. La solicitud se relaciona expresamente con la función 4. La ficha no identifica proveedor, modalidad, plazo o aprobación; no sería correcto inventarlos para resolver el caso.</w:t>
      </w:r>
    </w:p>
    <w:p>
      <w:pPr>
        <w:pStyle w:val="Heading2"/>
      </w:pPr>
      <w:r>
        <w:t>Distinciones importantes</w:t>
      </w:r>
    </w:p>
    <w:p>
      <w:pPr>
        <w:pStyle w:val="ListBullet"/>
      </w:pPr>
      <w:r>
        <w:t>Objeto de la solicitud y procedimiento para atenderla son preguntas diferentes.</w:t>
      </w:r>
    </w:p>
    <w:p>
      <w:pPr>
        <w:pStyle w:val="ListBullet"/>
      </w:pPr>
      <w:r>
        <w:t>El listado de indicadores no incorpora automáticamente todos los temas del manual.</w:t>
      </w:r>
    </w:p>
    <w:p>
      <w:pPr>
        <w:pStyle w:val="Heading2"/>
      </w:pPr>
      <w:r>
        <w:t>Errores frecuentes</w:t>
      </w:r>
    </w:p>
    <w:p>
      <w:pPr>
        <w:pStyle w:val="ListBullet"/>
      </w:pPr>
      <w:r>
        <w:t>Confundir asegurar un bien con custodiar una mercancía de la función 2.</w:t>
      </w:r>
    </w:p>
    <w:p>
      <w:pPr>
        <w:pStyle w:val="ListBullet"/>
      </w:pPr>
      <w:r>
        <w:t>Responder con modalidades o cuantías de contratación no verificadas.</w:t>
      </w:r>
    </w:p>
    <w:p>
      <w:pPr>
        <w:pStyle w:val="Heading2"/>
      </w:pPr>
      <w:r>
        <w:t>Recuperación: responde antes de leer la guía</w:t>
      </w:r>
    </w:p>
    <w:p>
      <w:r>
        <w:t>Ubica una solicitud de transporte en la ficha y menciona dos datos operativos que todavía no podrían responderse.</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Función 4. No se pueden establecer, por ejemplo, la modalidad de contratación ni el funcionario que aprueba con este archivo solamente.</w:t>
      </w:r>
    </w:p>
    <w:p>
      <w:pPr>
        <w:pStyle w:val="Heading3"/>
      </w:pPr>
      <w:r>
        <w:t>Fuentes de esta lección</w:t>
      </w:r>
    </w:p>
    <w:p>
      <w:r>
        <w:t>ADJ-PDF · Descripción del empleo · Analista I · TP-DE-2013. Página 1, funciones 4, 7 y 9. Estado: leído en adjunto. Archivo/URL: ./docs/ficha-TP-DE-2013.pdf.</w:t>
      </w:r>
    </w:p>
    <w:p>
      <w:r>
        <w:t>OF-D1742 · Decreto 1742 de 2020 · estructura y funciones de la DIAN. Art. 41, numerales 1 y 6. Estado: contrastado en fuente oficial. Archivo/URL: https://normograma.dian.gov.co/dian/compilacion/docs/decreto_1742_2020.htm.</w:t>
      </w:r>
    </w:p>
    <w:p>
      <w:r>
        <w:br w:type="page"/>
      </w:r>
    </w:p>
    <w:p>
      <w:pPr>
        <w:pStyle w:val="Heading1"/>
      </w:pPr>
      <w:r>
        <w:t>4. Servicios generales: planear, supervisar y documentar el incumplimiento</w:t>
      </w:r>
    </w:p>
    <w:p>
      <w:r>
        <w:t>Objetivo: Distinguir planeación de adquisición, seguimiento del contrato y decisión sancionatoria mediante una solicitud de servicios.</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Empieza por describir la necesidad y el resultado esperado. Para un servicio de aseo no basta decir contratar aseo: hacen falta alcance, sedes, condiciones de prestación y forma de verificar el cumplimiento. Estos son ejemplos para comprender la planeación; las especificaciones reales deben surgir del caso y de los documentos del proceso.</w:t>
      </w:r>
    </w:p>
    <w:p>
      <w:r>
        <w:t>El Plan Anual de Adquisiciones reúne bienes, obras y servicios que se pretende adquirir durante el año. El Decreto 1082 exige información mínima como necesidad, identificación cuando se conoce el objeto, valor estimado, recursos, modalidad y fecha aproximada de inicio. Figurar en el plan no obliga a efectuar el proceso ni reemplaza los estudios o la disponibilidad presupuestal.</w:t>
      </w:r>
    </w:p>
    <w:p>
      <w:r>
        <w:t>Cuando cambian cronogramas, valores, modalidad, recursos o bienes y servicios previstos, debe actualizarse el plan; también se contempla al menos una actualización durante la vigencia. Actualizar un instrumento de planeación no equivale a adjudicar ni a modificar por sí mismo un contrato en ejecución.</w:t>
      </w:r>
    </w:p>
    <w:p>
      <w:r>
        <w:t>Los estudios previos desarrollan necesidad, objeto, justificación de modalidad, valor y su soporte, riesgos y demás elementos aplicables. La compilación consultada anota una reforma de 2026 con implementación progresiva: aquí se estudian elementos comunes de análisis y se deja pendiente su calendario específico. No memorices como universal una lista vieja o nueva sin considerar esa transición.</w:t>
      </w:r>
    </w:p>
    <w:p>
      <w:r>
        <w:t>La supervisión del art. 83 de la Ley 1474 es seguimiento técnico, administrativo, financiero, contable y jurídico por la entidad cuando no se requieren conocimientos especializados. La interventoría implica seguimiento contratado que requiere conocimiento especializado o responde a complejidad o extensión. No se eligen únicamente por el nombre del cargo de una persona.</w:t>
      </w:r>
    </w:p>
    <w:p>
      <w:r>
        <w:t>El supervisor o interventor puede solicitar informes, aclaraciones y explicaciones. Debe informar a la entidad sobre hechos que pongan en riesgo el cumplimiento o sobre incumplimientos. Un informe útil relaciona obligación, evidencia, fecha, diferencia observada y actuación requerida; ese esquema es una guía didáctica de análisis, no un formato obligatorio.</w:t>
      </w:r>
    </w:p>
    <w:p>
      <w:r>
        <w:t>Reportar el incumplimiento no es imponer automáticamente una multa. El art. 86 prevé citación, audiencia, oportunidad de descargos y decisión por resolución motivada. El jefe de la entidad o su delegado interviene en ese procedimiento. Tampoco la ficha convierte automáticamente a cualquier Analista I en supervisor: hace falta la asignación y el ámbito de competencia correspondientes.</w:t>
      </w:r>
    </w:p>
    <w:p>
      <w:pPr>
        <w:pStyle w:val="Heading2"/>
      </w:pPr>
      <w:r>
        <w:t>Ejemplo original</w:t>
      </w:r>
    </w:p>
    <w:p>
      <w:r>
        <w:t>Ejemplo original: faltan dos turnos de vigilancia pactados. La persona designada para supervisar contrasta las planillas con el contrato, solicita explicación y documenta e informa el posible incumplimiento. No firma una multa por su sola calidad de supervisora.</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Instrumento o actuación</w:t>
            </w:r>
          </w:p>
        </w:tc>
        <w:tc>
          <w:tcPr>
            <w:tcW w:type="dxa" w:w="2880"/>
          </w:tcPr>
          <w:p>
            <w:r>
              <w:t>Pregunta que responde</w:t>
            </w:r>
          </w:p>
        </w:tc>
        <w:tc>
          <w:tcPr>
            <w:tcW w:type="dxa" w:w="2880"/>
          </w:tcPr>
          <w:p>
            <w:r>
              <w:t>No sustituye</w:t>
            </w:r>
          </w:p>
        </w:tc>
      </w:tr>
      <w:tr>
        <w:tc>
          <w:tcPr>
            <w:tcW w:type="dxa" w:w="2880"/>
          </w:tcPr>
          <w:p>
            <w:r>
              <w:t>Plan Anual de Adquisiciones</w:t>
            </w:r>
          </w:p>
        </w:tc>
        <w:tc>
          <w:tcPr>
            <w:tcW w:type="dxa" w:w="2880"/>
          </w:tcPr>
          <w:p>
            <w:r>
              <w:t>¿Qué se pretende adquirir y cuándo?</w:t>
            </w:r>
          </w:p>
        </w:tc>
        <w:tc>
          <w:tcPr>
            <w:tcW w:type="dxa" w:w="2880"/>
          </w:tcPr>
          <w:p>
            <w:r>
              <w:t>Estudios, disponibilidad o adjudicación</w:t>
            </w:r>
          </w:p>
        </w:tc>
      </w:tr>
      <w:tr>
        <w:tc>
          <w:tcPr>
            <w:tcW w:type="dxa" w:w="2880"/>
          </w:tcPr>
          <w:p>
            <w:r>
              <w:t>Supervisión</w:t>
            </w:r>
          </w:p>
        </w:tc>
        <w:tc>
          <w:tcPr>
            <w:tcW w:type="dxa" w:w="2880"/>
          </w:tcPr>
          <w:p>
            <w:r>
              <w:t>¿Se está cumpliendo lo pactado?</w:t>
            </w:r>
          </w:p>
        </w:tc>
        <w:tc>
          <w:tcPr>
            <w:tcW w:type="dxa" w:w="2880"/>
          </w:tcPr>
          <w:p>
            <w:r>
              <w:t>La competencia y el procedimiento para sancionar</w:t>
            </w:r>
          </w:p>
        </w:tc>
      </w:tr>
      <w:tr>
        <w:tc>
          <w:tcPr>
            <w:tcW w:type="dxa" w:w="2880"/>
          </w:tcPr>
          <w:p>
            <w:r>
              <w:t>Informe de seguimiento</w:t>
            </w:r>
          </w:p>
        </w:tc>
        <w:tc>
          <w:tcPr>
            <w:tcW w:type="dxa" w:w="2880"/>
          </w:tcPr>
          <w:p>
            <w:r>
              <w:t>¿Qué obligación y evidencia muestran un problema?</w:t>
            </w:r>
          </w:p>
        </w:tc>
        <w:tc>
          <w:tcPr>
            <w:tcW w:type="dxa" w:w="2880"/>
          </w:tcPr>
          <w:p>
            <w:r>
              <w:t>La decisión motivada de la autoridad competente</w:t>
            </w:r>
          </w:p>
        </w:tc>
      </w:tr>
    </w:tbl>
    <w:p>
      <w:pPr>
        <w:pStyle w:val="Heading2"/>
      </w:pPr>
      <w:r>
        <w:t>Cómo resolver el ejemplo</w:t>
      </w:r>
    </w:p>
    <w:p>
      <w:pPr>
        <w:pStyle w:val="ListNumber"/>
      </w:pPr>
      <w:r>
        <w:t>Identifica la etapa: aquí hay un contrato en ejecución.</w:t>
      </w:r>
    </w:p>
    <w:p>
      <w:pPr>
        <w:pStyle w:val="ListNumber"/>
      </w:pPr>
      <w:r>
        <w:t>Relaciona cada turno faltante con una obligación verificable.</w:t>
      </w:r>
    </w:p>
    <w:p>
      <w:pPr>
        <w:pStyle w:val="ListNumber"/>
      </w:pPr>
      <w:r>
        <w:t>Documenta y comunica los hechos, y permite la explicación correspondiente.</w:t>
      </w:r>
    </w:p>
    <w:p>
      <w:pPr>
        <w:pStyle w:val="ListNumber"/>
      </w:pPr>
      <w:r>
        <w:t>Separa el informe de supervisión de la decisión sancionatoria y su debido procedimiento.</w:t>
      </w:r>
    </w:p>
    <w:p>
      <w:pPr>
        <w:pStyle w:val="Heading2"/>
      </w:pPr>
      <w:r>
        <w:t>Distinciones importantes</w:t>
      </w:r>
    </w:p>
    <w:p>
      <w:pPr>
        <w:pStyle w:val="ListBullet"/>
      </w:pPr>
      <w:r>
        <w:t>Identifica la etapa: aquí hay un contrato en ejecución.</w:t>
      </w:r>
    </w:p>
    <w:p>
      <w:pPr>
        <w:pStyle w:val="ListBullet"/>
      </w:pPr>
      <w:r>
        <w:t>Separa el informe de supervisión de la decisión sancionatoria y su debido procedimiento.</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Una compra figura en el plan y el proveedor incumple un contrato distinto: ¿qué instrumento revisarías en cada asunto y quién no queda autorizado automáticamente a multar?</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Para la compra se revisa y actualiza el plan y se desarrollan los requisitos del proceso; figurar allí no obliga a contratar. Para el incumplimiento se revisan contrato, soportes y deberes de supervisión. El supervisor no adquiere por ese rol la facultad de imponer la multa.</w:t>
      </w:r>
    </w:p>
    <w:p>
      <w:pPr>
        <w:pStyle w:val="Heading3"/>
      </w:pPr>
      <w:r>
        <w:t>Fuentes de esta lección</w:t>
      </w:r>
    </w:p>
    <w:p>
      <w:r>
        <w:t>OF-D1082 · Decreto 1082 de 2015 · adquisiciones y transferencia gratuita. Arts. 2.2.1.1.1.4.1, 2.2.1.1.1.4.2, 2.2.1.1.1.4.4 y 2.2.1.1.2.1.1. Estado: revisión documental completada. Archivo/URL: https://normograma.dian.gov.co/dian/compilacion/docs/decreto_1082_2015.htm.</w:t>
      </w:r>
    </w:p>
    <w:p>
      <w:r>
        <w:t>OF-L1474 · Ley 1474 de 2011 · supervisión e interventoría. Arts. 83, 84 y 86. Estado: revisión documental completada. Archivo/URL: https://normograma.dian.gov.co/dian/compilacion/docs/ley_1474_2011.htm.</w:t>
      </w:r>
    </w:p>
    <w:p>
      <w:r>
        <w:t>ADJ-ESTUDIO · MATERIAL DE ESTUDIO · documento aportado. Párrafos 13–18. Estado: analizado; no es fuente oficial. Archivo/URL: ./docs/analisis-materiales-ampliacion.md.</w:t>
      </w:r>
    </w:p>
    <w:p>
      <w:r>
        <w:br w:type="page"/>
      </w:r>
    </w:p>
    <w:p>
      <w:pPr>
        <w:pStyle w:val="Heading1"/>
      </w:pPr>
      <w:r>
        <w:t>5. Caja menor: urgencia con soportes y límites</w:t>
      </w:r>
    </w:p>
    <w:p>
      <w:r>
        <w:t>Objetivo: Reconocer los requisitos de una caja menor y detectar el fraccionamiento o la falta de soportes en situaciones de apoyo.</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Una caja menor no es una bolsa sin reglas ni una forma de saltarse cualquier proceso por invocar urgencia. El art. 2.8.5.2 del Decreto 1068 exige constitución para cada vigencia mediante resolución que indique cuantía, responsable, finalidad, clase de gastos, unidad ejecutora y rubros. Tanto constitución como reembolso requieren CDP.</w:t>
      </w:r>
    </w:p>
    <w:p>
      <w:r>
        <w:t>Antes de proponer el uso de caja menor identifica qué gasto está permitido en esa caja, qué rubro lo cubre, quién responde por su manejo y qué soporte acreditará la operación. Que exista dinero disponible no demuestra por sí solo que cualquier gasto sea admisible.</w:t>
      </w:r>
    </w:p>
    <w:p>
      <w:r>
        <w:t>El art. 2.8.5.8 prohíbe fraccionar compras de un mismo elemento o servicio. Si se requiere una compra única, dividirla artificialmente en varias facturas para hacerla pasar como gastos separados no corrige su naturaleza. Examina la necesidad completa, no solo el valor de cada recibo.</w:t>
      </w:r>
    </w:p>
    <w:p>
      <w:r>
        <w:t>También se prohíbe adquirir elementos cuya existencia esté comprobada en el almacén, pagar ciertos contratos que deben constar por escrito, efectuar préstamos o pagar gastos sin los soportes exigidos. El artículo contiene una excepción concreta sobre servicios públicos en seccionales o regionales; por eso no se enseña que esa prohibición carezca de excepciones.</w:t>
      </w:r>
    </w:p>
    <w:p>
      <w:r>
        <w:t>El art. 2.8.5.7 fija legalización dentro de los cinco días siguientes a la realización del gasto y prohíbe entregar nuevos recursos a quien no legalizó el anterior. Se conserva la expresión de la norma: no se añade la palabra hábiles si el texto consultado no la contiene.</w:t>
      </w:r>
    </w:p>
    <w:p>
      <w:r>
        <w:t>En una pregunta, el orden de análisis es necesidad, habilitación de la caja, prohibiciones y soportes. Una solicitud urgente puede ser real y aun así estar mal planteada. La respuesta útil identifica qué dato falta o qué prohibición opera y remite a quien tenga competencia; no inventa un permiso excepcional.</w:t>
      </w:r>
    </w:p>
    <w:p>
      <w:pPr>
        <w:pStyle w:val="Heading2"/>
      </w:pPr>
      <w:r>
        <w:t>Ejemplo original</w:t>
      </w:r>
    </w:p>
    <w:p>
      <w:r>
        <w:t>Ejemplo original: un área propone comprar por caja menor seis paquetes de papel en tres facturas, aunque el almacén confirma existencia. La propuesta presenta dos problemas independientes: existencia en almacén y división de una compra.</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Dato del caso</w:t>
            </w:r>
          </w:p>
        </w:tc>
        <w:tc>
          <w:tcPr>
            <w:tcW w:type="dxa" w:w="2880"/>
          </w:tcPr>
          <w:p>
            <w:r>
              <w:t>Lectura correcta</w:t>
            </w:r>
          </w:p>
        </w:tc>
        <w:tc>
          <w:tcPr>
            <w:tcW w:type="dxa" w:w="2880"/>
          </w:tcPr>
          <w:p>
            <w:r>
              <w:t>Error frecuente</w:t>
            </w:r>
          </w:p>
        </w:tc>
      </w:tr>
      <w:tr>
        <w:tc>
          <w:tcPr>
            <w:tcW w:type="dxa" w:w="2880"/>
          </w:tcPr>
          <w:p>
            <w:r>
              <w:t>Hay varias facturas de una sola compra</w:t>
            </w:r>
          </w:p>
        </w:tc>
        <w:tc>
          <w:tcPr>
            <w:tcW w:type="dxa" w:w="2880"/>
          </w:tcPr>
          <w:p>
            <w:r>
              <w:t>Revisar posible fraccionamiento</w:t>
            </w:r>
          </w:p>
        </w:tc>
        <w:tc>
          <w:tcPr>
            <w:tcW w:type="dxa" w:w="2880"/>
          </w:tcPr>
          <w:p>
            <w:r>
              <w:t>Cada factura pequeña valida la operación</w:t>
            </w:r>
          </w:p>
        </w:tc>
      </w:tr>
      <w:tr>
        <w:tc>
          <w:tcPr>
            <w:tcW w:type="dxa" w:w="2880"/>
          </w:tcPr>
          <w:p>
            <w:r>
              <w:t>El bien ya existe en almacén</w:t>
            </w:r>
          </w:p>
        </w:tc>
        <w:tc>
          <w:tcPr>
            <w:tcW w:type="dxa" w:w="2880"/>
          </w:tcPr>
          <w:p>
            <w:r>
              <w:t>Opera una prohibición expresa de compra por caja menor</w:t>
            </w:r>
          </w:p>
        </w:tc>
        <w:tc>
          <w:tcPr>
            <w:tcW w:type="dxa" w:w="2880"/>
          </w:tcPr>
          <w:p>
            <w:r>
              <w:t>La urgencia elimina esa prohibición</w:t>
            </w:r>
          </w:p>
        </w:tc>
      </w:tr>
      <w:tr>
        <w:tc>
          <w:tcPr>
            <w:tcW w:type="dxa" w:w="2880"/>
          </w:tcPr>
          <w:p>
            <w:r>
              <w:t>No se legalizó la entrega anterior</w:t>
            </w:r>
          </w:p>
        </w:tc>
        <w:tc>
          <w:tcPr>
            <w:tcW w:type="dxa" w:w="2880"/>
          </w:tcPr>
          <w:p>
            <w:r>
              <w:t>No entregar nuevos recursos a ese funcionario</w:t>
            </w:r>
          </w:p>
        </w:tc>
        <w:tc>
          <w:tcPr>
            <w:tcW w:type="dxa" w:w="2880"/>
          </w:tcPr>
          <w:p>
            <w:r>
              <w:t>Reponer y pedir soportes después</w:t>
            </w:r>
          </w:p>
        </w:tc>
      </w:tr>
    </w:tbl>
    <w:p>
      <w:pPr>
        <w:pStyle w:val="Heading2"/>
      </w:pPr>
      <w:r>
        <w:t>Cómo resolver el ejemplo</w:t>
      </w:r>
    </w:p>
    <w:p>
      <w:pPr>
        <w:pStyle w:val="ListNumber"/>
      </w:pPr>
      <w:r>
        <w:t>Lee la necesidad completa: no son tres compras autónomas por tener tres facturas.</w:t>
      </w:r>
    </w:p>
    <w:p>
      <w:pPr>
        <w:pStyle w:val="ListNumber"/>
      </w:pPr>
      <w:r>
        <w:t>Comprueba la existencia confirmada en almacén.</w:t>
      </w:r>
    </w:p>
    <w:p>
      <w:pPr>
        <w:pStyle w:val="ListNumber"/>
      </w:pPr>
      <w:r>
        <w:t>Aplica las prohibiciones pertinentes sin inventar umbrales.</w:t>
      </w:r>
    </w:p>
    <w:p>
      <w:pPr>
        <w:pStyle w:val="ListNumber"/>
      </w:pPr>
      <w:r>
        <w:t>Explica por qué disponer de efectivo no reemplaza los requisitos.</w:t>
      </w:r>
    </w:p>
    <w:p>
      <w:pPr>
        <w:pStyle w:val="Heading2"/>
      </w:pPr>
      <w:r>
        <w:t>Distinciones importantes</w:t>
      </w:r>
    </w:p>
    <w:p>
      <w:pPr>
        <w:pStyle w:val="ListBullet"/>
      </w:pPr>
      <w:r>
        <w:t>Lee la necesidad completa: no son tres compras autónomas por tener tres facturas.</w:t>
      </w:r>
    </w:p>
    <w:p>
      <w:pPr>
        <w:pStyle w:val="ListBullet"/>
      </w:pPr>
      <w:r>
        <w:t>Explica por qué disponer de efectivo no reemplaza los requisitos.</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Nombra dos controles distintos que revisarías antes de entregar nuevos recursos y explica por qué urgencia no equivale a libertad de gasto.</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Verificar legalización de la entrega anterior y revisar finalidad, rubro, soportes y prohibiciones de la caja. La urgencia no elimina las reglas de constitución ni permite fraccionar o comprar elementos existentes en almacén.</w:t>
      </w:r>
    </w:p>
    <w:p>
      <w:pPr>
        <w:pStyle w:val="Heading3"/>
      </w:pPr>
      <w:r>
        <w:t>Fuentes de esta lección</w:t>
      </w:r>
    </w:p>
    <w:p>
      <w:r>
        <w:t>OF-D1068 · Decreto 1068 de 2015 · ejecución presupuestal, SIIF y caja menor. Arts. 2.8.5.2, 2.8.5.7 y 2.8.5.8. Estado: revisión documental completada. Archivo/URL: https://normograma.dian.gov.co/dian/compilacion/docs/decreto_1068_2015.htm.</w:t>
      </w:r>
    </w:p>
    <w:p>
      <w:r>
        <w:t>ADJ-ESTUDIO · MATERIAL DE ESTUDIO · documento aportado. Párrafos 31 y 208–210. Estado: analizado; no es fuente oficial. Archivo/URL: ./docs/analisis-materiales-ampliacion.md.</w:t>
      </w:r>
    </w:p>
    <w:p>
      <w:r>
        <w:t>ADJ-SIMULACRO · Simulacro DIAN 2676 · OPEC 242699 · ConMérito. Justificaciones 179–180, PDF p. 171; no se importa su clave. Estado: analizado; no es fuente oficial. Archivo/URL: ./docs/analisis-materiales-ampliacion.md.</w:t>
      </w:r>
    </w:p>
    <w:p>
      <w:r>
        <w:br w:type="page"/>
      </w:r>
    </w:p>
    <w:p>
      <w:pPr>
        <w:pStyle w:val="Heading1"/>
      </w:pPr>
      <w:r>
        <w:t>6. Mercancías: actividad, condición y soporte</w:t>
      </w:r>
    </w:p>
    <w:p>
      <w:r>
        <w:t>Objetivo: Reconocer las actividades de las funciones 2 y 3 y evitar confundirlas con reglas aduaneras no verificadas.</w:t>
      </w:r>
    </w:p>
    <w:p>
      <w:r>
        <w:t>Estado: revisión documental completada | Versión 1.1.0 | Revisión 2026-10-20</w:t>
      </w:r>
    </w:p>
    <w:p>
      <w:r>
        <w:t>Alcance: Lectura de la ficha como introducción. Las lecciones ampliadas siguientes desarrollan los apartados adicionales contrastados.</w:t>
      </w:r>
    </w:p>
    <w:p>
      <w:pPr>
        <w:pStyle w:val="Heading2"/>
      </w:pPr>
      <w:r>
        <w:t>Explicación</w:t>
      </w:r>
    </w:p>
    <w:p>
      <w:r>
        <w:t>La función 2 menciona administración, ingreso, custodia, disposición y egreso de mercancías aprehendidas, decomisadas o abandonadas a favor de la Nación. También incluye bienes muebles adjudicados a la Nación–UAE DIAN en procesos de cobro coactivo y concursales, y comercialización de bienes y servicios. Es una descripción funcional: no contiene definiciones jurídicas ni autoriza a tratar como equivalentes las distintas situaciones de las mercancías.</w:t>
      </w:r>
    </w:p>
    <w:p>
      <w:r>
        <w:t>La función 3 se centra en inspección, clasificación, alistamiento, disposición e informes pertinentes. Expresamente exige tener en cuenta el estado de conservación y las condiciones de almacenamiento, y elaborar soportes e informes. En una pregunta basada solo en la ficha sí puede identificarse la necesidad de considerar conservación y almacenamiento; no puede determinarse el procedimiento de disposición que corresponde a un caso específico.</w:t>
      </w:r>
    </w:p>
    <w:p>
      <w:r>
        <w:t>Separa tres planos al estudiar: la situación jurídica nombrada, la condición física observada y la actividad de apoyo. Una mercancía conservada de cierta manera no queda por ese hecho jurídicamente habilitada para una modalidad de disposición. Esta última decisión necesita una norma y un procedimiento aplicables que aún no se han consultado. Aquí no se enseñan causales, términos, modalidades ni autoridades de decisión. La definición y aplicación de algunos supuestos se desarrolla ahora en L-MER2 y L-MER3 con fuentes adicionales.</w:t>
      </w:r>
    </w:p>
    <w:p>
      <w:r>
        <w:t>El artículo 42 del Decreto 1742 asigna a la Subdirección Logística funciones de administración, inventarios y disposición de las mercancías señaladas. El numeral 5 incluye informar a áreas competentes de registros contables sobre operaciones económicas derivadas de administración y disposición; el 7 incluye inventarios, registro y seguimiento. No se infiere de estas funciones una modalidad de disposición o plazo concreto.</w:t>
      </w:r>
    </w:p>
    <w:p>
      <w:r>
        <w:t>Las nuevas lecturas desarrollan ingreso y avalúo, identidad, condición física, traslado, pago de almacenamiento y disposición excepcional. Lee cada situación por sus condiciones: ubicación física, situación jurídica y valor no son la misma variable.</w:t>
      </w:r>
    </w:p>
    <w:p>
      <w:pPr>
        <w:pStyle w:val="Heading2"/>
      </w:pPr>
      <w:r>
        <w:t>Ejemplo original</w:t>
      </w:r>
    </w:p>
    <w:p>
      <w:r>
        <w:t>Caso original: al preparar un informe de inspección se observan diferencias en conservación y almacenamiento. La función 3 respalda que ambas condiciones sean consideradas y que existan soportes. No respalda decidir una venta o destrucción solamente con esa observación.</w:t>
      </w:r>
    </w:p>
    <w:p>
      <w:pPr>
        <w:pStyle w:val="Heading2"/>
      </w:pPr>
      <w:r>
        <w:t>Distinciones importantes</w:t>
      </w:r>
    </w:p>
    <w:p>
      <w:pPr>
        <w:pStyle w:val="ListBullet"/>
      </w:pPr>
      <w:r>
        <w:t>La ficha nombra aprehensión, decomiso y abandono, pero no los define.</w:t>
      </w:r>
    </w:p>
    <w:p>
      <w:pPr>
        <w:pStyle w:val="ListBullet"/>
      </w:pPr>
      <w:r>
        <w:t>Estado físico y situación jurídica no son el mismo dato.</w:t>
      </w:r>
    </w:p>
    <w:p>
      <w:pPr>
        <w:pStyle w:val="ListBullet"/>
      </w:pPr>
      <w:r>
        <w:t>Una lista de actividades no demuestra un orden obligatorio de etapas.</w:t>
      </w:r>
    </w:p>
    <w:p>
      <w:pPr>
        <w:pStyle w:val="Heading2"/>
      </w:pPr>
      <w:r>
        <w:t>Errores frecuentes</w:t>
      </w:r>
    </w:p>
    <w:p>
      <w:pPr>
        <w:pStyle w:val="ListBullet"/>
      </w:pPr>
      <w:r>
        <w:t>Inventar plazos de disposición o causales de aprehensión.</w:t>
      </w:r>
    </w:p>
    <w:p>
      <w:pPr>
        <w:pStyle w:val="ListBullet"/>
      </w:pPr>
      <w:r>
        <w:t>Omitir condiciones físicas en un caso que pregunta expresamente por la función 3.</w:t>
      </w:r>
    </w:p>
    <w:p>
      <w:pPr>
        <w:pStyle w:val="Heading2"/>
      </w:pPr>
      <w:r>
        <w:t>Recuperación: responde antes de leer la guía</w:t>
      </w:r>
    </w:p>
    <w:p>
      <w:r>
        <w:t>Menciona las dos condiciones expresas que deben considerarse en la función 3 y una decisión que exigiría otra fuente.</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Estado de conservación y condiciones de almacenamiento. Para elegir una modalidad de disposición hace falta la normativa y el procedimiento aplicables.</w:t>
      </w:r>
    </w:p>
    <w:p>
      <w:pPr>
        <w:pStyle w:val="Heading3"/>
      </w:pPr>
      <w:r>
        <w:t>Fuentes de esta lección</w:t>
      </w:r>
    </w:p>
    <w:p>
      <w:r>
        <w:t>ADJ-PDF · Descripción del empleo · Analista I · TP-DE-2013. Página 1, funciones 2 y 3. Estado: leído en adjunto. Archivo/URL: ./docs/ficha-TP-DE-2013.pdf.</w:t>
      </w:r>
    </w:p>
    <w:p>
      <w:r>
        <w:t>OF-D1742 · Decreto 1742 de 2020 · estructura y funciones de la DIAN. Art. 42, numerales 1, 5 y 7. Estado: contrastado en fuente oficial. Archivo/URL: https://normograma.dian.gov.co/dian/compilacion/docs/decreto_1742_2020.htm.</w:t>
      </w:r>
    </w:p>
    <w:p>
      <w:r>
        <w:br w:type="page"/>
      </w:r>
    </w:p>
    <w:p>
      <w:pPr>
        <w:pStyle w:val="Heading1"/>
      </w:pPr>
      <w:r>
        <w:t>7. Ingreso de mercancías: identidad, situación jurídica y avalúo</w:t>
      </w:r>
    </w:p>
    <w:p>
      <w:r>
        <w:t>Objetivo: Explicar qué se controla al recibir una mercancía y por qué el soporte de ingreso y el avalúo cumplen funciones diferentes.</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La logística integral del art. 732 del Decreto 1165 comprende recepción, transporte, almacenamiento, custodia, conservación, inventarios, despacho y entrega, directamente o por terceros. Son actividades relacionadas, pero recibir físicamente un lote no resuelve por sí mismo su situación jurídica ni autoriza disponer de él.</w:t>
      </w:r>
    </w:p>
    <w:p>
      <w:r>
        <w:t>Distingue tres capas de información. Identidad: qué mercancía es y cuánta hay. Situación jurídica: qué medida o decisión la afecta. Condición física: cómo se conserva y bajo qué condiciones se entrega. Un cambio de bodega puede modificar ubicación; no convierte una aprehensión en decomiso.</w:t>
      </w:r>
    </w:p>
    <w:p>
      <w:r>
        <w:t>La Ley 2586 de 2026, art. 40, establece que el acta de aprehensión hace las veces de documento de ingreso al recinto. Describe, entre otros datos, naturaleza, marca, referencia, serial, cantidad, peso cuando se requiera y avalúo unitario y total. También deja constancia de las condiciones de entrega al depósito. No reemplaces ese soporte por un correo que solo diga recibido.</w:t>
      </w:r>
    </w:p>
    <w:p>
      <w:r>
        <w:t>Para comprender la identificación, usa un ejemplo: diez cajas no son necesariamente diez unidades de producto. Antes de comparar cantidades, verifica la unidad de medida. Dos registros pueden coincidir en número y referirse a objetos diferentes, o diferir en número por usar cajas y unidades. La conversión debe estar sustentada en los datos del caso, no supuesta.</w:t>
      </w:r>
    </w:p>
    <w:p>
      <w:r>
        <w:t>El reconocimiento y avalúo definitivo se realiza en la diligencia de aprehensión, con la excepción del art. 44 cuando hacen falta conceptos o análisis especializados. En esa situación se fija uno provisional y el definitivo se realiza dentro de veinte días hábiles desde la notificación del acta. El avalúo del acta de aprehensión y decomiso directo es definitivo.</w:t>
      </w:r>
    </w:p>
    <w:p>
      <w:r>
        <w:t>Una valoración es una determinación sustentada, no un ajuste libre del área logística para cuadrar cifras. La autoridad puede revisar oficiosamente un avalúo definitivo que se aparte ostensiblemente del procedimiento reglamentario, con el trámite previsto en el art. 44. No se enseñan porcentajes especiales ni la secuencia completa de la Resolución 019 sin haber leído su texto.</w:t>
      </w:r>
    </w:p>
    <w:p>
      <w:r>
        <w:t>La Ley 2586 se localizó en una fuente oficial, con promulgación del 19 de junio de 2026 y art. 114 de vigencia y derogatorias. Su lectura mejora el material; no confirma por sí sola el corte normativo de la prueba. Se conserva esa diferencia en fuentes y en el análisis de los adjuntos.</w:t>
      </w:r>
    </w:p>
    <w:p>
      <w:pPr>
        <w:pStyle w:val="Heading2"/>
      </w:pPr>
      <w:r>
        <w:t>Ejemplo original</w:t>
      </w:r>
    </w:p>
    <w:p>
      <w:r>
        <w:t>Ejemplo original: llegan 24 unidades identificadas en un acta y se almacenan en seis cajas de cuatro. El control distingue 24 unidades de seis embalajes y conserva el vínculo con el acta. Si un concepto especializado está pendiente, no se inventa un avalúo definitivo.</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Capa</w:t>
            </w:r>
          </w:p>
        </w:tc>
        <w:tc>
          <w:tcPr>
            <w:tcW w:type="dxa" w:w="2880"/>
          </w:tcPr>
          <w:p>
            <w:r>
              <w:t>Ejemplo de información</w:t>
            </w:r>
          </w:p>
        </w:tc>
        <w:tc>
          <w:tcPr>
            <w:tcW w:type="dxa" w:w="2880"/>
          </w:tcPr>
          <w:p>
            <w:r>
              <w:t>No permite concluir por sí sola</w:t>
            </w:r>
          </w:p>
        </w:tc>
      </w:tr>
      <w:tr>
        <w:tc>
          <w:tcPr>
            <w:tcW w:type="dxa" w:w="2880"/>
          </w:tcPr>
          <w:p>
            <w:r>
              <w:t>Identidad</w:t>
            </w:r>
          </w:p>
        </w:tc>
        <w:tc>
          <w:tcPr>
            <w:tcW w:type="dxa" w:w="2880"/>
          </w:tcPr>
          <w:p>
            <w:r>
              <w:t>Descripción, serial, cantidad y unidad</w:t>
            </w:r>
          </w:p>
        </w:tc>
        <w:tc>
          <w:tcPr>
            <w:tcW w:type="dxa" w:w="2880"/>
          </w:tcPr>
          <w:p>
            <w:r>
              <w:t>Que la mercancía esté decomisada</w:t>
            </w:r>
          </w:p>
        </w:tc>
      </w:tr>
      <w:tr>
        <w:tc>
          <w:tcPr>
            <w:tcW w:type="dxa" w:w="2880"/>
          </w:tcPr>
          <w:p>
            <w:r>
              <w:t>Situación jurídica</w:t>
            </w:r>
          </w:p>
        </w:tc>
        <w:tc>
          <w:tcPr>
            <w:tcW w:type="dxa" w:w="2880"/>
          </w:tcPr>
          <w:p>
            <w:r>
              <w:t>Medida o acto aplicable</w:t>
            </w:r>
          </w:p>
        </w:tc>
        <w:tc>
          <w:tcPr>
            <w:tcW w:type="dxa" w:w="2880"/>
          </w:tcPr>
          <w:p>
            <w:r>
              <w:t>Que la conservación física sea adecuada</w:t>
            </w:r>
          </w:p>
        </w:tc>
      </w:tr>
      <w:tr>
        <w:tc>
          <w:tcPr>
            <w:tcW w:type="dxa" w:w="2880"/>
          </w:tcPr>
          <w:p>
            <w:r>
              <w:t>Condición física</w:t>
            </w:r>
          </w:p>
        </w:tc>
        <w:tc>
          <w:tcPr>
            <w:tcW w:type="dxa" w:w="2880"/>
          </w:tcPr>
          <w:p>
            <w:r>
              <w:t>Embalaje, estado y condiciones de entrega</w:t>
            </w:r>
          </w:p>
        </w:tc>
        <w:tc>
          <w:tcPr>
            <w:tcW w:type="dxa" w:w="2880"/>
          </w:tcPr>
          <w:p>
            <w:r>
              <w:t>Que pueda venderse o destruirse sin requisitos</w:t>
            </w:r>
          </w:p>
        </w:tc>
      </w:tr>
      <w:tr>
        <w:tc>
          <w:tcPr>
            <w:tcW w:type="dxa" w:w="2880"/>
          </w:tcPr>
          <w:p>
            <w:r>
              <w:t>Avalúo</w:t>
            </w:r>
          </w:p>
        </w:tc>
        <w:tc>
          <w:tcPr>
            <w:tcW w:type="dxa" w:w="2880"/>
          </w:tcPr>
          <w:p>
            <w:r>
              <w:t>Valor provisional o definitivo y su soporte</w:t>
            </w:r>
          </w:p>
        </w:tc>
        <w:tc>
          <w:tcPr>
            <w:tcW w:type="dxa" w:w="2880"/>
          </w:tcPr>
          <w:p>
            <w:r>
              <w:t>Que el receptor pueda cambiarlo libremente</w:t>
            </w:r>
          </w:p>
        </w:tc>
      </w:tr>
    </w:tbl>
    <w:p>
      <w:pPr>
        <w:pStyle w:val="Heading2"/>
      </w:pPr>
      <w:r>
        <w:t>Cómo resolver el ejemplo</w:t>
      </w:r>
    </w:p>
    <w:p>
      <w:pPr>
        <w:pStyle w:val="ListNumber"/>
      </w:pPr>
      <w:r>
        <w:t>Identifica qué documento soporta el ingreso y qué medida registra.</w:t>
      </w:r>
    </w:p>
    <w:p>
      <w:pPr>
        <w:pStyle w:val="ListNumber"/>
      </w:pPr>
      <w:r>
        <w:t>Convierte cajas a unidades solo porque el caso informa cuatro por caja.</w:t>
      </w:r>
    </w:p>
    <w:p>
      <w:pPr>
        <w:pStyle w:val="ListNumber"/>
      </w:pPr>
      <w:r>
        <w:t>Compara identidad y condiciones físicas con el soporte.</w:t>
      </w:r>
    </w:p>
    <w:p>
      <w:pPr>
        <w:pStyle w:val="ListNumber"/>
      </w:pPr>
      <w:r>
        <w:t>Conserva la distinción entre control logístico y decisión de avalúo de la autoridad competente.</w:t>
      </w:r>
    </w:p>
    <w:p>
      <w:pPr>
        <w:pStyle w:val="Heading2"/>
      </w:pPr>
      <w:r>
        <w:t>Distinciones importantes</w:t>
      </w:r>
    </w:p>
    <w:p>
      <w:pPr>
        <w:pStyle w:val="ListBullet"/>
      </w:pPr>
      <w:r>
        <w:t>Identifica qué documento soporta el ingreso y qué medida registra.</w:t>
      </w:r>
    </w:p>
    <w:p>
      <w:pPr>
        <w:pStyle w:val="ListBullet"/>
      </w:pPr>
      <w:r>
        <w:t>Conserva la distinción entre control logístico y decisión de avalúo de la autoridad competente.</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Explica por qué cambiar de recinto no cambia la situación jurídica y qué dato distingue avalúo provisional y definitivo en el supuesto de análisis especializado.</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El traslado conserva la situación jurídica conforme al art. 735. En el art. 44 de la Ley 2586, la necesidad de concepto o análisis especializado permite avalúo provisional mientras se efectúa el definitivo en el término señalado desde notificación.</w:t>
      </w:r>
    </w:p>
    <w:p>
      <w:pPr>
        <w:pStyle w:val="Heading3"/>
      </w:pPr>
      <w:r>
        <w:t>Fuentes de esta lección</w:t>
      </w:r>
    </w:p>
    <w:p>
      <w:r>
        <w:t>OF-D1165 · Decreto 1165 de 2019 · logística, traslado y disposición. Arts. 732 y 735. Estado: revisión documental completada. Archivo/URL: https://normograma.dian.gov.co/dian/compilacion/docs/decreto_1165_2019.htm.</w:t>
      </w:r>
    </w:p>
    <w:p>
      <w:r>
        <w:t>OF-L2586 · Ley 2586 de 2026 · acta de aprehensión y avalúo. Arts. 40, 44 y 114. Estado: revisión documental completada. Archivo/URL: https://normograma.dian.gov.co/dian/compilacion/docs/ley_2586_2026.htm.</w:t>
      </w:r>
    </w:p>
    <w:p>
      <w:r>
        <w:t>ADJ-ESTUDIO · MATERIAL DE ESTUDIO · documento aportado. Párrafos 100–124. Estado: analizado; no es fuente oficial. Archivo/URL: ./docs/analisis-materiales-ampliacion.md.</w:t>
      </w:r>
    </w:p>
    <w:p>
      <w:r>
        <w:br w:type="page"/>
      </w:r>
    </w:p>
    <w:p>
      <w:pPr>
        <w:pStyle w:val="Heading1"/>
      </w:pPr>
      <w:r>
        <w:t>8. Traslado, costos y disposición: resolver por condiciones</w:t>
      </w:r>
    </w:p>
    <w:p>
      <w:r>
        <w:t>Objetivo: Aplicar las distinciones de traslado, pago de almacenamiento y disposición ordinaria o excepcional sin mezclar sus supuestos.</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El art. 735 del Decreto 1165 exige autorización DIAN para trasladar mercancías entre recintos, en la misma ciudad o en ciudades diferentes. Al llegar se conservan ítems, descripción, cantidad, unidad de medida y situación jurídica. La trazabilidad exige relacionar salida y entrada de la misma mercancía, no crear una existencia desconectada.</w:t>
      </w:r>
    </w:p>
    <w:p>
      <w:r>
        <w:t>Si la entidad asume el traslado, la seccional debe solicitar el seguro de transporte a la Subdirección Administrativa o quien haga sus veces. El área de operación logística informa a Fiscalización la nueva ubicación para actualizar los datos del proceso. La dirección de una bodega es un dato relevante del procedimiento, no solo una referencia física.</w:t>
      </w:r>
    </w:p>
    <w:p>
      <w:r>
        <w:t>Para los costos de almacenamiento, el art. 734 separa supuestos. Si hay rescate de mercancía aprehendida o con decomiso no firme, quien rescata paga desde ingreso hasta salida; el parágrafo distingue a quién paga antes y después del vencimiento del plazo de retiro. No se aplica a todos los casos la fórmula paga siempre la DIAN.</w:t>
      </w:r>
    </w:p>
    <w:p>
      <w:r>
        <w:t>Si se ordena devolución por improcedencia de la medida, la DIAN asume transporte y almacenamiento desde ingreso hasta el vencimiento del plazo concedido para salida. Después, el particular paga almacenamiento directamente al depositario. Hay otros supuestos en el artículo; identifica el del caso antes de escoger responsable y periodo.</w:t>
      </w:r>
    </w:p>
    <w:p>
      <w:r>
        <w:t>El art. 736 permite disponer de mercancías decomisadas o abandonadas mediante venta, donación, asignación, destrucción o gestión de residuos, chatarrización y dación en pago. Esa enumeración no autoriza elegir libremente una modalidad sin sus condiciones. La disposición de mercancía solo aprehendida se limita a eventos expresamente previstos.</w:t>
      </w:r>
    </w:p>
    <w:p>
      <w:r>
        <w:t>El art. 737 contempla disposición de aprehendidas, sin detener por ello el proceso de decomiso, cuando puedan dañar otros bienes, sean perecederas o tengan vencimiento, necesiten condiciones de conservación no disponibles o tengan restricciones que impidan comercialización. Por eso también es incorrecta la regla absoluta nunca se dispone antes del decomiso.</w:t>
      </w:r>
    </w:p>
    <w:p>
      <w:r>
        <w:t>En un caso con perecederos, primero distingue riesgo y condiciones de conservación; después identifica si encaja en el supuesto normativo y qué actuación debe promoverse ante la dependencia competente. El apoyo técnico documenta los hechos; no convierte a quien los observa en autoridad para donar, destruir o disponer por sí mismo.</w:t>
      </w:r>
    </w:p>
    <w:p>
      <w:pPr>
        <w:pStyle w:val="Heading2"/>
      </w:pPr>
      <w:r>
        <w:t>Ejemplo original</w:t>
      </w:r>
    </w:p>
    <w:p>
      <w:r>
        <w:t>Ejemplo original: un lote aprehendido se traslada de una ciudad a otra. Parte del lote necesita frío no disponible en el recinto. El traslado conserva la aprehensión; la falta de conservación debe ponerse en conocimiento de la dependencia competente para analizar el supuesto del art. 737.</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Hecho decisivo</w:t>
            </w:r>
          </w:p>
        </w:tc>
        <w:tc>
          <w:tcPr>
            <w:tcW w:type="dxa" w:w="2880"/>
          </w:tcPr>
          <w:p>
            <w:r>
              <w:t>Regla a consultar</w:t>
            </w:r>
          </w:p>
        </w:tc>
        <w:tc>
          <w:tcPr>
            <w:tcW w:type="dxa" w:w="2880"/>
          </w:tcPr>
          <w:p>
            <w:r>
              <w:t>Conclusión que se evita</w:t>
            </w:r>
          </w:p>
        </w:tc>
      </w:tr>
      <w:tr>
        <w:tc>
          <w:tcPr>
            <w:tcW w:type="dxa" w:w="2880"/>
          </w:tcPr>
          <w:p>
            <w:r>
              <w:t>Cambio de recinto</w:t>
            </w:r>
          </w:p>
        </w:tc>
        <w:tc>
          <w:tcPr>
            <w:tcW w:type="dxa" w:w="2880"/>
          </w:tcPr>
          <w:p>
            <w:r>
              <w:t>Art. 735</w:t>
            </w:r>
          </w:p>
        </w:tc>
        <w:tc>
          <w:tcPr>
            <w:tcW w:type="dxa" w:w="2880"/>
          </w:tcPr>
          <w:p>
            <w:r>
              <w:t>El traslado convierte automáticamente en decomisado</w:t>
            </w:r>
          </w:p>
        </w:tc>
      </w:tr>
      <w:tr>
        <w:tc>
          <w:tcPr>
            <w:tcW w:type="dxa" w:w="2880"/>
          </w:tcPr>
          <w:p>
            <w:r>
              <w:t>Rescate de aprehendida o decomiso no firme</w:t>
            </w:r>
          </w:p>
        </w:tc>
        <w:tc>
          <w:tcPr>
            <w:tcW w:type="dxa" w:w="2880"/>
          </w:tcPr>
          <w:p>
            <w:r>
              <w:t>Art. 734, inciso 1 y parágrafo</w:t>
            </w:r>
          </w:p>
        </w:tc>
        <w:tc>
          <w:tcPr>
            <w:tcW w:type="dxa" w:w="2880"/>
          </w:tcPr>
          <w:p>
            <w:r>
              <w:t>La DIAN paga siempre hasta la salida</w:t>
            </w:r>
          </w:p>
        </w:tc>
      </w:tr>
      <w:tr>
        <w:tc>
          <w:tcPr>
            <w:tcW w:type="dxa" w:w="2880"/>
          </w:tcPr>
          <w:p>
            <w:r>
              <w:t>Devolución por improcedencia y vencimiento de retiro</w:t>
            </w:r>
          </w:p>
        </w:tc>
        <w:tc>
          <w:tcPr>
            <w:tcW w:type="dxa" w:w="2880"/>
          </w:tcPr>
          <w:p>
            <w:r>
              <w:t>Art. 734, inciso 3 y parágrafo</w:t>
            </w:r>
          </w:p>
        </w:tc>
        <w:tc>
          <w:tcPr>
            <w:tcW w:type="dxa" w:w="2880"/>
          </w:tcPr>
          <w:p>
            <w:r>
              <w:t>La DIAN paga indefinidamente</w:t>
            </w:r>
          </w:p>
        </w:tc>
      </w:tr>
      <w:tr>
        <w:tc>
          <w:tcPr>
            <w:tcW w:type="dxa" w:w="2880"/>
          </w:tcPr>
          <w:p>
            <w:r>
              <w:t>Aprehendida que no puede conservarse</w:t>
            </w:r>
          </w:p>
        </w:tc>
        <w:tc>
          <w:tcPr>
            <w:tcW w:type="dxa" w:w="2880"/>
          </w:tcPr>
          <w:p>
            <w:r>
              <w:t>Art. 737</w:t>
            </w:r>
          </w:p>
        </w:tc>
        <w:tc>
          <w:tcPr>
            <w:tcW w:type="dxa" w:w="2880"/>
          </w:tcPr>
          <w:p>
            <w:r>
              <w:t>Toda aprehendida espera siempre a decomiso</w:t>
            </w:r>
          </w:p>
        </w:tc>
      </w:tr>
    </w:tbl>
    <w:p>
      <w:pPr>
        <w:pStyle w:val="Heading2"/>
      </w:pPr>
      <w:r>
        <w:t>Cómo resolver el ejemplo</w:t>
      </w:r>
    </w:p>
    <w:p>
      <w:pPr>
        <w:pStyle w:val="ListNumber"/>
      </w:pPr>
      <w:r>
        <w:t>Separa el movimiento físico de la medida jurídica.</w:t>
      </w:r>
    </w:p>
    <w:p>
      <w:pPr>
        <w:pStyle w:val="ListNumber"/>
      </w:pPr>
      <w:r>
        <w:t>Conserva identidad, cantidades y unidad de medida en origen y destino.</w:t>
      </w:r>
    </w:p>
    <w:p>
      <w:pPr>
        <w:pStyle w:val="ListNumber"/>
      </w:pPr>
      <w:r>
        <w:t>Documenta el hecho específico: conservación necesaria no disponible.</w:t>
      </w:r>
    </w:p>
    <w:p>
      <w:pPr>
        <w:pStyle w:val="ListNumber"/>
      </w:pPr>
      <w:r>
        <w:t>Analiza la excepción con la dependencia competente, sin convertirla en disposición automática.</w:t>
      </w:r>
    </w:p>
    <w:p>
      <w:pPr>
        <w:pStyle w:val="Heading2"/>
      </w:pPr>
      <w:r>
        <w:t>Distinciones importantes</w:t>
      </w:r>
    </w:p>
    <w:p>
      <w:pPr>
        <w:pStyle w:val="ListBullet"/>
      </w:pPr>
      <w:r>
        <w:t>Separa el movimiento físico de la medida jurídica.</w:t>
      </w:r>
    </w:p>
    <w:p>
      <w:pPr>
        <w:pStyle w:val="ListBullet"/>
      </w:pPr>
      <w:r>
        <w:t>Analiza la excepción con la dependencia competente, sin convertirla en disposición automática.</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¿Qué dos afirmaciones absolutas sobre mercancías aprehendidas y costos serían incorrectas y cómo las reemplazarías?</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Son incorrectas nunca puede disponerse de aprehendidas y la DIAN siempre paga almacenamiento hasta salida. Deben estudiarse los eventos del art. 737 y el supuesto y periodos del art. 734.</w:t>
      </w:r>
    </w:p>
    <w:p>
      <w:pPr>
        <w:pStyle w:val="Heading3"/>
      </w:pPr>
      <w:r>
        <w:t>Fuentes de esta lección</w:t>
      </w:r>
    </w:p>
    <w:p>
      <w:r>
        <w:t>OF-D1165 · Decreto 1165 de 2019 · logística, traslado y disposición. Arts. 734–737. Estado: revisión documental completada. Archivo/URL: https://normograma.dian.gov.co/dian/compilacion/docs/decreto_1165_2019.htm.</w:t>
      </w:r>
    </w:p>
    <w:p>
      <w:r>
        <w:t>ADJ-ESTUDIO · MATERIAL DE ESTUDIO · documento aportado. Párrafos 51–83 y 125–141. Estado: analizado; no es fuente oficial. Archivo/URL: ./docs/analisis-materiales-ampliacion.md.</w:t>
      </w:r>
    </w:p>
    <w:p>
      <w:r>
        <w:br w:type="page"/>
      </w:r>
    </w:p>
    <w:p>
      <w:pPr>
        <w:pStyle w:val="Heading1"/>
      </w:pPr>
      <w:r>
        <w:t>9. Tres niveles y una estructura: leer sin adivinar la OPEC</w:t>
      </w:r>
    </w:p>
    <w:p>
      <w:r>
        <w:t>Objetivo: Identificar los tres niveles del Decreto 1742 y ubicar las dependencias de apoyo, diferenciándolas del puesto concreto.</w:t>
      </w:r>
    </w:p>
    <w:p>
      <w:r>
        <w:t>Estado: revisión documental completada | Versión 1.1.0 | Revisión 2026-10-20</w:t>
      </w:r>
    </w:p>
    <w:p>
      <w:r>
        <w:t>Alcance: Fundamentos de estructura contrastados; adscripción OPEC y actos internos pendientes</w:t>
      </w:r>
    </w:p>
    <w:p>
      <w:pPr>
        <w:pStyle w:val="Heading2"/>
      </w:pPr>
      <w:r>
        <w:t>Explicación</w:t>
      </w:r>
    </w:p>
    <w:p>
      <w:r>
        <w:t>El artículo 4 del Decreto 1742 de 2020 organiza las funciones de la DIAN en tres niveles: Central, Local y Delegado. Es una clasificación institucional. No equivale al nivel jerárquico del empleo: el PDF describe Analista I como nivel técnico. Son dos preguntas distintas: dónde se organiza la entidad y cuál es la naturaleza jerárquica del puesto.</w:t>
      </w:r>
    </w:p>
    <w:p>
      <w:r>
        <w:t>El artículo 5 presenta la estructura del Nivel Central. Bajo Dirección de Gestión Corporativa enumera, entre otras, Subdirección Financiera, Subdirección de Compras y Contratos, Subdirección Administrativa y Subdirección Logística. Esta lectura permite ubicar dependencias; no asigna automáticamente a una de ellas la OPEC 242699. El manual aportado tiene aplicación Central y Seccional y no identifica una ubicación concreta.</w:t>
      </w:r>
    </w:p>
    <w:p>
      <w:r>
        <w:t>El artículo 7 contempla que el Director General, mediante resolución y previa disponibilidad presupuestal, pueda autorizar el funcionamiento permanente o transitorio de Direcciones Seccionales Delegadas de Impuestos y Aduanas, indicando jurisdicción y grupos internos. No se deduce de ello que toda oficina pueda crear una seccional. No se evalúan aquí las cantidades de seccionales, porque una lista publicada puede requerir comprobar actos posteriores.</w:t>
      </w:r>
    </w:p>
    <w:p>
      <w:r>
        <w:t>Se leyó el artículo 83: los empleados de la planta existente continúan ejerciendo competencias de sus áreas hasta producir los actos necesarios para implementar la estructura. El artículo 84 establece la vigencia desde publicación y deroga, entre otros, el Decreto 4048 de 2008. La página Presentación todavía reproduce funciones de ese decreto antiguo; por eso las claves se apoyan en el 1742 y no en esa reproducción.</w:t>
      </w:r>
    </w:p>
    <w:p>
      <w:r>
        <w:t>Para resolver un caso identifica primero el objeto: bien patrimonial de la entidad, mercancía bajo medida o decisión aduanera, o apropiación y pago. Luego ubica la función concreta. Que todas pertenezcan a Gestión Corporativa no vuelve intercambiables a Administrativa, Logística y Financiera. La tabla ofrece una comparación de los artículos 35, 41 y 42; no asigna automáticamente la OPEC a una de ellas.</w:t>
      </w:r>
    </w:p>
    <w:p>
      <w:pPr>
        <w:pStyle w:val="Heading2"/>
      </w:pPr>
      <w:r>
        <w:t>Ejemplo original</w:t>
      </w:r>
    </w:p>
    <w:p>
      <w:r>
        <w:t>Caso original: una solicitud relaciona inventarios patrimoniales y control de mercancías. Puedes ubicar Administrativa y Logística bajo Gestión Corporativa en el art. 5, pero para distribuir una actuación concreta necesitas las funciones y los actos internos correspondientes.</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Dependencia del Decreto 1742</w:t>
            </w:r>
          </w:p>
        </w:tc>
        <w:tc>
          <w:tcPr>
            <w:tcW w:type="dxa" w:w="2880"/>
          </w:tcPr>
          <w:p>
            <w:r>
              <w:t>Ámbito de apoyo en estos temas</w:t>
            </w:r>
          </w:p>
        </w:tc>
        <w:tc>
          <w:tcPr>
            <w:tcW w:type="dxa" w:w="2880"/>
          </w:tcPr>
          <w:p>
            <w:r>
              <w:t>Artículo</w:t>
            </w:r>
          </w:p>
        </w:tc>
      </w:tr>
      <w:tr>
        <w:tc>
          <w:tcPr>
            <w:tcW w:type="dxa" w:w="2880"/>
          </w:tcPr>
          <w:p>
            <w:r>
              <w:t>Subdirección Administrativa</w:t>
            </w:r>
          </w:p>
        </w:tc>
        <w:tc>
          <w:tcPr>
            <w:tcW w:type="dxa" w:w="2880"/>
          </w:tcPr>
          <w:p>
            <w:r>
              <w:t>Recursos físicos, servicios, bienes patrimoniales y gestión documental</w:t>
            </w:r>
          </w:p>
        </w:tc>
        <w:tc>
          <w:tcPr>
            <w:tcW w:type="dxa" w:w="2880"/>
          </w:tcPr>
          <w:p>
            <w:r>
              <w:t>41</w:t>
            </w:r>
          </w:p>
        </w:tc>
      </w:tr>
      <w:tr>
        <w:tc>
          <w:tcPr>
            <w:tcW w:type="dxa" w:w="2880"/>
          </w:tcPr>
          <w:p>
            <w:r>
              <w:t>Subdirección Logística</w:t>
            </w:r>
          </w:p>
        </w:tc>
        <w:tc>
          <w:tcPr>
            <w:tcW w:type="dxa" w:w="2880"/>
          </w:tcPr>
          <w:p>
            <w:r>
              <w:t>Mercancías, inventarios de su ámbito y comunicación de operaciones contables</w:t>
            </w:r>
          </w:p>
        </w:tc>
        <w:tc>
          <w:tcPr>
            <w:tcW w:type="dxa" w:w="2880"/>
          </w:tcPr>
          <w:p>
            <w:r>
              <w:t>42</w:t>
            </w:r>
          </w:p>
        </w:tc>
      </w:tr>
      <w:tr>
        <w:tc>
          <w:tcPr>
            <w:tcW w:type="dxa" w:w="2880"/>
          </w:tcPr>
          <w:p>
            <w:r>
              <w:t>Subdirección Financiera</w:t>
            </w:r>
          </w:p>
        </w:tc>
        <w:tc>
          <w:tcPr>
            <w:tcW w:type="dxa" w:w="2880"/>
          </w:tcPr>
          <w:p>
            <w:r>
              <w:t>Apropiaciones, presupuesto, PAC y función pagadora</w:t>
            </w:r>
          </w:p>
        </w:tc>
        <w:tc>
          <w:tcPr>
            <w:tcW w:type="dxa" w:w="2880"/>
          </w:tcPr>
          <w:p>
            <w:r>
              <w:t>35</w:t>
            </w:r>
          </w:p>
        </w:tc>
      </w:tr>
    </w:tbl>
    <w:p>
      <w:pPr>
        <w:pStyle w:val="Heading2"/>
      </w:pPr>
      <w:r>
        <w:t>Distinciones importantes</w:t>
      </w:r>
    </w:p>
    <w:p>
      <w:pPr>
        <w:pStyle w:val="ListBullet"/>
      </w:pPr>
      <w:r>
        <w:t>Nivel institucional Central/Local/Delegado y nivel jerárquico técnico no son equivalentes.</w:t>
      </w:r>
    </w:p>
    <w:p>
      <w:pPr>
        <w:pStyle w:val="ListBullet"/>
      </w:pPr>
      <w:r>
        <w:t>Ubicar una dependencia no demuestra la adscripción de la OPEC.</w:t>
      </w:r>
    </w:p>
    <w:p>
      <w:pPr>
        <w:pStyle w:val="ListBullet"/>
      </w:pPr>
      <w:r>
        <w:t>Norma de estructura y actos internos de implementación son documentos distintos.</w:t>
      </w:r>
    </w:p>
    <w:p>
      <w:pPr>
        <w:pStyle w:val="Heading2"/>
      </w:pPr>
      <w:r>
        <w:t>Errores frecuentes</w:t>
      </w:r>
    </w:p>
    <w:p>
      <w:pPr>
        <w:pStyle w:val="ListBullet"/>
      </w:pPr>
      <w:r>
        <w:t>Usar el listado antiguo del Decreto 4048 como regla vigente.</w:t>
      </w:r>
    </w:p>
    <w:p>
      <w:pPr>
        <w:pStyle w:val="ListBullet"/>
      </w:pPr>
      <w:r>
        <w:t>Suponer que la ficha del empleo lo ubica en una subdirección concreta.</w:t>
      </w:r>
    </w:p>
    <w:p>
      <w:pPr>
        <w:pStyle w:val="Heading2"/>
      </w:pPr>
      <w:r>
        <w:t>Recuperación: responde antes de leer la guía</w:t>
      </w:r>
    </w:p>
    <w:p>
      <w:r>
        <w:t>Recuerda los tres niveles y explica por qué no permiten asignar automáticamente la OPEC a una dependencia.</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Central, Local y Delegado (art. 4). La adscripción requiere información específica del empleo; la ficha adjunta no la identifica.</w:t>
      </w:r>
    </w:p>
    <w:p>
      <w:pPr>
        <w:pStyle w:val="Heading3"/>
      </w:pPr>
      <w:r>
        <w:t>Fuentes de esta lección</w:t>
      </w:r>
    </w:p>
    <w:p>
      <w:r>
        <w:t>OF-D1742 · Decreto 1742 de 2020 · estructura y funciones de la DIAN. Arts. 4, 5, 7, 83 y 84. Estado: contrastado en fuente oficial. Archivo/URL: https://normograma.dian.gov.co/dian/compilacion/docs/decreto_1742_2020.htm.</w:t>
      </w:r>
    </w:p>
    <w:p>
      <w:r>
        <w:t>ADJ-PDF · Descripción del empleo · Analista I · TP-DE-2013. Página 1, ubicación y nivel del empleo. Estado: leído en adjunto. Archivo/URL: ./docs/ficha-TP-DE-2013.pdf.</w:t>
      </w:r>
    </w:p>
    <w:p>
      <w:r>
        <w:t>OF-PRESENTACION · Presentación de la entidad. Apartado de funciones: referencia antigua excluida. Estado: contrastado en fuente oficial. Archivo/URL: https://www.dian.gov.co/dian/entidad/Paginas/Presentacion.aspx.</w:t>
      </w:r>
    </w:p>
    <w:p>
      <w:r>
        <w:br w:type="page"/>
      </w:r>
    </w:p>
    <w:p>
      <w:pPr>
        <w:pStyle w:val="Heading1"/>
      </w:pPr>
      <w:r>
        <w:t>10. Presupuesto público: empezar sin confundir sistemas</w:t>
      </w:r>
    </w:p>
    <w:p>
      <w:r>
        <w:t>Objetivo: Identificar los hechos y registros que menciona la ficha y reconocer el límite de transferir experiencia contable privada.</w:t>
      </w:r>
    </w:p>
    <w:p>
      <w:r>
        <w:t>Estado: revisión documental completada | Versión 1.1.0 | Revisión 2026-10-20</w:t>
      </w:r>
    </w:p>
    <w:p>
      <w:r>
        <w:t>Alcance: Lectura de la ficha como introducción. Las lecciones ampliadas siguientes desarrollan los apartados adicionales contrastados.</w:t>
      </w:r>
    </w:p>
    <w:p>
      <w:pPr>
        <w:pStyle w:val="Heading2"/>
      </w:pPr>
      <w:r>
        <w:t>Explicación</w:t>
      </w:r>
    </w:p>
    <w:p>
      <w:r>
        <w:t>La función 1 pide ejecutar acciones para reconocer y analizar hechos económicos en sistemas de información financiera. Sus ejemplos son certificado de disponibilidad presupuestal, registro presupuestal, registro de reservas, obligaciones presupuestales y órdenes de pago. El texto subordina esas acciones a procedimientos, normativa aplicable y nivel de responsabilidad. Esta es la base documental disponible para el módulo.</w:t>
      </w:r>
    </w:p>
    <w:p>
      <w:r>
        <w:t>Certificado de disponibilidad presupuestal (CDP) y registro presupuestal (RP) son operaciones diferentes. El Decreto 1068, arts. 2.8.1.7.2 y 2.8.1.7.3, permite ahora explicar su afectación preliminar y definitiva. La secuencia desarrollada se estudia en la lección Del CDP al pago, con su fuente específica, no deducida del orden de la ficha.</w:t>
      </w:r>
    </w:p>
    <w:p>
      <w:r>
        <w:t>Aprovecha tu experiencia para comprobar cifras y soportes y después aplica la regla pública concreta. El mapa ampliado separa apropiación, compromiso, obligación y pago y aclara qué hace y qué no hace el PAC. No se inventan nombres de pantallas o permisos de usuario de SIIF.</w:t>
      </w:r>
    </w:p>
    <w:p>
      <w:r>
        <w:t>La página 2 enumera presupuesto, tesorería y operación de SIIF Nación II entre las competencias funcionales del manual. Esa lista es más amplia que el indicador de generalidades del sistema presupuestal del Word. No se afirma que todo SIIF o toda tesorería formen parte de la prueba.</w:t>
      </w:r>
    </w:p>
    <w:p>
      <w:r>
        <w:t>Como contexto institucional sí se verificó el artículo 35 del Decreto 1742. A la Subdirección Financiera le asigna administrar apropiaciones y recursos (numeral 2), elaborar anteproyecto de presupuesto, distribución presupuestal y Programa Anual Mensualizado de Caja (4), y administrar, registrar y seguir operaciones financieras, contables, de tesorería y presupuesto de la función pagadora (5). Es una distribución de funciones, no una explicación del Estatuto Orgánico del Presupuesto ni del flujo de SIIF.</w:t>
      </w:r>
    </w:p>
    <w:p>
      <w:r>
        <w:t>Ya se consultaron apartados oficiales del Decreto 1068 para explicar CDP, registro, obligación, PAC y cierre. Las dos lecturas ampliadas reemplazan la duda inicial sobre esas definiciones por ejemplos, una tabla comparativa y cálculos. Continúan pendientes otros contenidos del EOP, perfiles de SIIF y el corte del concurso.</w:t>
      </w:r>
    </w:p>
    <w:p>
      <w:pPr>
        <w:pStyle w:val="Heading2"/>
      </w:pPr>
      <w:r>
        <w:t>Ejemplo original</w:t>
      </w:r>
    </w:p>
    <w:p>
      <w:r>
        <w:t>Caso original: una solicitud pide apoyo para registrar obligaciones presupuestales en un sistema financiero. Se relaciona con la función 1. El archivo no permite precisar el flujo de aprobación ni la transacción concreta del sistema.</w:t>
      </w:r>
    </w:p>
    <w:p>
      <w:pPr>
        <w:pStyle w:val="Heading2"/>
      </w:pPr>
      <w:r>
        <w:t>Distinciones importantes</w:t>
      </w:r>
    </w:p>
    <w:p>
      <w:pPr>
        <w:pStyle w:val="ListBullet"/>
      </w:pPr>
      <w:r>
        <w:t>Un ejemplo de hecho o registro no es una definición jurídica.</w:t>
      </w:r>
    </w:p>
    <w:p>
      <w:pPr>
        <w:pStyle w:val="ListBullet"/>
      </w:pPr>
      <w:r>
        <w:t>El orden de una enumeración no prueba una secuencia de ejecución.</w:t>
      </w:r>
    </w:p>
    <w:p>
      <w:pPr>
        <w:pStyle w:val="ListBullet"/>
      </w:pPr>
      <w:r>
        <w:t>Sistema presupuestal y contabilidad privada requieren distinguir sus reglas.</w:t>
      </w:r>
    </w:p>
    <w:p>
      <w:pPr>
        <w:pStyle w:val="Heading2"/>
      </w:pPr>
      <w:r>
        <w:t>Errores frecuentes</w:t>
      </w:r>
    </w:p>
    <w:p>
      <w:pPr>
        <w:pStyle w:val="ListBullet"/>
      </w:pPr>
      <w:r>
        <w:t>Afirmar con esta ficha que el certificado y el registro son intercambiables.</w:t>
      </w:r>
    </w:p>
    <w:p>
      <w:pPr>
        <w:pStyle w:val="ListBullet"/>
      </w:pPr>
      <w:r>
        <w:t>Inventar tiempos, transacciones de SIIF o porcentajes de reservas.</w:t>
      </w:r>
    </w:p>
    <w:p>
      <w:pPr>
        <w:pStyle w:val="Heading2"/>
      </w:pPr>
      <w:r>
        <w:t>Recuperación: responde antes de leer la guía</w:t>
      </w:r>
    </w:p>
    <w:p>
      <w:r>
        <w:t>Recuerda tres ejemplos de la función 1 y explica por qué su enumeración no basta para aprender el procedimiento presupuestal.</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Por ejemplo, certificado de disponibilidad, registro presupuestal y obligaciones. Faltan definiciones, competencias, reglas y procedimiento para ejecutarlos.</w:t>
      </w:r>
    </w:p>
    <w:p>
      <w:pPr>
        <w:pStyle w:val="Heading3"/>
      </w:pPr>
      <w:r>
        <w:t>Fuentes de esta lección</w:t>
      </w:r>
    </w:p>
    <w:p>
      <w:r>
        <w:t>ADJ-PDF · Descripción del empleo · Analista I · TP-DE-2013. Página 1, función 1; página 2, competencias funcionales 10, 12 y 13. Estado: leído en adjunto. Archivo/URL: ./docs/ficha-TP-DE-2013.pdf.</w:t>
      </w:r>
    </w:p>
    <w:p>
      <w:r>
        <w:t>OF-D1742 · Decreto 1742 de 2020 · estructura y funciones de la DIAN. Art. 35, numerales 2, 4 y 5. Estado: contrastado en fuente oficial. Archivo/URL: https://normograma.dian.gov.co/dian/compilacion/docs/decreto_1742_2020.htm.</w:t>
      </w:r>
    </w:p>
    <w:p>
      <w:r>
        <w:t>OF-D1068 · Decreto 1068 de 2015 · ejecución presupuestal, SIIF y caja menor. Arts. 2.8.1.7.1–3 y 2.8.1.7.2.1. Estado: revisión documental completada. Archivo/URL: https://normograma.dian.gov.co/dian/compilacion/docs/decreto_1068_2015.htm.</w:t>
      </w:r>
    </w:p>
    <w:p>
      <w:r>
        <w:br w:type="page"/>
      </w:r>
    </w:p>
    <w:p>
      <w:pPr>
        <w:pStyle w:val="Heading1"/>
      </w:pPr>
      <w:r>
        <w:t>11. Del CDP al pago: qué acredita cada operación</w:t>
      </w:r>
    </w:p>
    <w:p>
      <w:r>
        <w:t>Objetivo: Diferenciar apropiación disponible, compromiso registrado, obligación exigible y límite mensual de pagos con un caso de ejecución.</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El presupuesto público exige distinguir autorización de gasto y disponibilidad de dinero para pagar. El art. 2.8.1.7.1 del Decreto 1068 impide efectuar gasto no previsto o por encima del saldo y exige CDP antes de contraer compromisos. La experiencia contable ayuda a revisar cifras, pero un asiento contable no reemplaza este requisito presupuestal.</w:t>
      </w:r>
    </w:p>
    <w:p>
      <w:r>
        <w:t>El CDP es expedido por el jefe de presupuesto o quien haga sus veces y garantiza apropiación disponible y libre de afectación. Afecta preliminarmente el presupuesto mientras se perfecciona el compromiso y se realiza el registro. No demuestra entrega de bienes ni pago. Tampoco se atribuye la firma a cualquier servidor por conocer la aplicación.</w:t>
      </w:r>
    </w:p>
    <w:p>
      <w:r>
        <w:t>El registro presupuestal es la operación que perfecciona el compromiso y afecta definitivamente la apropiación, indicando valor y plazo de las prestaciones. Definitiva se refiere a la afectación para el fin del compromiso; no significa que el proveedor ya haya cobrado o que no haya requisitos posteriores.</w:t>
      </w:r>
    </w:p>
    <w:p>
      <w:r>
        <w:t>Para contratos o convenios, el art. 2.8.1.7.6 relaciona la ejecución del compromiso con recepción de bienes y servicios; en los demás eventos, con los requisitos que hacen exigible el pago. La obligación exigible debe estar respaldada. No se enseña que cualquier factura, sin verificación del cumplimiento, baste en todos los casos.</w:t>
      </w:r>
    </w:p>
    <w:p>
      <w:r>
        <w:t>El PAC define el monto máximo mensual de pagos para cancelar obligaciones exigibles. Un compromiso registrado y una obligación reconocida no eliminan el límite de pagos del mes. Si en un ejercicio no hay otras restricciones y el PAC disponible es menor que la obligación, esa diferencia se identifica como límite a resolver; no se inventa que el PAC crea apropiación.</w:t>
      </w:r>
    </w:p>
    <w:p>
      <w:r>
        <w:t>SIIF integra y estandariza la gestión financiera. El art. 2.9.1.2.10 exige documentos legalmente expedidos para los registros; el 2.9.1.2.12 exige oportunidad, veracidad y uso responsable por personas autorizadas. Conocer una clave ajena o recibir una instrucción verbal no convierte a alguien en usuario autorizado.</w:t>
      </w:r>
    </w:p>
    <w:p>
      <w:r>
        <w:t>Es útil estudiar una cadena simplificada: verificar apropiación y CDP previo; compromiso y registro; verificación de cumplimiento y obligación; trámite y pago sujetos a requisitos y PAC. Es un mapa pedagógico, no una ruta de pantallas ni una afirmación de que todos los actos se perfeccionan igual que un contrato estatal.</w:t>
      </w:r>
    </w:p>
    <w:p>
      <w:pPr>
        <w:pStyle w:val="Heading2"/>
      </w:pPr>
      <w:r>
        <w:t>Ejemplo original</w:t>
      </w:r>
    </w:p>
    <w:p>
      <w:r>
        <w:t>Ejemplo original, cifras en millones: apropiación disponible 80, CDP 30, compromiso registrado 24 y servicio recibido que hace exigibles 18. Si solo quedan 12 de PAC y no hay otros límites en el ejercicio, el pago del mes no puede tratarse como 18 por el solo hecho de existir obligación.</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Concepto</w:t>
            </w:r>
          </w:p>
        </w:tc>
        <w:tc>
          <w:tcPr>
            <w:tcW w:type="dxa" w:w="2880"/>
          </w:tcPr>
          <w:p>
            <w:r>
              <w:t>Qué muestra</w:t>
            </w:r>
          </w:p>
        </w:tc>
        <w:tc>
          <w:tcPr>
            <w:tcW w:type="dxa" w:w="2880"/>
          </w:tcPr>
          <w:p>
            <w:r>
              <w:t>Qué no demuestra</w:t>
            </w:r>
          </w:p>
        </w:tc>
      </w:tr>
      <w:tr>
        <w:tc>
          <w:tcPr>
            <w:tcW w:type="dxa" w:w="2880"/>
          </w:tcPr>
          <w:p>
            <w:r>
              <w:t>CDP</w:t>
            </w:r>
          </w:p>
        </w:tc>
        <w:tc>
          <w:tcPr>
            <w:tcW w:type="dxa" w:w="2880"/>
          </w:tcPr>
          <w:p>
            <w:r>
              <w:t>Apropiación disponible y afectación preliminar</w:t>
            </w:r>
          </w:p>
        </w:tc>
        <w:tc>
          <w:tcPr>
            <w:tcW w:type="dxa" w:w="2880"/>
          </w:tcPr>
          <w:p>
            <w:r>
              <w:t>Compromiso registrado o bien recibido</w:t>
            </w:r>
          </w:p>
        </w:tc>
      </w:tr>
      <w:tr>
        <w:tc>
          <w:tcPr>
            <w:tcW w:type="dxa" w:w="2880"/>
          </w:tcPr>
          <w:p>
            <w:r>
              <w:t>Registro presupuestal</w:t>
            </w:r>
          </w:p>
        </w:tc>
        <w:tc>
          <w:tcPr>
            <w:tcW w:type="dxa" w:w="2880"/>
          </w:tcPr>
          <w:p>
            <w:r>
              <w:t>Afectación definitiva del compromiso; valor y plazo</w:t>
            </w:r>
          </w:p>
        </w:tc>
        <w:tc>
          <w:tcPr>
            <w:tcW w:type="dxa" w:w="2880"/>
          </w:tcPr>
          <w:p>
            <w:r>
              <w:t>Pago al beneficiario</w:t>
            </w:r>
          </w:p>
        </w:tc>
      </w:tr>
      <w:tr>
        <w:tc>
          <w:tcPr>
            <w:tcW w:type="dxa" w:w="2880"/>
          </w:tcPr>
          <w:p>
            <w:r>
              <w:t>Obligación</w:t>
            </w:r>
          </w:p>
        </w:tc>
        <w:tc>
          <w:tcPr>
            <w:tcW w:type="dxa" w:w="2880"/>
          </w:tcPr>
          <w:p>
            <w:r>
              <w:t>Requisitos de exigibilidad y cumplimiento aplicables</w:t>
            </w:r>
          </w:p>
        </w:tc>
        <w:tc>
          <w:tcPr>
            <w:tcW w:type="dxa" w:w="2880"/>
          </w:tcPr>
          <w:p>
            <w:r>
              <w:t>Disponibilidad ilimitada de caja</w:t>
            </w:r>
          </w:p>
        </w:tc>
      </w:tr>
      <w:tr>
        <w:tc>
          <w:tcPr>
            <w:tcW w:type="dxa" w:w="2880"/>
          </w:tcPr>
          <w:p>
            <w:r>
              <w:t>PAC</w:t>
            </w:r>
          </w:p>
        </w:tc>
        <w:tc>
          <w:tcPr>
            <w:tcW w:type="dxa" w:w="2880"/>
          </w:tcPr>
          <w:p>
            <w:r>
              <w:t>Máximo mensual de pagos</w:t>
            </w:r>
          </w:p>
        </w:tc>
        <w:tc>
          <w:tcPr>
            <w:tcW w:type="dxa" w:w="2880"/>
          </w:tcPr>
          <w:p>
            <w:r>
              <w:t>Apropiación nueva o autorización de cualquier gasto</w:t>
            </w:r>
          </w:p>
        </w:tc>
      </w:tr>
    </w:tbl>
    <w:p>
      <w:pPr>
        <w:pStyle w:val="Heading2"/>
      </w:pPr>
      <w:r>
        <w:t>Cómo resolver el ejemplo</w:t>
      </w:r>
    </w:p>
    <w:p>
      <w:pPr>
        <w:pStyle w:val="ListNumber"/>
      </w:pPr>
      <w:r>
        <w:t>Ubica cada dato en su etapa y no restes conceptos de naturalezas distintas.</w:t>
      </w:r>
    </w:p>
    <w:p>
      <w:pPr>
        <w:pStyle w:val="ListNumber"/>
      </w:pPr>
      <w:r>
        <w:t>El registro 24 no equivale a obligación 24: el caso hace exigibles 18.</w:t>
      </w:r>
    </w:p>
    <w:p>
      <w:pPr>
        <w:pStyle w:val="ListNumber"/>
      </w:pPr>
      <w:r>
        <w:t>Distingue la obligación 18 del límite mensual de pagos 12.</w:t>
      </w:r>
    </w:p>
    <w:p>
      <w:pPr>
        <w:pStyle w:val="ListNumber"/>
      </w:pPr>
      <w:r>
        <w:t>Explica qué restricción falta resolver, sin inventar un giro ni su autorización.</w:t>
      </w:r>
    </w:p>
    <w:p>
      <w:pPr>
        <w:pStyle w:val="Heading2"/>
      </w:pPr>
      <w:r>
        <w:t>Distinciones importantes</w:t>
      </w:r>
    </w:p>
    <w:p>
      <w:pPr>
        <w:pStyle w:val="ListBullet"/>
      </w:pPr>
      <w:r>
        <w:t>Ubica cada dato en su etapa y no restes conceptos de naturalezas distintas.</w:t>
      </w:r>
    </w:p>
    <w:p>
      <w:pPr>
        <w:pStyle w:val="ListBullet"/>
      </w:pPr>
      <w:r>
        <w:t>Explica qué restricción falta resolver, sin inventar un giro ni su autorización.</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¿Por qué CDP, registro presupuestal y PAC no son tres nombres de lo mismo? Resuelve el caso de obligación 18 y PAC disponible 12 bajo los supuestos dados.</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CDP acredita apropiación libre y afecta preliminarmente; registro afecta definitivamente el compromiso; PAC limita pagos del mes. Con los supuestos del ejercicio, 12 es el límite de pago y 6 de la obligación no caben en ese PAC disponible.</w:t>
      </w:r>
    </w:p>
    <w:p>
      <w:pPr>
        <w:pStyle w:val="Heading3"/>
      </w:pPr>
      <w:r>
        <w:t>Fuentes de esta lección</w:t>
      </w:r>
    </w:p>
    <w:p>
      <w:r>
        <w:t>OF-D1068 · Decreto 1068 de 2015 · ejecución presupuestal, SIIF y caja menor. Arts. 2.8.1.7.1–3, 2.8.1.7.6, 2.8.1.7.2.1, 2.9.1.2.10 y 2.9.1.2.12. Estado: revisión documental completada. Archivo/URL: https://normograma.dian.gov.co/dian/compilacion/docs/decreto_1068_2015.htm.</w:t>
      </w:r>
    </w:p>
    <w:p>
      <w:r>
        <w:t>ADJ-ESTUDIO · MATERIAL DE ESTUDIO · documento aportado. Párrafos 188–207. Estado: analizado; no es fuente oficial. Archivo/URL: ./docs/analisis-materiales-ampliacion.md.</w:t>
      </w:r>
    </w:p>
    <w:p>
      <w:r>
        <w:t>ADJ-SIMULACRO · Simulacro DIAN 2676 · OPEC 242699 · ConMérito. Justificaciones 231–232, PDF p. 188; se crean casos nuevos. Estado: analizado; no es fuente oficial. Archivo/URL: ./docs/analisis-materiales-ampliacion.md.</w:t>
      </w:r>
    </w:p>
    <w:p>
      <w:r>
        <w:br w:type="page"/>
      </w:r>
    </w:p>
    <w:p>
      <w:pPr>
        <w:pStyle w:val="Heading1"/>
      </w:pPr>
      <w:r>
        <w:t>12. Cierre presupuestal: reservas y cuentas por pagar con números</w:t>
      </w:r>
    </w:p>
    <w:p>
      <w:r>
        <w:t>Objetivo: Clasificar saldos al cierre y calcular reservas y cuentas por pagar sin confundirlos con la disponibilidad inicial o el PAC.</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El cierre exige saber en qué etapa quedó cada compromiso al 31 de diciembre. Para el cálculo del art. 2.8.1.7.3.1 del Decreto 1068, las reservas corresponden a compromisos menos obligaciones y las cuentas por pagar a obligaciones menos pagos. Usa cifras del mismo corte y alcance; mezclar meses o contratos distorsiona la conclusión.</w:t>
      </w:r>
    </w:p>
    <w:p>
      <w:r>
        <w:t>Una reserva recoge la parte comprometida que no ha alcanzado la etapa de obligación. Una cuenta por pagar identifica la parte obligada que no ha sido pagada. No son dos formas de nombrar el saldo total pendiente y no se suman otra vez a cada compromiso para inflarlo.</w:t>
      </w:r>
    </w:p>
    <w:p>
      <w:r>
        <w:t>Caso original en millones: compromiso 96, obligaciones 70 y pagos 52. Reserva = 96 − 70 = 26. Cuenta por pagar = 70 − 52 = 18. El saldo comprometido no pagado es 44 y se descompone en 26 + 18. Verifica esa igualdad como control aritmético; no la confundas con una autorización para constituir saldos sin soporte.</w:t>
      </w:r>
    </w:p>
    <w:p>
      <w:r>
        <w:t>Si solo existe un CDP y no se contrajo un compromiso, no hay una diferencia compromiso menos obligación que permita crear una reserva a partir de todo el CDP. Antes de calcular verifica el dato jurídico y operativo: disponibilidad preliminar no equivale a compromiso legalmente adquirido.</w:t>
      </w:r>
    </w:p>
    <w:p>
      <w:r>
        <w:t>El art. 2.8.1.7.3.2 contempla constitución a más tardar el 20 de enero con los saldos registrados a 31 de diciembre. En ese plazo solo se hacen ajustes para la constitución: no autoriza registrar nuevos compromisos u obligaciones. Ajustar el cierre no significa volver a abrir la ejecución de la vigencia anterior.</w:t>
      </w:r>
    </w:p>
    <w:p>
      <w:r>
        <w:t>Al analizar varios contratos, calcula por cada uno y después consolida. Si una tabla presenta obligaciones superiores a compromisos, no aceptes una reserva negativa como una situación normal: revisa consistencia y soporte de los datos. Este es un control didáctico; determinar la corrección real exige los registros y la competencia pertinentes.</w:t>
      </w:r>
    </w:p>
    <w:p>
      <w:r>
        <w:t>Una buena respuesta escrita contiene clasificación, operación, resultado, unidad y supuesto. Escribe 26 millones de reserva del caso y no solo 26. Si falta la fecha de corte o el dato de pagos, dilo: no completes la tabla con cantidades inventadas.</w:t>
      </w:r>
    </w:p>
    <w:p>
      <w:pPr>
        <w:pStyle w:val="Heading2"/>
      </w:pPr>
      <w:r>
        <w:t>Ejemplo original</w:t>
      </w:r>
    </w:p>
    <w:p>
      <w:r>
        <w:t>Ejemplo original: para dos contratos hay (compromiso, obligación, pago) de (60, 40, 35) y (50, 50, 42), en millones. Las reservas son 20 y 0: total 20. Las cuentas por pagar son 5 y 8: total 13. El saldo comprometido no pagado de 33 se descompone en 20 + 13.</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Situación simplificada al cierre</w:t>
            </w:r>
          </w:p>
        </w:tc>
        <w:tc>
          <w:tcPr>
            <w:tcW w:type="dxa" w:w="2880"/>
          </w:tcPr>
          <w:p>
            <w:r>
              <w:t>Clasificación o cálculo</w:t>
            </w:r>
          </w:p>
        </w:tc>
        <w:tc>
          <w:tcPr>
            <w:tcW w:type="dxa" w:w="2880"/>
          </w:tcPr>
          <w:p>
            <w:r>
              <w:t>Razón</w:t>
            </w:r>
          </w:p>
        </w:tc>
      </w:tr>
      <w:tr>
        <w:tc>
          <w:tcPr>
            <w:tcW w:type="dxa" w:w="2880"/>
          </w:tcPr>
          <w:p>
            <w:r>
              <w:t>Compromiso 96, obligación 70</w:t>
            </w:r>
          </w:p>
        </w:tc>
        <w:tc>
          <w:tcPr>
            <w:tcW w:type="dxa" w:w="2880"/>
          </w:tcPr>
          <w:p>
            <w:r>
              <w:t>Reserva 26</w:t>
            </w:r>
          </w:p>
        </w:tc>
        <w:tc>
          <w:tcPr>
            <w:tcW w:type="dxa" w:w="2880"/>
          </w:tcPr>
          <w:p>
            <w:r>
              <w:t>96 − 70</w:t>
            </w:r>
          </w:p>
        </w:tc>
      </w:tr>
      <w:tr>
        <w:tc>
          <w:tcPr>
            <w:tcW w:type="dxa" w:w="2880"/>
          </w:tcPr>
          <w:p>
            <w:r>
              <w:t>Obligación 70, pago 52</w:t>
            </w:r>
          </w:p>
        </w:tc>
        <w:tc>
          <w:tcPr>
            <w:tcW w:type="dxa" w:w="2880"/>
          </w:tcPr>
          <w:p>
            <w:r>
              <w:t>Cuenta por pagar 18</w:t>
            </w:r>
          </w:p>
        </w:tc>
        <w:tc>
          <w:tcPr>
            <w:tcW w:type="dxa" w:w="2880"/>
          </w:tcPr>
          <w:p>
            <w:r>
              <w:t>70 − 52</w:t>
            </w:r>
          </w:p>
        </w:tc>
      </w:tr>
      <w:tr>
        <w:tc>
          <w:tcPr>
            <w:tcW w:type="dxa" w:w="2880"/>
          </w:tcPr>
          <w:p>
            <w:r>
              <w:t>Solo CDP, sin compromiso</w:t>
            </w:r>
          </w:p>
        </w:tc>
        <w:tc>
          <w:tcPr>
            <w:tcW w:type="dxa" w:w="2880"/>
          </w:tcPr>
          <w:p>
            <w:r>
              <w:t>No constituye por sí solo una reserva</w:t>
            </w:r>
          </w:p>
        </w:tc>
        <w:tc>
          <w:tcPr>
            <w:tcW w:type="dxa" w:w="2880"/>
          </w:tcPr>
          <w:p>
            <w:r>
              <w:t>El CDP no es el compromiso</w:t>
            </w:r>
          </w:p>
        </w:tc>
      </w:tr>
      <w:tr>
        <w:tc>
          <w:tcPr>
            <w:tcW w:type="dxa" w:w="2880"/>
          </w:tcPr>
          <w:p>
            <w:r>
              <w:t>Ajustes de enero</w:t>
            </w:r>
          </w:p>
        </w:tc>
        <w:tc>
          <w:tcPr>
            <w:tcW w:type="dxa" w:w="2880"/>
          </w:tcPr>
          <w:p>
            <w:r>
              <w:t>Saldos del cierre anterior, sin nuevos compromisos u obligaciones</w:t>
            </w:r>
          </w:p>
        </w:tc>
        <w:tc>
          <w:tcPr>
            <w:tcW w:type="dxa" w:w="2880"/>
          </w:tcPr>
          <w:p>
            <w:r>
              <w:t>No es una nueva ejecución de la vigencia cerrada</w:t>
            </w:r>
          </w:p>
        </w:tc>
      </w:tr>
    </w:tbl>
    <w:p>
      <w:pPr>
        <w:pStyle w:val="Heading2"/>
      </w:pPr>
      <w:r>
        <w:t>Cómo resolver el ejemplo</w:t>
      </w:r>
    </w:p>
    <w:p>
      <w:pPr>
        <w:pStyle w:val="ListNumber"/>
      </w:pPr>
      <w:r>
        <w:t>Comprueba que todas las cifras tienen el mismo corte y unidad.</w:t>
      </w:r>
    </w:p>
    <w:p>
      <w:pPr>
        <w:pStyle w:val="ListNumber"/>
      </w:pPr>
      <w:r>
        <w:t>Calcula compromiso menos obligación por contrato.</w:t>
      </w:r>
    </w:p>
    <w:p>
      <w:pPr>
        <w:pStyle w:val="ListNumber"/>
      </w:pPr>
      <w:r>
        <w:t>Calcula obligación menos pago por contrato.</w:t>
      </w:r>
    </w:p>
    <w:p>
      <w:pPr>
        <w:pStyle w:val="ListNumber"/>
      </w:pPr>
      <w:r>
        <w:t>Consolida y comprueba que reserva más cuenta por pagar equivale a compromiso menos pago en el modelo.</w:t>
      </w:r>
    </w:p>
    <w:p>
      <w:pPr>
        <w:pStyle w:val="Heading2"/>
      </w:pPr>
      <w:r>
        <w:t>Distinciones importantes</w:t>
      </w:r>
    </w:p>
    <w:p>
      <w:pPr>
        <w:pStyle w:val="ListBullet"/>
      </w:pPr>
      <w:r>
        <w:t>Comprueba que todas las cifras tienen el mismo corte y unidad.</w:t>
      </w:r>
    </w:p>
    <w:p>
      <w:pPr>
        <w:pStyle w:val="ListBullet"/>
      </w:pPr>
      <w:r>
        <w:t>Consolida y comprueba que reserva más cuenta por pagar equivale a compromiso menos pago en el modelo.</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Con compromiso 125, obligación 90 y pago 68 millones, calcula ambas categorías y explica por qué un CDP sin contrato no se agrega a la reserva.</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Reserva 125 − 90 = 35 millones; cuenta por pagar 90 − 68 = 22 millones. Total pendiente 57 = 35 + 22. El CDP sin compromiso no es compromiso menos obligación y no crea por sí solo una reserva.</w:t>
      </w:r>
    </w:p>
    <w:p>
      <w:pPr>
        <w:pStyle w:val="Heading3"/>
      </w:pPr>
      <w:r>
        <w:t>Fuentes de esta lección</w:t>
      </w:r>
    </w:p>
    <w:p>
      <w:r>
        <w:t>OF-D1068 · Decreto 1068 de 2015 · ejecución presupuestal, SIIF y caja menor. Arts. 2.8.1.7.2, 2.8.1.7.3.1 y 2.8.1.7.3.2. Estado: revisión documental completada. Archivo/URL: https://normograma.dian.gov.co/dian/compilacion/docs/decreto_1068_2015.htm.</w:t>
      </w:r>
    </w:p>
    <w:p>
      <w:r>
        <w:t>ADJ-ESTUDIO · MATERIAL DE ESTUDIO · documento aportado. Párrafos 196–199. Estado: analizado; no es fuente oficial. Archivo/URL: ./docs/analisis-materiales-ampliacion.md.</w:t>
      </w:r>
    </w:p>
    <w:p>
      <w:r>
        <w:t>ADJ-SIMULACRO · Simulacro DIAN 2676 · OPEC 242699 · ConMérito. Justificaciones 127–128, PDF p. 155; cifras y casos nuevos. Estado: analizado; no es fuente oficial. Archivo/URL: ./docs/analisis-materiales-ampliacion.md.</w:t>
      </w:r>
    </w:p>
    <w:p>
      <w:r>
        <w:br w:type="page"/>
      </w:r>
    </w:p>
    <w:p>
      <w:pPr>
        <w:pStyle w:val="Heading1"/>
      </w:pPr>
      <w:r>
        <w:t>13. Gestión documental: apoyo y límites de la fuente</w:t>
      </w:r>
    </w:p>
    <w:p>
      <w:r>
        <w:t>Objetivo: Ubicar gestión documental en el empleo y diferenciar la elaboración de documentos de las decisiones archivísticas.</w:t>
      </w:r>
    </w:p>
    <w:p>
      <w:r>
        <w:t>Estado: revisión documental completada | Versión 1.1.0 | Revisión 2026-10-20</w:t>
      </w:r>
    </w:p>
    <w:p>
      <w:r>
        <w:t>Alcance: Lectura de la ficha como introducción. Las lecciones ampliadas siguientes desarrollan los apartados adicionales contrastados.</w:t>
      </w:r>
    </w:p>
    <w:p>
      <w:pPr>
        <w:pStyle w:val="Heading2"/>
      </w:pPr>
      <w:r>
        <w:t>Explicación</w:t>
      </w:r>
    </w:p>
    <w:p>
      <w:r>
        <w:t>La función 4 incluye gestión documental entre las acciones que facilitan el apoyo a los subprocesos. La página 2 la menciona en las competencias básicas y en las funcionales. La repetición confirma que el asunto aparece en la ficha; no contiene una regla sobre clasificación, retención, transferencia o eliminación documental.</w:t>
      </w:r>
    </w:p>
    <w:p>
      <w:r>
        <w:t>La función 8 encarga proyectar actos administrativos y otros documentos de carácter técnico, administrativo y operativo, dentro de la normativa, competencia, procedimientos, responsabilidad e instrucciones. Proyectar un documento describe una actividad de preparación. El archivo no determina quién firma, qué término tiene el trámite ni cuál es su serie documental. Para estudiar sin mezclar niveles, separa lo que el documento dice del procedimiento que haría falta consultar.</w:t>
      </w:r>
    </w:p>
    <w:p>
      <w:r>
        <w:t>Una práctica pedagógica útil es acompañar cada borrador con una nota de contexto: asunto, instrucción recibida, información usada y puntos que requieren revisión. No se presenta como formato obligatorio ni como sustituto de un instrumento archivístico. La meta de esta lectura es reconocer la responsabilidad descrita y detectar cuándo hace falta una fuente adicional.</w:t>
      </w:r>
    </w:p>
    <w:p>
      <w:r>
        <w:t>El desarrollo especializado queda pendiente de normativa vigente y documentos del Archivo General de la Nación. No se enseñan plazos de retención ni se da una autorización de eliminación. Tampoco se presume que una copia digital reemplace el original en cualquier circunstancia.</w:t>
      </w:r>
    </w:p>
    <w:p>
      <w:r>
        <w:t>Continúa con las lecturas del ciclo vital y de expediente digital: ahora se añaden equivalencia funcional, firma digital, clasificación/reserva y versión pública con Leyes 527 y 1712. Los plazos y procedimientos avanzados del Acuerdo AGN 001 requieren contraste de su fuente oficial y no se usan como claves.</w:t>
      </w:r>
    </w:p>
    <w:p>
      <w:pPr>
        <w:pStyle w:val="Heading2"/>
      </w:pPr>
      <w:r>
        <w:t>Ejemplo original</w:t>
      </w:r>
    </w:p>
    <w:p>
      <w:r>
        <w:t>Caso original: te piden proyectar un documento técnico. La función 8 respalda la preparación dentro de los límites señalados. Si preguntan cuántos años conservarlo, la ficha no permite dar un número.</w:t>
      </w:r>
    </w:p>
    <w:p>
      <w:pPr>
        <w:pStyle w:val="Heading2"/>
      </w:pPr>
      <w:r>
        <w:t>Distinciones importantes</w:t>
      </w:r>
    </w:p>
    <w:p>
      <w:pPr>
        <w:pStyle w:val="ListBullet"/>
      </w:pPr>
      <w:r>
        <w:t>Proyectar un documento y autorizar su eliminación son actividades diferentes.</w:t>
      </w:r>
    </w:p>
    <w:p>
      <w:pPr>
        <w:pStyle w:val="ListBullet"/>
      </w:pPr>
      <w:r>
        <w:t>Que un tema figure en el manual no establece su procedimiento.</w:t>
      </w:r>
    </w:p>
    <w:p>
      <w:pPr>
        <w:pStyle w:val="Heading2"/>
      </w:pPr>
      <w:r>
        <w:t>Errores frecuentes</w:t>
      </w:r>
    </w:p>
    <w:p>
      <w:pPr>
        <w:pStyle w:val="ListBullet"/>
      </w:pPr>
      <w:r>
        <w:t>Inventar tiempos de archivo.</w:t>
      </w:r>
    </w:p>
    <w:p>
      <w:pPr>
        <w:pStyle w:val="ListBullet"/>
      </w:pPr>
      <w:r>
        <w:t>Considerar que digitalizar autoriza automáticamente a eliminar originales.</w:t>
      </w:r>
    </w:p>
    <w:p>
      <w:pPr>
        <w:pStyle w:val="Heading2"/>
      </w:pPr>
      <w:r>
        <w:t>Recuperación: responde antes de leer la guía</w:t>
      </w:r>
    </w:p>
    <w:p>
      <w:r>
        <w:t>¿Qué dos funciones conectan el empleo con gestión documental y preparación de documentos? ¿Qué dato de retención falta?</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Función 4: apoyo a gestión documental. Función 8: proyectar documentos. No hay en la ficha una tabla o término de retención aplicable.</w:t>
      </w:r>
    </w:p>
    <w:p>
      <w:pPr>
        <w:pStyle w:val="Heading3"/>
      </w:pPr>
      <w:r>
        <w:t>Fuentes de esta lección</w:t>
      </w:r>
    </w:p>
    <w:p>
      <w:r>
        <w:t>ADJ-PDF · Descripción del empleo · Analista I · TP-DE-2013. Página 1, funciones 4 y 8; página 2, competencias básicas 9 y funcionales 9. Estado: leído en adjunto. Archivo/URL: ./docs/ficha-TP-DE-2013.pdf.</w:t>
      </w:r>
    </w:p>
    <w:p>
      <w:r>
        <w:br w:type="page"/>
      </w:r>
    </w:p>
    <w:p>
      <w:pPr>
        <w:pStyle w:val="Heading1"/>
      </w:pPr>
      <w:r>
        <w:t>14. Documento, ciclo vital, tablas e inventarios</w:t>
      </w:r>
    </w:p>
    <w:p>
      <w:r>
        <w:t>Objetivo: Distinguir conceptos archivísticos básicos de la Ley 594 sin inventar plazos ni autorizar eliminaciones.</w:t>
      </w:r>
    </w:p>
    <w:p>
      <w:r>
        <w:t>Estado: revisión documental completada | Versión 1.0.0 | Revisión 2026-10-19</w:t>
      </w:r>
    </w:p>
    <w:p>
      <w:r>
        <w:t>Alcance: Conceptos archivísticos básicos contrastados; reglamentación y procedimientos específicos pendientes</w:t>
      </w:r>
    </w:p>
    <w:p>
      <w:pPr>
        <w:pStyle w:val="Heading2"/>
      </w:pPr>
      <w:r>
        <w:t>Explicación</w:t>
      </w:r>
    </w:p>
    <w:p>
      <w:r>
        <w:t>El artículo 3 de la Ley 594 de 2000 define documento de archivo como registro de información producida o recibida por una entidad pública o privada en razón de sus actividades o funciones. No depende solo de estar impreso. El soporte puede ser papel, audiovisual, fotográfico, informático u otro medio de los allí señalados. Gestión documental comprende planificación, manejo y organización desde el origen hasta el destino final para facilitar utilización y conservación.</w:t>
      </w:r>
    </w:p>
    <w:p>
      <w:r>
        <w:t>El artículo 23 distingue archivo de gestión, central e histórico. El primero contiene documentación de utilización y consulta administrativa continua; el central reúne transferencias desde gestión con consulta menos frecuente y aún vigentes; al histórico se transfieren desde el central documentos de conservación permanente. La antigüedad por sí sola no permite inventar el tiempo que corresponde a una serie.</w:t>
      </w:r>
    </w:p>
    <w:p>
      <w:r>
        <w:t>La tabla de retención documental se define en el artículo 3 como listado de series y tipos documentales con tiempo de permanencia en cada etapa del ciclo vital. El artículo 24 exige a las entidades del Estado elaborar y adoptar sus tablas. El inventario del artículo 26 sirve para controlar documentos en sus distintas fases. Tabla e inventario tienen propósitos distintos: no se sustituyen por tener una lista de archivos.</w:t>
      </w:r>
    </w:p>
    <w:p>
      <w:r>
        <w:t>El artículo 11 exige tener en cuenta procedencia, orden original y ciclo vital en la organización, preservación y control de archivos. El artículo 21 exige programas de gestión de documentos y admite nuevas tecnologías observando principios y procesos archivísticos. El artículo 22 comprende producción o recepción, distribución, consulta, organización, recuperación y disposición final. No se confunde gestión documental con guardar únicamente al terminar un trámite.</w:t>
      </w:r>
    </w:p>
    <w:p>
      <w:r>
        <w:t>Los artículos 19 y 49 impiden concluir que una digitalización autoriza siempre destruir originales: el 19, parágrafo 2, protege originales con valores históricos aun reproducidos y el 49 dice que en ningún caso los documentos históricos podrán destruirse aunque se reproduzcan. No se enseña aquí un procedimiento de eliminación de otros documentos. Hay que consultar reglamentación vigente, instrumentos aplicables y decisiones competentes; no hay plazo universal.</w:t>
      </w:r>
    </w:p>
    <w:p>
      <w:r>
        <w:t>Se leyó el documento completo de la compilación, su nota de publicación y la cláusula de vigencia del artículo 52. Las preguntas usan solo los apartados localizados, sin trasplantar remisiones antiguas de sanciones o reservas. La reglamentación específica, incluido el Acuerdo Único AGN 1 de 2024 que enlaza la compilación, sigue pendiente de lectura y no se evalúa.</w:t>
      </w:r>
    </w:p>
    <w:p>
      <w:pPr>
        <w:pStyle w:val="Heading2"/>
      </w:pPr>
      <w:r>
        <w:t>Ejemplo original</w:t>
      </w:r>
    </w:p>
    <w:p>
      <w:r>
        <w:t>Caso original: una oficina consulta continuamente expedientes que produce. Esa característica corresponde al archivo de gestión. Para trasladarlos o determinar retención no basta suponer que por cumplir cierto año pasan automáticamente a histórico.</w:t>
      </w:r>
    </w:p>
    <w:p>
      <w:pPr>
        <w:pStyle w:val="Heading2"/>
      </w:pPr>
      <w:r>
        <w:t>Distinciones importantes</w:t>
      </w:r>
    </w:p>
    <w:p>
      <w:pPr>
        <w:pStyle w:val="ListBullet"/>
      </w:pPr>
      <w:r>
        <w:t>Soporte y naturaleza documental son diferentes.</w:t>
      </w:r>
    </w:p>
    <w:p>
      <w:pPr>
        <w:pStyle w:val="ListBullet"/>
      </w:pPr>
      <w:r>
        <w:t>Tabla de retención e inventario no cumplen la misma función.</w:t>
      </w:r>
    </w:p>
    <w:p>
      <w:pPr>
        <w:pStyle w:val="ListBullet"/>
      </w:pPr>
      <w:r>
        <w:t>Consulta menos frecuente no significa que un documento haya perdido vigencia.</w:t>
      </w:r>
    </w:p>
    <w:p>
      <w:pPr>
        <w:pStyle w:val="ListBullet"/>
      </w:pPr>
      <w:r>
        <w:t>Copia digital y autorización para eliminar son decisiones diferentes.</w:t>
      </w:r>
    </w:p>
    <w:p>
      <w:pPr>
        <w:pStyle w:val="Heading2"/>
      </w:pPr>
      <w:r>
        <w:t>Errores frecuentes</w:t>
      </w:r>
    </w:p>
    <w:p>
      <w:pPr>
        <w:pStyle w:val="ListBullet"/>
      </w:pPr>
      <w:r>
        <w:t>Asignar un número universal de años de retención.</w:t>
      </w:r>
    </w:p>
    <w:p>
      <w:pPr>
        <w:pStyle w:val="ListBullet"/>
      </w:pPr>
      <w:r>
        <w:t>Reducir gestión documental a almacenamiento final.</w:t>
      </w:r>
    </w:p>
    <w:p>
      <w:pPr>
        <w:pStyle w:val="ListBullet"/>
      </w:pPr>
      <w:r>
        <w:t>Eliminar un documento histórico porque existe una imagen digital.</w:t>
      </w:r>
    </w:p>
    <w:p>
      <w:pPr>
        <w:pStyle w:val="Heading2"/>
      </w:pPr>
      <w:r>
        <w:t>Recuperación: responde antes de leer la guía</w:t>
      </w:r>
    </w:p>
    <w:p>
      <w:r>
        <w:t>Distingue archivo de gestión y central y explica por qué un inventario no sustituye la tabla de retención.</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Gestión: consulta administrativa continua. Central: transferencias de gestión, consulta menos frecuente y vigencia. Inventario controla documentos; la tabla asigna permanencia por series/tipos y fases (arts. 3, 23, 24 y 26).</w:t>
      </w:r>
    </w:p>
    <w:p>
      <w:pPr>
        <w:pStyle w:val="Heading3"/>
      </w:pPr>
      <w:r>
        <w:t>Fuentes de esta lección</w:t>
      </w:r>
    </w:p>
    <w:p>
      <w:r>
        <w:t>OF-L594 · Ley 594 de 2000 · Ley General de Archivos. Arts. 3, 11, 19, 21–26, 49 y 52. Estado: contrastado en fuente oficial. Archivo/URL: https://normograma.dian.gov.co/dian/compilacion/docs/ley_0594_2000.htm.</w:t>
      </w:r>
    </w:p>
    <w:p>
      <w:r>
        <w:br w:type="page"/>
      </w:r>
    </w:p>
    <w:p>
      <w:pPr>
        <w:pStyle w:val="Heading1"/>
      </w:pPr>
      <w:r>
        <w:t>15. Expediente digital y acceso: integridad, firma y versión pública</w:t>
      </w:r>
    </w:p>
    <w:p>
      <w:r>
        <w:t>Objetivo: Distinguir soporte, autenticidad, conservación y protección de información al preparar o entregar documentos.</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Un documento electrónico no pierde valor por el solo hecho de ser un mensaje de datos. La Ley 527, art. 5, establece ese reconocimiento. Los requisitos de escrito, firma y original tienen condiciones distintas: no se cumplen todos por adjuntar cualquier archivo a un correo.</w:t>
      </w:r>
    </w:p>
    <w:p>
      <w:r>
        <w:t>Para el requisito de escrito, el art. 6 exige accesibilidad para consulta posterior. Para firma, el art. 7 pide un método que identifique al iniciador, indique aprobación y sea confiable y apropiado. Para original, el art. 8 exige garantía confiable de integridad desde la forma definitiva y posibilidad de mostrar la información cuando se requiera.</w:t>
      </w:r>
    </w:p>
    <w:p>
      <w:r>
        <w:t>La firma digital del art. 28 requiere atributos como unicidad, verificabilidad, control exclusivo y vínculo con el mensaje que se invalida si este cambia. Pegar una imagen de una rúbrica no demuestra automáticamente esos atributos. Tampoco prestar el dispositivo de firma preserva el control exclusivo de su titular.</w:t>
      </w:r>
    </w:p>
    <w:p>
      <w:r>
        <w:t>Si un documento firmado se modifica después, debes distinguir la versión que fue firmada del archivo modificado. La corrección no se vuelve válida solo porque tenga el mismo nombre. El ejemplo enseña integridad y trazabilidad; no sustituye las herramientas técnicas de validación o el procedimiento de corrección aplicable.</w:t>
      </w:r>
    </w:p>
    <w:p>
      <w:r>
        <w:t>La Ley 594 distingue ciclo vital e instrumentos de control. Digitalizar no autoriza automáticamente eliminar el original; en particular, sus arts. 19 y 49 protegen documentos históricos aun reproducidos. Para otras disposiciones finales deben consultarse la tabla y el procedimiento aplicables, no elegir por falta de espacio.</w:t>
      </w:r>
    </w:p>
    <w:p>
      <w:r>
        <w:t>La Ley 1712 parte de máxima publicidad, pero distingue información clasificada por protección de derechos de personas y reservada por intereses públicos en los supuestos legales. No basta que un funcionario escriba confidencial para crear una excepción. Esta lección no decide reservas de un expediente real.</w:t>
      </w:r>
    </w:p>
    <w:p>
      <w:r>
        <w:t>Si solo una parte está protegida, el art. 21 exige versión pública que mantenga reserva de lo indispensable y entregue lo que no cae en excepción. La reserva opera sobre contenido, no sobre la existencia del documento. Ocultar una columna o dibujar un rectángulo encima de un dato no garantiza que se haya retirado del archivo compartido: comprueba la copia final que realmente se entrega.</w:t>
      </w:r>
    </w:p>
    <w:p>
      <w:pPr>
        <w:pStyle w:val="Heading2"/>
      </w:pPr>
      <w:r>
        <w:t>Ejemplo original</w:t>
      </w:r>
    </w:p>
    <w:p>
      <w:r>
        <w:t>Ejemplo original: un informe tiene una sección pública y otra que, según el caso, está legalmente protegida. Se elabora una copia pública que excluye solo lo indispensable y se revisa que no permita recuperar esos datos. El original se conserva según sus controles e instrumentos.</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Requisito o decisión</w:t>
            </w:r>
          </w:p>
        </w:tc>
        <w:tc>
          <w:tcPr>
            <w:tcW w:type="dxa" w:w="2880"/>
          </w:tcPr>
          <w:p>
            <w:r>
              <w:t>Condición central</w:t>
            </w:r>
          </w:p>
        </w:tc>
        <w:tc>
          <w:tcPr>
            <w:tcW w:type="dxa" w:w="2880"/>
          </w:tcPr>
          <w:p>
            <w:r>
              <w:t>Atajo incorrecto</w:t>
            </w:r>
          </w:p>
        </w:tc>
      </w:tr>
      <w:tr>
        <w:tc>
          <w:tcPr>
            <w:tcW w:type="dxa" w:w="2880"/>
          </w:tcPr>
          <w:p>
            <w:r>
              <w:t>Escrito electrónico</w:t>
            </w:r>
          </w:p>
        </w:tc>
        <w:tc>
          <w:tcPr>
            <w:tcW w:type="dxa" w:w="2880"/>
          </w:tcPr>
          <w:p>
            <w:r>
              <w:t>Accesible para consulta posterior</w:t>
            </w:r>
          </w:p>
        </w:tc>
        <w:tc>
          <w:tcPr>
            <w:tcW w:type="dxa" w:w="2880"/>
          </w:tcPr>
          <w:p>
            <w:r>
              <w:t>Un enlace roto siempre basta</w:t>
            </w:r>
          </w:p>
        </w:tc>
      </w:tr>
      <w:tr>
        <w:tc>
          <w:tcPr>
            <w:tcW w:type="dxa" w:w="2880"/>
          </w:tcPr>
          <w:p>
            <w:r>
              <w:t>Original electrónico</w:t>
            </w:r>
          </w:p>
        </w:tc>
        <w:tc>
          <w:tcPr>
            <w:tcW w:type="dxa" w:w="2880"/>
          </w:tcPr>
          <w:p>
            <w:r>
              <w:t>Garantía confiable de integridad y posibilidad de mostrarlo</w:t>
            </w:r>
          </w:p>
        </w:tc>
        <w:tc>
          <w:tcPr>
            <w:tcW w:type="dxa" w:w="2880"/>
          </w:tcPr>
          <w:p>
            <w:r>
              <w:t>El nombre original.pdf acredita todo</w:t>
            </w:r>
          </w:p>
        </w:tc>
      </w:tr>
      <w:tr>
        <w:tc>
          <w:tcPr>
            <w:tcW w:type="dxa" w:w="2880"/>
          </w:tcPr>
          <w:p>
            <w:r>
              <w:t>Firma digital</w:t>
            </w:r>
          </w:p>
        </w:tc>
        <w:tc>
          <w:tcPr>
            <w:tcW w:type="dxa" w:w="2880"/>
          </w:tcPr>
          <w:p>
            <w:r>
              <w:t>Atributos del art. 28, incluido control exclusivo</w:t>
            </w:r>
          </w:p>
        </w:tc>
        <w:tc>
          <w:tcPr>
            <w:tcW w:type="dxa" w:w="2880"/>
          </w:tcPr>
          <w:p>
            <w:r>
              <w:t>Compartir el token con autorización informal</w:t>
            </w:r>
          </w:p>
        </w:tc>
      </w:tr>
      <w:tr>
        <w:tc>
          <w:tcPr>
            <w:tcW w:type="dxa" w:w="2880"/>
          </w:tcPr>
          <w:p>
            <w:r>
              <w:t>Versión pública</w:t>
            </w:r>
          </w:p>
        </w:tc>
        <w:tc>
          <w:tcPr>
            <w:tcW w:type="dxa" w:w="2880"/>
          </w:tcPr>
          <w:p>
            <w:r>
              <w:t>Retirar solo lo protegido y entregar lo demás</w:t>
            </w:r>
          </w:p>
        </w:tc>
        <w:tc>
          <w:tcPr>
            <w:tcW w:type="dxa" w:w="2880"/>
          </w:tcPr>
          <w:p>
            <w:r>
              <w:t>Reservar todo por tener un dato protegido</w:t>
            </w:r>
          </w:p>
        </w:tc>
      </w:tr>
    </w:tbl>
    <w:p>
      <w:pPr>
        <w:pStyle w:val="Heading2"/>
      </w:pPr>
      <w:r>
        <w:t>Cómo resolver el ejemplo</w:t>
      </w:r>
    </w:p>
    <w:p>
      <w:pPr>
        <w:pStyle w:val="ListNumber"/>
      </w:pPr>
      <w:r>
        <w:t>Identifica qué requisito estás comprobando: escrito, firma, original o acceso.</w:t>
      </w:r>
    </w:p>
    <w:p>
      <w:pPr>
        <w:pStyle w:val="ListNumber"/>
      </w:pPr>
      <w:r>
        <w:t>No sustituyas integridad por apariencia, extensión o nombre del archivo.</w:t>
      </w:r>
    </w:p>
    <w:p>
      <w:pPr>
        <w:pStyle w:val="ListNumber"/>
      </w:pPr>
      <w:r>
        <w:t>Separa lo protegido del resto del contenido en el supuesto dado.</w:t>
      </w:r>
    </w:p>
    <w:p>
      <w:pPr>
        <w:pStyle w:val="ListNumber"/>
      </w:pPr>
      <w:r>
        <w:t>Conserva el original y verifica la copia pública, sin inventar una reserva ni una eliminación.</w:t>
      </w:r>
    </w:p>
    <w:p>
      <w:pPr>
        <w:pStyle w:val="Heading2"/>
      </w:pPr>
      <w:r>
        <w:t>Distinciones importantes</w:t>
      </w:r>
    </w:p>
    <w:p>
      <w:pPr>
        <w:pStyle w:val="ListBullet"/>
      </w:pPr>
      <w:r>
        <w:t>Identifica qué requisito estás comprobando: escrito, firma, original o acceso.</w:t>
      </w:r>
    </w:p>
    <w:p>
      <w:pPr>
        <w:pStyle w:val="ListBullet"/>
      </w:pPr>
      <w:r>
        <w:t>Conserva el original y verifica la copia pública, sin inventar una reserva ni una eliminación.</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Distingue accesibilidad, integridad y control exclusivo, y explica por qué una excepción parcial no justifica ocultar todo el documento.</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Accesibilidad permite consultar después; integridad asegura que la información se conserve completa según el requisito de original; control exclusivo es un atributo de firma digital. El art. 21 exige divulgar lo no exceptuado y mantener reserva solo de lo indispensable.</w:t>
      </w:r>
    </w:p>
    <w:p>
      <w:pPr>
        <w:pStyle w:val="Heading3"/>
      </w:pPr>
      <w:r>
        <w:t>Fuentes de esta lección</w:t>
      </w:r>
    </w:p>
    <w:p>
      <w:r>
        <w:t>OF-L527 · Ley 527 de 1999 · mensajes de datos y firma digital. Arts. 5–8, 10 y 28. Estado: revisión documental completada. Archivo/URL: https://normograma.dian.gov.co/dian/compilacion/docs/ley_0527_1999.htm.</w:t>
      </w:r>
    </w:p>
    <w:p>
      <w:r>
        <w:t>OF-L1712 · Ley 1712 de 2014 · acceso e información protegida. Arts. 2, 18, 19 y 21. Estado: revisión documental completada. Archivo/URL: https://normograma.dian.gov.co/dian/compilacion/docs/ley_1712_2014.htm.</w:t>
      </w:r>
    </w:p>
    <w:p>
      <w:r>
        <w:t>OF-L594 · Ley 594 de 2000 · Ley General de Archivos. Arts. 19 y 49. Estado: contrastado en fuente oficial. Archivo/URL: https://normograma.dian.gov.co/dian/compilacion/docs/ley_0594_2000.htm.</w:t>
      </w:r>
    </w:p>
    <w:p>
      <w:r>
        <w:t>ADJ-ESTUDIO · MATERIAL DE ESTUDIO · documento aportado. Párrafos 256–269 y 274–283. Estado: analizado; no es fuente oficial. Archivo/URL: ./docs/analisis-materiales-ampliacion.md.</w:t>
      </w:r>
    </w:p>
    <w:p>
      <w:r>
        <w:br w:type="page"/>
      </w:r>
    </w:p>
    <w:p>
      <w:pPr>
        <w:pStyle w:val="Heading1"/>
      </w:pPr>
      <w:r>
        <w:t>16. Competencias de la DIAN y propósito del empleo</w:t>
      </w:r>
    </w:p>
    <w:p>
      <w:r>
        <w:t>Objetivo: Relacionar el apoyo administrativo con competencias institucionales verificadas, sin confundirlo con el texto de la misión.</w:t>
      </w:r>
    </w:p>
    <w:p>
      <w:r>
        <w:t>Estado: revisión documental completada | Versión 1.1.0 | Revisión 2026-10-20</w:t>
      </w:r>
    </w:p>
    <w:p>
      <w:r>
        <w:t>Alcance: Competencias institucionales contrastadas; texto literal de misión y corte del concurso pendientes</w:t>
      </w:r>
    </w:p>
    <w:p>
      <w:pPr>
        <w:pStyle w:val="Heading2"/>
      </w:pPr>
      <w:r>
        <w:t>Explicación</w:t>
      </w:r>
    </w:p>
    <w:p>
      <w:r>
        <w:t>El artículo 1 del Decreto 1742 describe competencias institucionales: administración de impuestos nacionales allí señalados y de otros cuya competencia no esté asignada a otra entidad, derechos de aduana y dirección y administración de la gestión aduanera. La administración tributaria incluye recaudación, fiscalización, liquidación, discusión, cobro, devolución y sanción. No se reduce a recibir pagos.</w:t>
      </w:r>
    </w:p>
    <w:p>
      <w:r>
        <w:t>En materia cambiaria el mismo artículo delimita el control y vigilancia a asuntos de importación y exportación de bienes y servicios, sus gastos, financiación en moneda extranjera y subfacturación y sobrefacturación de esas operaciones. No autoriza afirmar que la DIAN controla cualquier operación de cambio sin atender competencias de otras entidades.</w:t>
      </w:r>
    </w:p>
    <w:p>
      <w:r>
        <w:t>La gestión aduanera comprende servicio y apoyo a operaciones de comercio exterior y actuaciones sobre mercancías aprehendidas, decomisadas o declaradas en abandono a favor de la Nación. El artículo 3, numeral 4, atribuye administrar y disponer de esas mercancías; su numeral 17 menciona administrar recursos humanos, financieros, físicos, de conocimiento y servicios generales. Así se conecta el apoyo del cargo con el funcionamiento institucional sin convertir cada función general en una autorización individual.</w:t>
      </w:r>
    </w:p>
    <w:p>
      <w:r>
        <w:t>No es correcto afirmar que ningún ingreso territorial se relaciona con la DIAN: el propio artículo 1 menciona recaudo del impuesto de industria y comercio consolidado en el régimen SIMPLE, con su remisión legal. No se desarrollan aquí tarifas ni reglas del SIMPLE. Se usa esta lectura para evitar generalizaciones absolutas.</w:t>
      </w:r>
    </w:p>
    <w:p>
      <w:r>
        <w:t>El propósito de Analista I está en el PDF y habla de asistencia técnica, administrativa y operación en planes y proyectos. No es la misión institucional. Esta lección desarrolla competencias verificadas; el texto literal de una misión vigente y su instrumento estratégico siguen por contrastar. No se amplía el curso a todo el derecho tributario.</w:t>
      </w:r>
    </w:p>
    <w:p>
      <w:r>
        <w:t>Para pasar del propósito al trabajo cotidiano, conecta un hecho con una competencia y un apoyo: conservar trazabilidad de una mercancía facilita su administración; reportar una operación económica permite el registro competente; controlar soportes contribuye al uso responsable de recursos. Esa relación explica el sentido del trabajo sin atribuir al Analista toda la potestad tributaria o aduanera de la entidad.</w:t>
      </w:r>
    </w:p>
    <w:p>
      <w:pPr>
        <w:pStyle w:val="Heading2"/>
      </w:pPr>
      <w:r>
        <w:t>Ejemplo original</w:t>
      </w:r>
    </w:p>
    <w:p>
      <w:r>
        <w:t>Caso original: una actividad de custodia y reporte de mercancías se relaciona con una competencia de administración aduanera y con la función 2 del empleo. Esa relación no basta para atribuir a la aspirante potestad de decomiso.</w:t>
      </w:r>
    </w:p>
    <w:p>
      <w:pPr>
        <w:pStyle w:val="Heading2"/>
      </w:pPr>
      <w:r>
        <w:t>Distinciones importantes</w:t>
      </w:r>
    </w:p>
    <w:p>
      <w:pPr>
        <w:pStyle w:val="ListBullet"/>
      </w:pPr>
      <w:r>
        <w:t>Competencia de la entidad y atribución individual del empleo se distinguen.</w:t>
      </w:r>
    </w:p>
    <w:p>
      <w:pPr>
        <w:pStyle w:val="ListBullet"/>
      </w:pPr>
      <w:r>
        <w:t>Control cambiario tiene un ámbito señalado, no una extensión universal.</w:t>
      </w:r>
    </w:p>
    <w:p>
      <w:pPr>
        <w:pStyle w:val="ListBullet"/>
      </w:pPr>
      <w:r>
        <w:t>Competencias verificadas no equivalen a transcribir una misión institucional vigente.</w:t>
      </w:r>
    </w:p>
    <w:p>
      <w:pPr>
        <w:pStyle w:val="Heading2"/>
      </w:pPr>
      <w:r>
        <w:t>Errores frecuentes</w:t>
      </w:r>
    </w:p>
    <w:p>
      <w:pPr>
        <w:pStyle w:val="ListBullet"/>
      </w:pPr>
      <w:r>
        <w:t>Reducir administración tributaria a recaudo.</w:t>
      </w:r>
    </w:p>
    <w:p>
      <w:pPr>
        <w:pStyle w:val="ListBullet"/>
      </w:pPr>
      <w:r>
        <w:t>Negar de forma absoluta cualquier relación con ICA, omitiendo el supuesto SIMPLE mencionado en la fuente.</w:t>
      </w:r>
    </w:p>
    <w:p>
      <w:pPr>
        <w:pStyle w:val="Heading2"/>
      </w:pPr>
      <w:r>
        <w:t>Recuperación: responde antes de leer la guía</w:t>
      </w:r>
    </w:p>
    <w:p>
      <w:r>
        <w:t>Nombra tres actividades comprendidas en la administración de impuestos según el artículo 1 y diferencia competencia institucional de función del empleo.</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Por ejemplo: recaudación, fiscalización y devolución. La competencia corresponde a la entidad; la ficha y demás disposiciones delimitan la actividad del empleo.</w:t>
      </w:r>
    </w:p>
    <w:p>
      <w:pPr>
        <w:pStyle w:val="Heading3"/>
      </w:pPr>
      <w:r>
        <w:t>Fuentes de esta lección</w:t>
      </w:r>
    </w:p>
    <w:p>
      <w:r>
        <w:t>OF-D1742 · Decreto 1742 de 2020 · estructura y funciones de la DIAN. Art. 1; art. 3, numerales 4 y 17. Estado: contrastado en fuente oficial. Archivo/URL: https://normograma.dian.gov.co/dian/compilacion/docs/decreto_1742_2020.htm.</w:t>
      </w:r>
    </w:p>
    <w:p>
      <w:r>
        <w:t>ADJ-PDF · Descripción del empleo · Analista I · TP-DE-2013. Página 1, propósito y función 2. Estado: leído en adjunto. Archivo/URL: ./docs/ficha-TP-DE-2013.pdf.</w:t>
      </w:r>
    </w:p>
    <w:p>
      <w:r>
        <w:br w:type="page"/>
      </w:r>
    </w:p>
    <w:p>
      <w:pPr>
        <w:pStyle w:val="Heading1"/>
      </w:pPr>
      <w:r>
        <w:t>17. Excel: sumar con referencias y rangos</w:t>
      </w:r>
    </w:p>
    <w:p>
      <w:r>
        <w:t>Objetivo: Elegir una fórmula de suma y comprobar su alcance con documentación de Microsoft, sin presumir el producto del examen.</w:t>
      </w:r>
    </w:p>
    <w:p>
      <w:r>
        <w:t>Estado: revisión documental completada | Versión 1.1.0 | Revisión 2026-10-20</w:t>
      </w:r>
    </w:p>
    <w:p>
      <w:r>
        <w:t>Alcance: Fundamentos de SUMA documentados; cobertura de ofimática parcial, producto y edición del examen pendientes</w:t>
      </w:r>
    </w:p>
    <w:p>
      <w:pPr>
        <w:pStyle w:val="Heading2"/>
      </w:pPr>
      <w:r>
        <w:t>Explicación</w:t>
      </w:r>
    </w:p>
    <w:p>
      <w:r>
        <w:t>Microsoft documenta que SUMA admite valores individuales, referencias y rangos o combinaciones de ellos. =SUMA(A2:A10) suma el rango desde A2 hasta A10, incluidos los extremos. Es distinto de referirse solo a A2 y A10. El ejemplo =SUMA(A2:A10;C2:C10) reúne dos rangos en la página en español. El separador de argumentos puede depender de configuración regional; los dos puntos expresan el rango.</w:t>
      </w:r>
    </w:p>
    <w:p>
      <w:r>
        <w:t>El primer argumento es obligatorio. Los demás son opcionales hasta un total de 255 argumentos según la página. No confundas número de argumentos con número de celdas del rango: A2:A100 es un rango que abarca muchas celdas y aparece como un argumento. La página se aplica a varias versiones de Excel, pero el Word no define una edición ni siquiera un producto para la prueba.</w:t>
      </w:r>
    </w:p>
    <w:p>
      <w:r>
        <w:t>Según las prácticas recomendadas, usar rangos ayuda a mantener fórmulas frente a inserciones o eliminaciones dentro del rango referenciado. No lo conviertas en la afirmación de que cualquier fila añadida fuera del rango quedará incluida. La función SUMA ignora texto en referencias/rangos; eso no implica que corrija errores o convierta cualquier texto numérico en un valor adecuado.</w:t>
      </w:r>
    </w:p>
    <w:p>
      <w:r>
        <w:t>Caso original reproducible: A2=10, A3=20 y A4=30, todos números. =SUMA(A2:A4) devuelve 60. Si A3 contiene el texto pendiente, la suma de ese rango es 40. El cálculo aritmético se puede comprobar a mano; el comportamiento de ignorar texto se sustenta en la documentación de Microsoft. No se usó una instalación local de Excel para certificar todas las variantes.</w:t>
      </w:r>
    </w:p>
    <w:p>
      <w:r>
        <w:t>La sección de preguntas frecuentes recomienda SUBTOTAL cuando se desea trabajar solo con celdas visibles. Esta lección no inventa sus códigos ni desarrolla filtros: esa parte requiere documentación adicional. La cobertura de ofimática es parcial y se concentra en SUMA; no demuestra preparación completa en Word, presentaciones u otras herramientas.</w:t>
      </w:r>
    </w:p>
    <w:p>
      <w:r>
        <w:t>La segunda lección aplica SUMAR.SI a una tabla propia y distingue registros, unidades y suma total. La elección de una fórmula empieza por la pregunta y la columna que la responde, no por reconocer un nombre de función.</w:t>
      </w:r>
    </w:p>
    <w:p>
      <w:pPr>
        <w:pStyle w:val="Heading2"/>
      </w:pPr>
      <w:r>
        <w:t>Ejemplo original</w:t>
      </w:r>
    </w:p>
    <w:p>
      <w:r>
        <w:t>Ejercicio original: con A2=12, A3=8 y A4=5 numéricos, la fórmula =SUMA(A2:A4) da 25. Si escribes una suma que referencia solo A2 y A4, omites el 8 de A3.</w:t>
      </w:r>
    </w:p>
    <w:p>
      <w:pPr>
        <w:pStyle w:val="Heading2"/>
      </w:pPr>
      <w:r>
        <w:t>Distinciones importantes</w:t>
      </w:r>
    </w:p>
    <w:p>
      <w:pPr>
        <w:pStyle w:val="ListBullet"/>
      </w:pPr>
      <w:r>
        <w:t>Dos puntos definen un rango; separadores entre argumentos dependen de la configuración.</w:t>
      </w:r>
    </w:p>
    <w:p>
      <w:pPr>
        <w:pStyle w:val="ListBullet"/>
      </w:pPr>
      <w:r>
        <w:t>Un argumento de rango no equivale a una sola celda.</w:t>
      </w:r>
    </w:p>
    <w:p>
      <w:pPr>
        <w:pStyle w:val="ListBullet"/>
      </w:pPr>
      <w:r>
        <w:t>Ignorar texto en un rango no es una validación de calidad de datos.</w:t>
      </w:r>
    </w:p>
    <w:p>
      <w:pPr>
        <w:pStyle w:val="Heading2"/>
      </w:pPr>
      <w:r>
        <w:t>Errores frecuentes</w:t>
      </w:r>
    </w:p>
    <w:p>
      <w:pPr>
        <w:pStyle w:val="ListBullet"/>
      </w:pPr>
      <w:r>
        <w:t>Confundir los extremos del rango con las únicas celdas sumadas.</w:t>
      </w:r>
    </w:p>
    <w:p>
      <w:pPr>
        <w:pStyle w:val="ListBullet"/>
      </w:pPr>
      <w:r>
        <w:t>Suponer que SUMA significa solo celdas visibles.</w:t>
      </w:r>
    </w:p>
    <w:p>
      <w:pPr>
        <w:pStyle w:val="ListBullet"/>
      </w:pPr>
      <w:r>
        <w:t>Asumir una edición de software para el examen sin guía.</w:t>
      </w:r>
    </w:p>
    <w:p>
      <w:pPr>
        <w:pStyle w:val="Heading2"/>
      </w:pPr>
      <w:r>
        <w:t>Recuperación: responde antes de leer la guía</w:t>
      </w:r>
    </w:p>
    <w:p>
      <w:r>
        <w:t>Si A2=14, A3=6 y A4=10, ¿qué devuelve =SUMA(A2:A4) y por qué?</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30: el rango incluye las tres celdas, de modo que 14 + 6 + 10 = 30. La fórmula y el alcance de rango se sustentan en OF-EXCEL.</w:t>
      </w:r>
    </w:p>
    <w:p>
      <w:pPr>
        <w:pStyle w:val="Heading3"/>
      </w:pPr>
      <w:r>
        <w:t>Fuentes de esta lección</w:t>
      </w:r>
    </w:p>
    <w:p>
      <w:r>
        <w:t>OF-EXCEL · Función SUMA. Sintaxis, ejemplos, prácticas recomendadas y pregunta sobre celdas visibles. Estado: contrastado en fuente oficial. Archivo/URL: https://support.microsoft.com/es-es/excel/functions/sum-function.</w:t>
      </w:r>
    </w:p>
    <w:p>
      <w:r>
        <w:t>ADJ-WORD · LISTADO INDICADORES A EVALUAR. 22.OFIMATICA. Estado: leído en adjunto. Archivo/URL: ./docs/indicadores-original.docx.</w:t>
      </w:r>
    </w:p>
    <w:p>
      <w:r>
        <w:br w:type="page"/>
      </w:r>
    </w:p>
    <w:p>
      <w:pPr>
        <w:pStyle w:val="Heading1"/>
      </w:pPr>
      <w:r>
        <w:t>18. Excel aplicado: sumar por categoría y comprobar el resultado</w:t>
      </w:r>
    </w:p>
    <w:p>
      <w:r>
        <w:t>Objetivo: Elegir SUMA o SUMAR.SI según la pregunta y verificar rangos, criterio, unidades y cálculo con una tabla pequeña.</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Antes de escribir una fórmula, convierte la solicitud en una pregunta precisa. Cuántos registros hay, cuántas unidades hay y cuánto dinero suman no son el mismo resultado. Un registro puede tener 40 unidades; contar la fila daría uno, no 40. Identifica la columna que representa lo solicitado.</w:t>
      </w:r>
    </w:p>
    <w:p>
      <w:r>
        <w:t>SUMA agrega valores o rangos. SUMAR.SI agrega los valores que cumplen un criterio; Microsoft muestra que el criterio puede evaluarse en un rango y que las cantidades se suman en otro rango correspondiente. Su estructura es SUMAR.SI(rango; criterio; [rango_suma]). Los separadores concretos dependen de la configuración regional.</w:t>
      </w:r>
    </w:p>
    <w:p>
      <w:r>
        <w:t>En una tabla con categoría en A y unidades en B, =SUMAR.SI(A2:A5;"Textiles";B2:B5) evalúa las etiquetas de A y suma B en las filas coincidentes. Aquí rango responde dónde miro la condición y rango_suma dónde están los números que necesito sumar. Intercambiarlos puede producir una fórmula que no responde la pregunta.</w:t>
      </w:r>
    </w:p>
    <w:p>
      <w:r>
        <w:t>Ejemplo original: filas (Textiles, 120), (Equipos, 8), (Textiles, 75) y (Textiles, 5). Hay tres filas de Textiles y 200 unidades textiles: 120 + 75 + 5. La suma de todas las unidades es 208. Son tres respuestas diferentes y cada una corresponde a una pregunta distinta.</w:t>
      </w:r>
    </w:p>
    <w:p>
      <w:r>
        <w:t>Los rangos deben tener tamaño y forma correspondientes. Comprueba que A2:A5 y B2:B5 representan las mismas filas; iniciar uno en la fila 3 desplaza las correspondencias. Microsoft describe comportamientos de rangos desiguales, pero diseñarlos alineados evita depender de un ajuste implícito que complique la revisión.</w:t>
      </w:r>
    </w:p>
    <w:p>
      <w:r>
        <w:t>Los criterios de texto y los que incluyen operadores lógicos se escriben entre comillas según la documentación. Si la categoría se llama Textiles, usa exactamente esa etiqueta en el ejemplo; no cambies a singular o añadas espacios sin revisar los datos. Una fórmula no corrige por sí sola toda la calidad del origen.</w:t>
      </w:r>
    </w:p>
    <w:p>
      <w:r>
        <w:t>Cierra con comprobación manual en una muestra y con la unidad del resultado. Que el total sea plausible no demuestra que el rango esté completo. Si se agregan filas fuera de los rangos definidos, revisa si deben incluirse. No se presume una versión de Office para el examen ni se presentan macros o funciones no contrastadas como requisito.</w:t>
      </w:r>
    </w:p>
    <w:p>
      <w:pPr>
        <w:pStyle w:val="Heading2"/>
      </w:pPr>
      <w:r>
        <w:t>Ejemplo original</w:t>
      </w:r>
    </w:p>
    <w:p>
      <w:r>
        <w:t>Ejemplo original: con categorías en A2:A5 y unidades (40, 12, 30, 10) en B, las filas 2, 4 y 5 son Textiles. SUMAR.SI suma 40 + 30 + 10 = 80, no 3 ni 92. Antes de entregar, comprueba manualmente las tres coincidencias.</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Pregunta sobre la tabla del ejemplo</w:t>
            </w:r>
          </w:p>
        </w:tc>
        <w:tc>
          <w:tcPr>
            <w:tcW w:type="dxa" w:w="2880"/>
          </w:tcPr>
          <w:p>
            <w:r>
              <w:t>Operación</w:t>
            </w:r>
          </w:p>
        </w:tc>
        <w:tc>
          <w:tcPr>
            <w:tcW w:type="dxa" w:w="2880"/>
          </w:tcPr>
          <w:p>
            <w:r>
              <w:t>Resultado</w:t>
            </w:r>
          </w:p>
        </w:tc>
      </w:tr>
      <w:tr>
        <w:tc>
          <w:tcPr>
            <w:tcW w:type="dxa" w:w="2880"/>
          </w:tcPr>
          <w:p>
            <w:r>
              <w:t>¿Unidades de todas las categorías?</w:t>
            </w:r>
          </w:p>
        </w:tc>
        <w:tc>
          <w:tcPr>
            <w:tcW w:type="dxa" w:w="2880"/>
          </w:tcPr>
          <w:p>
            <w:r>
              <w:t>120 + 8 + 75 + 5</w:t>
            </w:r>
          </w:p>
        </w:tc>
        <w:tc>
          <w:tcPr>
            <w:tcW w:type="dxa" w:w="2880"/>
          </w:tcPr>
          <w:p>
            <w:r>
              <w:t>208 unidades</w:t>
            </w:r>
          </w:p>
        </w:tc>
      </w:tr>
      <w:tr>
        <w:tc>
          <w:tcPr>
            <w:tcW w:type="dxa" w:w="2880"/>
          </w:tcPr>
          <w:p>
            <w:r>
              <w:t>¿Unidades de Textiles?</w:t>
            </w:r>
          </w:p>
        </w:tc>
        <w:tc>
          <w:tcPr>
            <w:tcW w:type="dxa" w:w="2880"/>
          </w:tcPr>
          <w:p>
            <w:r>
              <w:t>SUMAR.SI sobre categoría; suma de unidades</w:t>
            </w:r>
          </w:p>
        </w:tc>
        <w:tc>
          <w:tcPr>
            <w:tcW w:type="dxa" w:w="2880"/>
          </w:tcPr>
          <w:p>
            <w:r>
              <w:t>200 unidades</w:t>
            </w:r>
          </w:p>
        </w:tc>
      </w:tr>
      <w:tr>
        <w:tc>
          <w:tcPr>
            <w:tcW w:type="dxa" w:w="2880"/>
          </w:tcPr>
          <w:p>
            <w:r>
              <w:t>¿Registros de Textiles?</w:t>
            </w:r>
          </w:p>
        </w:tc>
        <w:tc>
          <w:tcPr>
            <w:tcW w:type="dxa" w:w="2880"/>
          </w:tcPr>
          <w:p>
            <w:r>
              <w:t>Contar filas coincidentes en este ejemplo</w:t>
            </w:r>
          </w:p>
        </w:tc>
        <w:tc>
          <w:tcPr>
            <w:tcW w:type="dxa" w:w="2880"/>
          </w:tcPr>
          <w:p>
            <w:r>
              <w:t>3 registros</w:t>
            </w:r>
          </w:p>
        </w:tc>
      </w:tr>
      <w:tr>
        <w:tc>
          <w:tcPr>
            <w:tcW w:type="dxa" w:w="2880"/>
          </w:tcPr>
          <w:p>
            <w:r>
              <w:t>¿Qué rango contiene las cantidades?</w:t>
            </w:r>
          </w:p>
        </w:tc>
        <w:tc>
          <w:tcPr>
            <w:tcW w:type="dxa" w:w="2880"/>
          </w:tcPr>
          <w:p>
            <w:r>
              <w:t>B2:B5</w:t>
            </w:r>
          </w:p>
        </w:tc>
        <w:tc>
          <w:tcPr>
            <w:tcW w:type="dxa" w:w="2880"/>
          </w:tcPr>
          <w:p>
            <w:r>
              <w:t>No A2:A5, que contiene etiquetas</w:t>
            </w:r>
          </w:p>
        </w:tc>
      </w:tr>
    </w:tbl>
    <w:p>
      <w:pPr>
        <w:pStyle w:val="Heading2"/>
      </w:pPr>
      <w:r>
        <w:t>Cómo resolver el ejemplo</w:t>
      </w:r>
    </w:p>
    <w:p>
      <w:pPr>
        <w:pStyle w:val="ListNumber"/>
      </w:pPr>
      <w:r>
        <w:t>Escribe la pregunta: unidades de una categoría, no número de filas.</w:t>
      </w:r>
    </w:p>
    <w:p>
      <w:pPr>
        <w:pStyle w:val="ListNumber"/>
      </w:pPr>
      <w:r>
        <w:t>Ubica criterio en A y cantidades en B.</w:t>
      </w:r>
    </w:p>
    <w:p>
      <w:pPr>
        <w:pStyle w:val="ListNumber"/>
      </w:pPr>
      <w:r>
        <w:t>Comprueba coincidencia de filas y dimensiones de los dos rangos.</w:t>
      </w:r>
    </w:p>
    <w:p>
      <w:pPr>
        <w:pStyle w:val="ListNumber"/>
      </w:pPr>
      <w:r>
        <w:t>Recalcula 40 + 30 + 10 y expresa 80 unidades.</w:t>
      </w:r>
    </w:p>
    <w:p>
      <w:pPr>
        <w:pStyle w:val="Heading2"/>
      </w:pPr>
      <w:r>
        <w:t>Distinciones importantes</w:t>
      </w:r>
    </w:p>
    <w:p>
      <w:pPr>
        <w:pStyle w:val="ListBullet"/>
      </w:pPr>
      <w:r>
        <w:t>Escribe la pregunta: unidades de una categoría, no número de filas.</w:t>
      </w:r>
    </w:p>
    <w:p>
      <w:pPr>
        <w:pStyle w:val="ListBullet"/>
      </w:pPr>
      <w:r>
        <w:t>Recalcula 40 + 30 + 10 y expresa 80 unidades.</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En el primer ejemplo, explica por qué 3, 200 y 208 pueden ser cálculos correctos pero solo uno responde unidades de Textiles.</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3 cuenta registros textiles; 200 suma sus unidades; 208 suma unidades de todas las categorías. Para unidades de Textiles corresponde 200, con criterio en la columna de categoría y suma en la de unidades.</w:t>
      </w:r>
    </w:p>
    <w:p>
      <w:pPr>
        <w:pStyle w:val="Heading3"/>
      </w:pPr>
      <w:r>
        <w:t>Fuentes de esta lección</w:t>
      </w:r>
    </w:p>
    <w:p>
      <w:r>
        <w:t>OF-SUMARSI · Función SUMAR.SI · documentación Microsoft. Descripción, sintaxis, rango, criterio, rango_suma y ejemplos. Estado: revisión documental completada. Archivo/URL: https://support.microsoft.com/es-es/excel/functions/sumif-function.</w:t>
      </w:r>
    </w:p>
    <w:p>
      <w:r>
        <w:t>OF-EXCEL · Función SUMA. Función SUMA: rangos y prácticas recomendadas. Estado: contrastado en fuente oficial. Archivo/URL: https://support.microsoft.com/es-es/excel/functions/sum-function.</w:t>
      </w:r>
    </w:p>
    <w:p>
      <w:r>
        <w:t>ADJ-ESTUDIO · MATERIAL DE ESTUDIO · documento aportado. Tabla de funciones después del párrafo 273. Estado: analizado; no es fuente oficial. Archivo/URL: ./docs/analisis-materiales-ampliacion.md.</w:t>
      </w:r>
    </w:p>
    <w:p>
      <w:r>
        <w:t>ADJ-SIMULACRO · Simulacro DIAN 2676 · OPEC 242699 · ConMérito. Justificación 239, PDF p. 191; tabla y cantidades nuevas. Estado: analizado; no es fuente oficial. Archivo/URL: ./docs/analisis-materiales-ampliacion.md.</w:t>
      </w:r>
    </w:p>
    <w:p>
      <w:r>
        <w:br w:type="page"/>
      </w:r>
    </w:p>
    <w:p>
      <w:pPr>
        <w:pStyle w:val="Heading1"/>
      </w:pPr>
      <w:r>
        <w:t>19. Porcentajes, razones y promedios</w:t>
      </w:r>
    </w:p>
    <w:p>
      <w:r>
        <w:t>Objetivo: Resolver problemas de cantidades ficticias identificando base, unidad y operación.</w:t>
      </w:r>
    </w:p>
    <w:p>
      <w:r>
        <w:t>Estado: revisión documental completada | Versión 1.1.0 | Revisión 2026-10-20</w:t>
      </w:r>
    </w:p>
    <w:p>
      <w:r>
        <w:t>Alcance: Matemática reproducible; sin reglas jurídicas</w:t>
      </w:r>
    </w:p>
    <w:p>
      <w:pPr>
        <w:pStyle w:val="Heading2"/>
      </w:pPr>
      <w:r>
        <w:t>Explicación</w:t>
      </w:r>
    </w:p>
    <w:p>
      <w:r>
        <w:t>Un porcentaje compara una parte con una base de cien: parte = base × porcentaje / 100. Si 18 de 120 registros requieren corrección, la proporción es 18 / 120 = 0,15 y el porcentaje 15 %. El denominador es el total sobre el cual se pregunta. Escribirlo antes de operar evita confundir una cantidad absoluta con una tasa.</w:t>
      </w:r>
    </w:p>
    <w:p>
      <w:r>
        <w:t>Para calcular una variación relativa, usa (valor final − valor inicial) / valor inicial × 100. Pasar de 80 a 100 equivale a aumentar 20 sobre 80, es decir 25 %. En cambio bajar de 100 a 80 equivale a 20 %. La base cambia. En dos variaciones sucesivas se multiplican factores: un descuento del 10 % y luego del 5 % deja 0,90 × 0,95 = 0,855 de la base, descuento total 14,5 %, no 15 %.</w:t>
      </w:r>
    </w:p>
    <w:p>
      <w:r>
        <w:t>Una razón 2:3 reparte un total en cinco partes. Si hay 75 unidades, la primera cantidad es 75 × 2 / 5 = 30 y la segunda 45. No dividas entre el mayor término; suma los términos. En proporción directa, duplicar una cantidad duplica la otra si la tasa permanece constante. Es una hipótesis del ejercicio, no una regla de productividad real de una oficina.</w:t>
      </w:r>
    </w:p>
    <w:p>
      <w:r>
        <w:t>El promedio simple se obtiene sumando valores y dividiendo por su número. Si cada valor representa grupos de tamaño distinto, calcula promedio ponderado: suma de valor × peso, dividida por suma de pesos. Dos grupos de 10 registros con promedio 4 y 30 registros con promedio 8 dan (10 × 4 + 30 × 8) / 40 = 7. La media de 4 y 8 sería 6 y asignaría el mismo peso a grupos distintos.</w:t>
      </w:r>
    </w:p>
    <w:p>
      <w:r>
        <w:t>Cada situación de este módulo es original y ficticia. No fija tarifas, sanciones, metas institucionales ni reglas presupuestales. Antes de marcar una opción, comprueba si la unidad y la magnitud son razonables y reproduce la cuenta. Las explicaciones incluyen también el error que conduce a cada distractor.</w:t>
      </w:r>
    </w:p>
    <w:p>
      <w:r>
        <w:t>Para ejercicios de más de un paso, continúa con Casos de varios pasos: se trabajan base inversa de porcentajes, cambios sucesivos y promedios ponderados. La comprobación se hace reconstruyendo las operaciones y las unidades.</w:t>
      </w:r>
    </w:p>
    <w:p>
      <w:pPr>
        <w:pStyle w:val="Heading2"/>
      </w:pPr>
      <w:r>
        <w:t>Ejemplo original</w:t>
      </w:r>
    </w:p>
    <w:p>
      <w:r>
        <w:t>Caso original: de 240 carpetas ficticias, 36 requieren revisión. 36 / 240 × 100 = 15 %. Si la carga aumenta a 276 carpetas, la variación respecto de 240 también es 15 %, aunque responde a una pregunta diferente.</w:t>
      </w:r>
    </w:p>
    <w:p>
      <w:pPr>
        <w:pStyle w:val="Heading2"/>
      </w:pPr>
      <w:r>
        <w:t>Distinciones importantes</w:t>
      </w:r>
    </w:p>
    <w:p>
      <w:pPr>
        <w:pStyle w:val="ListBullet"/>
      </w:pPr>
      <w:r>
        <w:t>Porcentaje de un total y variación entre dos totales tienen bases distintas.</w:t>
      </w:r>
    </w:p>
    <w:p>
      <w:pPr>
        <w:pStyle w:val="ListBullet"/>
      </w:pPr>
      <w:r>
        <w:t>Porcentaje y puntos porcentuales: de 20 % a 25 % son 5 puntos y un crecimiento relativo del 25 %.</w:t>
      </w:r>
    </w:p>
    <w:p>
      <w:pPr>
        <w:pStyle w:val="ListBullet"/>
      </w:pPr>
      <w:r>
        <w:t>Media simple y ponderada solo coinciden en casos particulares.</w:t>
      </w:r>
    </w:p>
    <w:p>
      <w:pPr>
        <w:pStyle w:val="Heading2"/>
      </w:pPr>
      <w:r>
        <w:t>Errores frecuentes</w:t>
      </w:r>
    </w:p>
    <w:p>
      <w:pPr>
        <w:pStyle w:val="ListBullet"/>
      </w:pPr>
      <w:r>
        <w:t>Sumar descuentos sucesivos.</w:t>
      </w:r>
    </w:p>
    <w:p>
      <w:pPr>
        <w:pStyle w:val="ListBullet"/>
      </w:pPr>
      <w:r>
        <w:t>Dividir por el valor final al calcular el aumento desde el inicial.</w:t>
      </w:r>
    </w:p>
    <w:p>
      <w:pPr>
        <w:pStyle w:val="ListBullet"/>
      </w:pPr>
      <w:r>
        <w:t>Promediar tasas sin mirar el tamaño de cada grupo.</w:t>
      </w:r>
    </w:p>
    <w:p>
      <w:pPr>
        <w:pStyle w:val="Heading2"/>
      </w:pPr>
      <w:r>
        <w:t>Recuperación: responde antes de leer la guía</w:t>
      </w:r>
    </w:p>
    <w:p>
      <w:r>
        <w:t>De 150 solicitudes ficticias se corrigen 24. ¿Qué porcentaje se corrigió? Escribe la operación.</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24 / 150 × 100 = 16 %. Base: las 150 solicitudes. Unidad: porcentaje.</w:t>
      </w:r>
    </w:p>
    <w:p>
      <w:pPr>
        <w:pStyle w:val="Heading3"/>
      </w:pPr>
      <w:r>
        <w:t>Fuentes de esta lección</w:t>
      </w:r>
    </w:p>
    <w:p>
      <w:r>
        <w:t>MAT-ORIGINAL · Ejercicios matemáticos originales y verificadores reproducibles. Operaciones desarrolladas de la lección L-MAT1. Estado: revisión documental completada. Archivo/URL: ./docs/verificacion-matematica.json.</w:t>
      </w:r>
    </w:p>
    <w:p>
      <w:r>
        <w:br w:type="page"/>
      </w:r>
    </w:p>
    <w:p>
      <w:pPr>
        <w:pStyle w:val="Heading1"/>
      </w:pPr>
      <w:r>
        <w:t>20. Datos, unidades y trabajo a tasa constante</w:t>
      </w:r>
    </w:p>
    <w:p>
      <w:r>
        <w:t>Objetivo: Leer datos y resolver problemas con unidades explícitas, verificando las hipótesis.</w:t>
      </w:r>
    </w:p>
    <w:p>
      <w:r>
        <w:t>Estado: revisión documental completada | Versión 1.0.0 | Revisión 2026-10-19</w:t>
      </w:r>
    </w:p>
    <w:p>
      <w:r>
        <w:t>Alcance: Matemática reproducible; sin reglas jurídicas</w:t>
      </w:r>
    </w:p>
    <w:p>
      <w:pPr>
        <w:pStyle w:val="Heading2"/>
      </w:pPr>
      <w:r>
        <w:t>Explicación</w:t>
      </w:r>
    </w:p>
    <w:p>
      <w:r>
        <w:t>Organiza un problema en datos, pregunta, operación y comprobación. Una tabla ficticia puede mostrar 45, 60 y 75 solicitudes en tres días. El total es 180 y el promedio diario 60. Si preguntan la participación del tercer día, 75 / 180 × 100 ≈ 41,67 %. El total y la participación usan los mismos datos con operaciones diferentes.</w:t>
      </w:r>
    </w:p>
    <w:p>
      <w:r>
        <w:t>En un modelo de tasa constante, trabajo = tasa × tiempo. Si se procesan 48 registros por hora, en 2,5 horas se procesan 120. Para que varias personas sumen capacidad, el enunciado debe indicar tasas iguales y ausencia de interferencia. Bajo esas hipótesis, duplicar las personas puede reducir a la mitad el tiempo para una carga fija. En la realidad no se presume esa relación.</w:t>
      </w:r>
    </w:p>
    <w:p>
      <w:r>
        <w:t>Conserva las unidades. 2 horas y 15 minutos son 135 minutos, no 215 ni 2,15 horas. Un costo de 7.500 pesos por unidad para 16 unidades da 120.000 pesos. Para convertir una tasa de 18 registros en 30 minutos a una hora, multiplica por 60 / 30: 36 registros por hora.</w:t>
      </w:r>
    </w:p>
    <w:p>
      <w:r>
        <w:t>En inventarios ficticios, el balance aritmético es existencia inicial + entradas − salidas = existencia final, si el caso declara que no hay otros movimientos. Con 230 iniciales, 70 entradas y 85 salidas quedan 215. Esto es una identidad del ejercicio; no establece cómo registrar movimientos patrimoniales en la DIAN.</w:t>
      </w:r>
    </w:p>
    <w:p>
      <w:r>
        <w:t>Para lectura lógica, atiende expresiones como al menos, como máximo y exactamente. Si una capacidad es de 24 cajas por viaje y hay 73, hacen falta cuatro viajes completos o parciales: tres solo transportan 72. Al usar redondeo, explica la razón y la unidad; no redondees cantidades discretas hacia abajo cuando se necesita transportar todo.</w:t>
      </w:r>
    </w:p>
    <w:p>
      <w:pPr>
        <w:pStyle w:val="Heading2"/>
      </w:pPr>
      <w:r>
        <w:t>Ejemplo original</w:t>
      </w:r>
    </w:p>
    <w:p>
      <w:r>
        <w:t>Caso original: dos personas procesan cada una 20 registros/hora, sin interferencia. En tres horas procesan 2 × 20 × 3 = 120. El resultado depende de las hipótesis expresas del caso.</w:t>
      </w:r>
    </w:p>
    <w:p>
      <w:pPr>
        <w:pStyle w:val="Heading2"/>
      </w:pPr>
      <w:r>
        <w:t>Distinciones importantes</w:t>
      </w:r>
    </w:p>
    <w:p>
      <w:pPr>
        <w:pStyle w:val="ListBullet"/>
      </w:pPr>
      <w:r>
        <w:t>Horas decimales y horas con minutos no se escriben igual.</w:t>
      </w:r>
    </w:p>
    <w:p>
      <w:pPr>
        <w:pStyle w:val="ListBullet"/>
      </w:pPr>
      <w:r>
        <w:t>Tasa, total y promedio responden preguntas distintas.</w:t>
      </w:r>
    </w:p>
    <w:p>
      <w:pPr>
        <w:pStyle w:val="ListBullet"/>
      </w:pPr>
      <w:r>
        <w:t>Un modelo matemático no demuestra un procedimiento institucional.</w:t>
      </w:r>
    </w:p>
    <w:p>
      <w:pPr>
        <w:pStyle w:val="Heading2"/>
      </w:pPr>
      <w:r>
        <w:t>Errores frecuentes</w:t>
      </w:r>
    </w:p>
    <w:p>
      <w:pPr>
        <w:pStyle w:val="ListBullet"/>
      </w:pPr>
      <w:r>
        <w:t>Sumar horas y minutos como si fueran base cien.</w:t>
      </w:r>
    </w:p>
    <w:p>
      <w:pPr>
        <w:pStyle w:val="ListBullet"/>
      </w:pPr>
      <w:r>
        <w:t>Olvidar una entrada o usar una tasa sin su unidad.</w:t>
      </w:r>
    </w:p>
    <w:p>
      <w:pPr>
        <w:pStyle w:val="ListBullet"/>
      </w:pPr>
      <w:r>
        <w:t>Redondear hacia abajo el número de viajes necesarios.</w:t>
      </w:r>
    </w:p>
    <w:p>
      <w:pPr>
        <w:pStyle w:val="Heading2"/>
      </w:pPr>
      <w:r>
        <w:t>Recuperación: responde antes de leer la guía</w:t>
      </w:r>
    </w:p>
    <w:p>
      <w:r>
        <w:t>Con capacidad de 18 cajas por viaje, ¿cuántos viajes hacen falta para 55 cajas y por qué?</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55 / 18 = 3 con residuo 1: se necesitan 4 viajes para transportar todas las cajas.</w:t>
      </w:r>
    </w:p>
    <w:p>
      <w:pPr>
        <w:pStyle w:val="Heading3"/>
      </w:pPr>
      <w:r>
        <w:t>Fuentes de esta lección</w:t>
      </w:r>
    </w:p>
    <w:p>
      <w:r>
        <w:t>MAT-ORIGINAL · Ejercicios matemáticos originales y verificadores reproducibles. Operaciones desarrolladas de la lección L-MAT2. Estado: revisión documental completada. Archivo/URL: ./docs/verificacion-matematica.json.</w:t>
      </w:r>
    </w:p>
    <w:p>
      <w:r>
        <w:br w:type="page"/>
      </w:r>
    </w:p>
    <w:p>
      <w:pPr>
        <w:pStyle w:val="Heading1"/>
      </w:pPr>
      <w:r>
        <w:t>21. Casos de varios pasos: bases, porcentajes y promedios ponderados</w:t>
      </w:r>
    </w:p>
    <w:p>
      <w:r>
        <w:t>Objetivo: Resolver datos administrativos sin mezclar bases porcentuales, unidades o promedios simples y ponderados.</w:t>
      </w:r>
    </w:p>
    <w:p>
      <w:r>
        <w:t>Estado: revisión documental completada | Versión 1.1.0 | Revisión 2026-10-20</w:t>
      </w:r>
    </w:p>
    <w:p>
      <w:r>
        <w:t>Alcance: Desarrollo de los apartados citados; cobertura temática parcial y corte del examen sin confirmar.</w:t>
      </w:r>
    </w:p>
    <w:p>
      <w:pPr>
        <w:pStyle w:val="Heading2"/>
      </w:pPr>
      <w:r>
        <w:t>Explicación</w:t>
      </w:r>
    </w:p>
    <w:p>
      <w:r>
        <w:t>Un caso largo suele tener pocos datos decisivos. Escribe qué te piden, qué unidad tendrá la respuesta y cuáles cifras intervienen. Si preguntan unidades faltantes, no sumes valores monetarios. Los nombres, ciudades o fechas de ambientación solo importan cuando cambian una condición del problema.</w:t>
      </w:r>
    </w:p>
    <w:p>
      <w:r>
        <w:t>Para un porcentaje directo, multiplica base por porcentaje dividido entre cien. Si el dato es la parte y buscas la base, divide por la proporción: si 36 expedientes representan el 12 %, el total es 36 / 0,12 = 300. Multiplicar 36 por 0,12 respondería otra pregunta.</w:t>
      </w:r>
    </w:p>
    <w:p>
      <w:r>
        <w:t>La variación porcentual usa la base inicial. Si el número pasa de 80 a 100, el aumento es 20 y la tasa 20/80 = 25 %. Volver de 100 a 80 es una disminución de 20/100 = 20 %. Los cambios absolutos son iguales y sus porcentajes no, porque cambió la base.</w:t>
      </w:r>
    </w:p>
    <w:p>
      <w:r>
        <w:t>Dos cambios sucesivos se aplican uno después del otro. Aumentar 10 % y luego reducir 10 % convierte 100 en 110 y después en 99. No se cancelan al sumar porcentajes: la segunda base ya es 110. El mismo cuidado sirve con descuentos, rendimientos o cantidades.</w:t>
      </w:r>
    </w:p>
    <w:p>
      <w:r>
        <w:t>El promedio simple trata cada dato con el mismo peso. Si un grupo de 10 casos tarda en promedio 4 minutos y otro de 30 tarda 8, el total de minutos es 10 × 4 + 30 × 8 = 280 y el promedio global 280/40 = 7. Promediar 4 y 8 daría 6 y otorgaría a los grupos un peso que no tienen.</w:t>
      </w:r>
    </w:p>
    <w:p>
      <w:r>
        <w:t>En operaciones de cierre o inventario, escribe un esquema antes de calcular: entrada menos salida, compromiso menos obligación o total menos conformes, según el modelo y la regla aplicable. Que aparezca la resta no hace equivalentes esos conceptos. El problema matemático se valida con sus supuestos; la regla presupuestal se sustenta además en su norma.</w:t>
      </w:r>
    </w:p>
    <w:p>
      <w:r>
        <w:t>Comprueba por estimación e inversión. Un promedio ponderado de 4 y 8 debe quedar entre ambos y acercarse a 8 si ese grupo es mayor. Una parte del 12 % debe ser menor que el total. Si el resultado contradice esa escala, revisa antes de elegir una opción.</w:t>
      </w:r>
    </w:p>
    <w:p>
      <w:pPr>
        <w:pStyle w:val="Heading2"/>
      </w:pPr>
      <w:r>
        <w:t>Ejemplo original</w:t>
      </w:r>
    </w:p>
    <w:p>
      <w:r>
        <w:t>Ejemplo original: se revisan 20 registros con promedio de 3 minutos y 10 con promedio de 6. El tiempo total es 20 × 3 + 10 × 6 = 120 minutos; por 30 registros, promedio global de 4 minutos.</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Situación</w:t>
            </w:r>
          </w:p>
        </w:tc>
        <w:tc>
          <w:tcPr>
            <w:tcW w:type="dxa" w:w="2880"/>
          </w:tcPr>
          <w:p>
            <w:r>
              <w:t>Modelo correcto</w:t>
            </w:r>
          </w:p>
        </w:tc>
        <w:tc>
          <w:tcPr>
            <w:tcW w:type="dxa" w:w="2880"/>
          </w:tcPr>
          <w:p>
            <w:r>
              <w:t>Error típico</w:t>
            </w:r>
          </w:p>
        </w:tc>
      </w:tr>
      <w:tr>
        <w:tc>
          <w:tcPr>
            <w:tcW w:type="dxa" w:w="2880"/>
          </w:tcPr>
          <w:p>
            <w:r>
              <w:t>36 es 12 % del total</w:t>
            </w:r>
          </w:p>
        </w:tc>
        <w:tc>
          <w:tcPr>
            <w:tcW w:type="dxa" w:w="2880"/>
          </w:tcPr>
          <w:p>
            <w:r>
              <w:t>36 / 0,12 = 300</w:t>
            </w:r>
          </w:p>
        </w:tc>
        <w:tc>
          <w:tcPr>
            <w:tcW w:type="dxa" w:w="2880"/>
          </w:tcPr>
          <w:p>
            <w:r>
              <w:t>Aplicar otro 12 % a 36</w:t>
            </w:r>
          </w:p>
        </w:tc>
      </w:tr>
      <w:tr>
        <w:tc>
          <w:tcPr>
            <w:tcW w:type="dxa" w:w="2880"/>
          </w:tcPr>
          <w:p>
            <w:r>
              <w:t>Subir 80 a 100</w:t>
            </w:r>
          </w:p>
        </w:tc>
        <w:tc>
          <w:tcPr>
            <w:tcW w:type="dxa" w:w="2880"/>
          </w:tcPr>
          <w:p>
            <w:r>
              <w:t>(100 − 80) / 80 = 25 %</w:t>
            </w:r>
          </w:p>
        </w:tc>
        <w:tc>
          <w:tcPr>
            <w:tcW w:type="dxa" w:w="2880"/>
          </w:tcPr>
          <w:p>
            <w:r>
              <w:t>Dividir por el valor final</w:t>
            </w:r>
          </w:p>
        </w:tc>
      </w:tr>
      <w:tr>
        <w:tc>
          <w:tcPr>
            <w:tcW w:type="dxa" w:w="2880"/>
          </w:tcPr>
          <w:p>
            <w:r>
              <w:t>Grupos de distinto tamaño</w:t>
            </w:r>
          </w:p>
        </w:tc>
        <w:tc>
          <w:tcPr>
            <w:tcW w:type="dxa" w:w="2880"/>
          </w:tcPr>
          <w:p>
            <w:r>
              <w:t>Suma de tiempos / suma de casos</w:t>
            </w:r>
          </w:p>
        </w:tc>
        <w:tc>
          <w:tcPr>
            <w:tcW w:type="dxa" w:w="2880"/>
          </w:tcPr>
          <w:p>
            <w:r>
              <w:t>Promediar promedios sin pesos</w:t>
            </w:r>
          </w:p>
        </w:tc>
      </w:tr>
      <w:tr>
        <w:tc>
          <w:tcPr>
            <w:tcW w:type="dxa" w:w="2880"/>
          </w:tcPr>
          <w:p>
            <w:r>
              <w:t>+10 % y luego −10 %</w:t>
            </w:r>
          </w:p>
        </w:tc>
        <w:tc>
          <w:tcPr>
            <w:tcW w:type="dxa" w:w="2880"/>
          </w:tcPr>
          <w:p>
            <w:r>
              <w:t>100 × 1,10 × 0,90 = 99</w:t>
            </w:r>
          </w:p>
        </w:tc>
        <w:tc>
          <w:tcPr>
            <w:tcW w:type="dxa" w:w="2880"/>
          </w:tcPr>
          <w:p>
            <w:r>
              <w:t>Suponer cambio neto cero</w:t>
            </w:r>
          </w:p>
        </w:tc>
      </w:tr>
    </w:tbl>
    <w:p>
      <w:pPr>
        <w:pStyle w:val="Heading2"/>
      </w:pPr>
      <w:r>
        <w:t>Cómo resolver el ejemplo</w:t>
      </w:r>
    </w:p>
    <w:p>
      <w:pPr>
        <w:pStyle w:val="ListNumber"/>
      </w:pPr>
      <w:r>
        <w:t>Identifica que cada promedio resume grupos de tamaño diferente.</w:t>
      </w:r>
    </w:p>
    <w:p>
      <w:pPr>
        <w:pStyle w:val="ListNumber"/>
      </w:pPr>
      <w:r>
        <w:t>Reconstruye los tiempos totales de cada grupo.</w:t>
      </w:r>
    </w:p>
    <w:p>
      <w:pPr>
        <w:pStyle w:val="ListNumber"/>
      </w:pPr>
      <w:r>
        <w:t>Suma tiempos y divide entre el total de registros.</w:t>
      </w:r>
    </w:p>
    <w:p>
      <w:pPr>
        <w:pStyle w:val="ListNumber"/>
      </w:pPr>
      <w:r>
        <w:t>Comprueba que 4 queda entre 3 y 6 y más cerca de 3, cuyo grupo es mayor.</w:t>
      </w:r>
    </w:p>
    <w:p>
      <w:pPr>
        <w:pStyle w:val="Heading2"/>
      </w:pPr>
      <w:r>
        <w:t>Distinciones importantes</w:t>
      </w:r>
    </w:p>
    <w:p>
      <w:pPr>
        <w:pStyle w:val="ListBullet"/>
      </w:pPr>
      <w:r>
        <w:t>Identifica que cada promedio resume grupos de tamaño diferente.</w:t>
      </w:r>
    </w:p>
    <w:p>
      <w:pPr>
        <w:pStyle w:val="ListBullet"/>
      </w:pPr>
      <w:r>
        <w:t>Comprueba que 4 queda entre 3 y 6 y más cerca de 3, cuyo grupo es mayor.</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Si 45 registros son el 15 % del total, ¿cuál es el total? Si hay 10 casos a 2 minutos y 20 a 5, ¿cuál es el promedio global?</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Total: 45 / 0,15 = 300. Promedio: (10 × 2 + 20 × 5) / 30 = 120/30 = 4 minutos por caso. Las operaciones se pueden reproducir sin regla del examen.</w:t>
      </w:r>
    </w:p>
    <w:p>
      <w:pPr>
        <w:pStyle w:val="Heading3"/>
      </w:pPr>
      <w:r>
        <w:t>Fuentes de esta lección</w:t>
      </w:r>
    </w:p>
    <w:p>
      <w:r>
        <w:t>MAT-ORIGINAL · Ejercicios matemáticos originales y verificadores reproducibles. Modelos aritméticos originales: bases, cambios sucesivos y promedio ponderado. Estado: revisión documental completada. Archivo/URL: ./docs/verificacion-matematica.json.</w:t>
      </w:r>
    </w:p>
    <w:p>
      <w:r>
        <w:t>ADJ-ESTUDIO · MATERIAL DE ESTUDIO · documento aportado. Indicador RAZONAMIENTO MATEMATICO; no tiene desarrollo textual en el adjunto. Estado: analizado; no es fuente oficial. Archivo/URL: ./docs/analisis-materiales-ampliacion.md.</w:t>
      </w:r>
    </w:p>
    <w:p>
      <w:r>
        <w:br w:type="page"/>
      </w:r>
    </w:p>
    <w:p>
      <w:pPr>
        <w:pStyle w:val="Heading1"/>
      </w:pPr>
      <w:r>
        <w:t>22. Competencias: reflexión sin inventar niveles</w:t>
      </w:r>
    </w:p>
    <w:p>
      <w:r>
        <w:t>Objetivo: Practicar la descripción de conductas y reconocer que faltan los descriptores y el formato oficial.</w:t>
      </w:r>
    </w:p>
    <w:p>
      <w:r>
        <w:t>Estado: actividad formativa sin calificación | Versión 1.1.0 | Revisión 2026-10-20</w:t>
      </w:r>
    </w:p>
    <w:p>
      <w:r>
        <w:t>Alcance: Descriptores y formato oficial pendientes</w:t>
      </w:r>
    </w:p>
    <w:p>
      <w:pPr>
        <w:pStyle w:val="Heading2"/>
      </w:pPr>
      <w:r>
        <w:t>Explicación</w:t>
      </w:r>
    </w:p>
    <w:p>
      <w:r>
        <w:t>El Word contiene diez entradas de competencias con sus niveles. Conservamos cada nombre completo en el catálogo. El PDF, en su tabla de competencias comportamentales, menciona comportamiento ético 4, comunicación efectiva 2, orientación al logro 2 y trabajo en equipo 2. Esto no elimina las otras entradas del Word: los documentos tienen alcances distintos y su correspondencia con la OPEC no está contrastada.</w:t>
      </w:r>
    </w:p>
    <w:p>
      <w:r>
        <w:t>No se han leído descriptores oficiales de nivel. Por ello esta actividad no explica supuestas diferencias entre nivel 1, 2 o 4, ni ofrece una clave correcta de conducta. Tampoco se conoce si el formato de la prueba será autoinforme, juicio situacional u otro. Las respuestas escritas aquí son reflexión formativa y no se suman a los aciertos de conocimientos.</w:t>
      </w:r>
    </w:p>
    <w:p>
      <w:r>
        <w:t>Actividad original: recuerda una ocasión sin datos personales en la que debiste explicar un ajuste de un registro a alguien de otra área. Describe la situación, lo que hiciste, cómo comprobaste que la otra persona entendió y qué cambiarías. Evita calificativos generales como siempre colaboro: registra acciones observables.</w:t>
      </w:r>
    </w:p>
    <w:p>
      <w:r>
        <w:t>Segunda actividad original: una instrucción cambia mientras varias personas atienden una tarea. Describe cómo aclararías la instrucción y cómo informarías la dificultad. La aplicación conserva tu reflexión sin puntuarla. Contrasta las conductas con los descriptores cuando una fuente oficial aplicable esté disponible.</w:t>
      </w:r>
    </w:p>
    <w:p>
      <w:r>
        <w:t>El nuevo Word aporta descripciones parciales y casos que permiten una lectura más concreta. La lección Competencias: de la descripción a una conducta observable distingue lo leído de lo no desarrollado y conserva el carácter formativo, sin importar el perfil esperado del simulacro.</w:t>
      </w:r>
    </w:p>
    <w:p>
      <w:pPr>
        <w:pStyle w:val="Heading2"/>
      </w:pPr>
      <w:r>
        <w:t>Ejemplo original</w:t>
      </w:r>
    </w:p>
    <w:p>
      <w:r>
        <w:t>Ejercicio original sin respuesta correcta: redacta una comunicación breve sobre una diferencia encontrada en un registro, sin incluir nombres ni datos reales.</w:t>
      </w:r>
    </w:p>
    <w:p>
      <w:pPr>
        <w:pStyle w:val="Heading2"/>
      </w:pPr>
      <w:r>
        <w:t>Distinciones importantes</w:t>
      </w:r>
    </w:p>
    <w:p>
      <w:pPr>
        <w:pStyle w:val="ListBullet"/>
      </w:pPr>
      <w:r>
        <w:t>Un nivel numerado no revela por sí mismo un descriptor.</w:t>
      </w:r>
    </w:p>
    <w:p>
      <w:pPr>
        <w:pStyle w:val="ListBullet"/>
      </w:pPr>
      <w:r>
        <w:t>La reflexión personal no mide dominio ni una competencia psicométrica.</w:t>
      </w:r>
    </w:p>
    <w:p>
      <w:pPr>
        <w:pStyle w:val="Heading2"/>
      </w:pPr>
      <w:r>
        <w:t>Errores frecuentes</w:t>
      </w:r>
    </w:p>
    <w:p>
      <w:pPr>
        <w:pStyle w:val="ListBullet"/>
      </w:pPr>
      <w:r>
        <w:t>Atribuir al nivel 4 una conducta que no se haya leído en la fuente.</w:t>
      </w:r>
    </w:p>
    <w:p>
      <w:pPr>
        <w:pStyle w:val="ListBullet"/>
      </w:pPr>
      <w:r>
        <w:t>Mezclar el autoinforme con la nota de conocimientos.</w:t>
      </w:r>
    </w:p>
    <w:p>
      <w:pPr>
        <w:pStyle w:val="Heading2"/>
      </w:pPr>
      <w:r>
        <w:t>Recuperación: responde antes de leer la guía</w:t>
      </w:r>
    </w:p>
    <w:p>
      <w:r>
        <w:t>Describe una acción observable de comunicación y qué descriptor necesitarías consultar para contrastarla.</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No hay clave ni puntuación. Conserva una descripción concreta y registra que el descriptor oficial sigue pendiente.</w:t>
      </w:r>
    </w:p>
    <w:p>
      <w:pPr>
        <w:pStyle w:val="Heading3"/>
      </w:pPr>
      <w:r>
        <w:t>Fuentes de esta lección</w:t>
      </w:r>
    </w:p>
    <w:p>
      <w:r>
        <w:t>ADJ-WORD · LISTADO INDICADORES A EVALUAR. Diez entradas de competencias con nivel. Estado: leído en adjunto. Archivo/URL: ./docs/indicadores-original.docx.</w:t>
      </w:r>
    </w:p>
    <w:p>
      <w:r>
        <w:t>ADJ-PDF · Descripción del empleo · Analista I · TP-DE-2013. Página 2, tabla de competencias comportamentales. Estado: leído en adjunto. Archivo/URL: ./docs/ficha-TP-DE-2013.pdf.</w:t>
      </w:r>
    </w:p>
    <w:p>
      <w:r>
        <w:br w:type="page"/>
      </w:r>
    </w:p>
    <w:p>
      <w:pPr>
        <w:pStyle w:val="Heading1"/>
      </w:pPr>
      <w:r>
        <w:t>23. Competencias: de la descripción a una conducta observable</w:t>
      </w:r>
    </w:p>
    <w:p>
      <w:r>
        <w:t>Objetivo: Analizar situaciones de trabajo con evidencias concretas y distinguir los niveles que el adjunto sí describe de los que deja incompletos.</w:t>
      </w:r>
    </w:p>
    <w:p>
      <w:r>
        <w:t>Estado: formativo; descriptores oficiales pendientes | Versión 1.1.0 | Revisión 2026-10-20</w:t>
      </w:r>
    </w:p>
    <w:p>
      <w:r>
        <w:t>Alcance: Lectura crítica del adjunto y reflexión original sin calificación. Correspondencia con diccionario oficial pendiente.</w:t>
      </w:r>
    </w:p>
    <w:p>
      <w:pPr>
        <w:pStyle w:val="Heading2"/>
      </w:pPr>
      <w:r>
        <w:t>Explicación</w:t>
      </w:r>
    </w:p>
    <w:p>
      <w:r>
        <w:t>Una competencia se comprende mejor en acciones observables que en adjetivos como soy excelente. El Word aporta descripciones para adaptabilidad, ética, comunicación, logro, servicio y equipo. Se usan como material secundario para reflexión: no se certifica que sean la versión oficial de los descriptores aplicables a la OPEC.</w:t>
      </w:r>
    </w:p>
    <w:p>
      <w:r>
        <w:t>Adaptabilidad puede trabajarse con una situación de cambio de herramienta: identificar qué cambia, pedir la orientación necesaria, practicar y ajustar el método sin abandonar el objetivo. Aceptar un cambio no significa omitir controles ni hacer cualquier cosa que se ordene; también hay límites de competencia y calidad.</w:t>
      </w:r>
    </w:p>
    <w:p>
      <w:r>
        <w:t>El material describe ética nivel 1 mediante congruencia cotidiana con el código, y nivel 4 mediante impulso y ejemplo organizacional. La distinción es de alcance según ese adjunto, no una autorización para que el cargo técnico ejerza funciones directivas. El nivel escrito en el listado no cambia las atribuciones legales del empleo.</w:t>
      </w:r>
    </w:p>
    <w:p>
      <w:r>
        <w:t>Para comunicación nivel 1, el adjunto enfatiza escuchar, preguntar con pertinencia y verificar comprensión. Una conducta analizable es pedir que el interlocutor explique el siguiente paso con sus palabras. El encabezado comunicación efectiva nivel 2 aparece sin desarrollo en el cuerpo del Word; no se fabrica un descriptor para completarlo.</w:t>
      </w:r>
    </w:p>
    <w:p>
      <w:r>
        <w:t>Orientación al logro nivel 1 puede reflejar organizar y cumplir el trabajo asignado con recursos y tiempos; el nivel 2 del adjunto añade seguimiento de resultados y soluciones ante obstáculos. Evita confundir logro con terminar de cualquier manera: oportunidad y calidad deben analizarse juntas.</w:t>
      </w:r>
    </w:p>
    <w:p>
      <w:r>
        <w:t>Servicio al ciudadano nivel 1 centra la escucha objetiva y cordial, orientación y respuesta dentro de condiciones aplicables. En equipo, el nivel 1 del adjunto habla de acuerdos y participación; el 2 enfatiza cooperación, ayuda y valoración de aportes. Los ejemplos se analizan con hechos, sin prometer puntuaciones psicométricas.</w:t>
      </w:r>
    </w:p>
    <w:p>
      <w:r>
        <w:t>El PDF propone respuestas esperadas para una escala de preferencias y hace afirmaciones sobre controles de deseabilidad. No se importan esas claves ni se enseña a simular un perfil. Las actividades de esta aplicación piden describir una experiencia o razonar sobre un caso; no suman puntos ni sustituyen una prueba oficial.</w:t>
      </w:r>
    </w:p>
    <w:p>
      <w:pPr>
        <w:pStyle w:val="Heading2"/>
      </w:pPr>
      <w:r>
        <w:t>Ejemplo original</w:t>
      </w:r>
    </w:p>
    <w:p>
      <w:r>
        <w:t>Caso formativo original: un usuario no entiende un requisito y hay fila. Describe qué preguntarías, cómo explicarías y cómo comprobarías comprensión sin inventar una excepción. Después distingue la conducta comunicativa de la decisión jurídica sobre el trámite.</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Tema del adjunto</w:t>
            </w:r>
          </w:p>
        </w:tc>
        <w:tc>
          <w:tcPr>
            <w:tcW w:type="dxa" w:w="2880"/>
          </w:tcPr>
          <w:p>
            <w:r>
              <w:t>Conducta para analizar</w:t>
            </w:r>
          </w:p>
        </w:tc>
        <w:tc>
          <w:tcPr>
            <w:tcW w:type="dxa" w:w="2880"/>
          </w:tcPr>
          <w:p>
            <w:r>
              <w:t>Límite de la interpretación</w:t>
            </w:r>
          </w:p>
        </w:tc>
      </w:tr>
      <w:tr>
        <w:tc>
          <w:tcPr>
            <w:tcW w:type="dxa" w:w="2880"/>
          </w:tcPr>
          <w:p>
            <w:r>
              <w:t>Comunicación nivel 1</w:t>
            </w:r>
          </w:p>
        </w:tc>
        <w:tc>
          <w:tcPr>
            <w:tcW w:type="dxa" w:w="2880"/>
          </w:tcPr>
          <w:p>
            <w:r>
              <w:t>Escuchar y comprobar comprensión</w:t>
            </w:r>
          </w:p>
        </w:tc>
        <w:tc>
          <w:tcPr>
            <w:tcW w:type="dxa" w:w="2880"/>
          </w:tcPr>
          <w:p>
            <w:r>
              <w:t>Nivel 2 no está desarrollado en el Word</w:t>
            </w:r>
          </w:p>
        </w:tc>
      </w:tr>
      <w:tr>
        <w:tc>
          <w:tcPr>
            <w:tcW w:type="dxa" w:w="2880"/>
          </w:tcPr>
          <w:p>
            <w:r>
              <w:t>Logro niveles 1 y 2</w:t>
            </w:r>
          </w:p>
        </w:tc>
        <w:tc>
          <w:tcPr>
            <w:tcW w:type="dxa" w:w="2880"/>
          </w:tcPr>
          <w:p>
            <w:r>
              <w:t>Cumplir; hacer seguimiento y proponer soluciones</w:t>
            </w:r>
          </w:p>
        </w:tc>
        <w:tc>
          <w:tcPr>
            <w:tcW w:type="dxa" w:w="2880"/>
          </w:tcPr>
          <w:p>
            <w:r>
              <w:t>No justifica bajar la calidad para cumplir</w:t>
            </w:r>
          </w:p>
        </w:tc>
      </w:tr>
      <w:tr>
        <w:tc>
          <w:tcPr>
            <w:tcW w:type="dxa" w:w="2880"/>
          </w:tcPr>
          <w:p>
            <w:r>
              <w:t>Equipo niveles 1 y 2</w:t>
            </w:r>
          </w:p>
        </w:tc>
        <w:tc>
          <w:tcPr>
            <w:tcW w:type="dxa" w:w="2880"/>
          </w:tcPr>
          <w:p>
            <w:r>
              <w:t>Acuerdos; cooperación y reconocimiento de aportes</w:t>
            </w:r>
          </w:p>
        </w:tc>
        <w:tc>
          <w:tcPr>
            <w:tcW w:type="dxa" w:w="2880"/>
          </w:tcPr>
          <w:p>
            <w:r>
              <w:t>No exige ocultar un error de un compañero</w:t>
            </w:r>
          </w:p>
        </w:tc>
      </w:tr>
      <w:tr>
        <w:tc>
          <w:tcPr>
            <w:tcW w:type="dxa" w:w="2880"/>
          </w:tcPr>
          <w:p>
            <w:r>
              <w:t>Ética niveles 1 y 4</w:t>
            </w:r>
          </w:p>
        </w:tc>
        <w:tc>
          <w:tcPr>
            <w:tcW w:type="dxa" w:w="2880"/>
          </w:tcPr>
          <w:p>
            <w:r>
              <w:t>Congruencia; promover y dar ejemplo según el adjunto</w:t>
            </w:r>
          </w:p>
        </w:tc>
        <w:tc>
          <w:tcPr>
            <w:tcW w:type="dxa" w:w="2880"/>
          </w:tcPr>
          <w:p>
            <w:r>
              <w:t>No otorga nuevas competencias al cargo</w:t>
            </w:r>
          </w:p>
        </w:tc>
      </w:tr>
    </w:tbl>
    <w:p>
      <w:pPr>
        <w:pStyle w:val="Heading2"/>
      </w:pPr>
      <w:r>
        <w:t>Cómo resolver el ejemplo</w:t>
      </w:r>
    </w:p>
    <w:p>
      <w:pPr>
        <w:pStyle w:val="ListNumber"/>
      </w:pPr>
      <w:r>
        <w:t>Describe la necesidad observable y evita juzgar a la persona.</w:t>
      </w:r>
    </w:p>
    <w:p>
      <w:pPr>
        <w:pStyle w:val="ListNumber"/>
      </w:pPr>
      <w:r>
        <w:t>Propón una explicación y una comprobación de comprensión.</w:t>
      </w:r>
    </w:p>
    <w:p>
      <w:pPr>
        <w:pStyle w:val="ListNumber"/>
      </w:pPr>
      <w:r>
        <w:t>Verifica que no prometes actuaciones fuera de la competencia.</w:t>
      </w:r>
    </w:p>
    <w:p>
      <w:pPr>
        <w:pStyle w:val="ListNumber"/>
      </w:pPr>
      <w:r>
        <w:t>Registra qué parte proviene del adjunto y qué descriptor sigue pendiente de contraste oficial.</w:t>
      </w:r>
    </w:p>
    <w:p>
      <w:pPr>
        <w:pStyle w:val="Heading2"/>
      </w:pPr>
      <w:r>
        <w:t>Distinciones importantes</w:t>
      </w:r>
    </w:p>
    <w:p>
      <w:pPr>
        <w:pStyle w:val="ListBullet"/>
      </w:pPr>
      <w:r>
        <w:t>Describe la necesidad observable y evita juzgar a la persona.</w:t>
      </w:r>
    </w:p>
    <w:p>
      <w:pPr>
        <w:pStyle w:val="ListBullet"/>
      </w:pPr>
      <w:r>
        <w:t>Registra qué parte proviene del adjunto y qué descriptor sigue pendiente de contraste oficial.</w:t>
      </w:r>
    </w:p>
    <w:p>
      <w:pPr>
        <w:pStyle w:val="Heading2"/>
      </w:pPr>
      <w:r>
        <w:t>Errores frecuentes</w:t>
      </w:r>
    </w:p>
    <w:p>
      <w:pPr>
        <w:pStyle w:val="ListBullet"/>
      </w:pPr>
      <w:r>
        <w:t>Elegir una respuesta sin identificar el hecho que activa la regla.</w:t>
      </w:r>
    </w:p>
    <w:p>
      <w:pPr>
        <w:pStyle w:val="ListBullet"/>
      </w:pPr>
      <w:r>
        <w:t>Confundir un soporte, una operación y la autoridad que decide.</w:t>
      </w:r>
    </w:p>
    <w:p>
      <w:pPr>
        <w:pStyle w:val="Heading2"/>
      </w:pPr>
      <w:r>
        <w:t>Recuperación: responde antes de leer la guía</w:t>
      </w:r>
    </w:p>
    <w:p>
      <w:r>
        <w:t>Explica una conducta de comunicación y una de trabajo en equipo con hechos verificables, sin asignarte una nota ni inventar el nivel 2 de comunicación.</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Ejemplo: después de explicar, pedir al usuario que describa el siguiente paso; en equipo, compartir el soporte que ayuda a corregir una diferencia y reconocer aportes. La aplicación no califica esas respuestas como perfil oficial.</w:t>
      </w:r>
    </w:p>
    <w:p>
      <w:pPr>
        <w:pStyle w:val="Heading3"/>
      </w:pPr>
      <w:r>
        <w:t>Fuentes de esta lección</w:t>
      </w:r>
    </w:p>
    <w:p>
      <w:r>
        <w:t>ADJ-ESTUDIO · MATERIAL DE ESTUDIO · documento aportado. Párrafos 287–353; encabezado 318 sin desarrollo de comunicación nivel 2. Estado: analizado; no es fuente oficial. Archivo/URL: ./docs/analisis-materiales-ampliacion.md.</w:t>
      </w:r>
    </w:p>
    <w:p>
      <w:r>
        <w:t>ADJ-WORD · LISTADO INDICADORES A EVALUAR. Diez entradas comportamentales y niveles. Estado: leído en adjunto. Archivo/URL: ./docs/indicadores-original.docx.</w:t>
      </w:r>
    </w:p>
    <w:p>
      <w:r>
        <w:t>ADJ-SIMULACRO · Simulacro DIAN 2676 · OPEC 242699 · ConMérito. PDF pp. 199–204: perfiles esperados del editor, no claves oficiales. Estado: analizado; no es fuente oficial. Archivo/URL: ./docs/analisis-materiales-ampliacion.md.</w:t>
      </w:r>
    </w:p>
    <w:p>
      <w:r>
        <w:br w:type="page"/>
      </w:r>
    </w:p>
    <w:p>
      <w:pPr>
        <w:pStyle w:val="Heading1"/>
      </w:pPr>
      <w:r>
        <w:t>24. Cinco valores: distinguir hechos y corregir rótulos del material</w:t>
      </w:r>
    </w:p>
    <w:p>
      <w:r>
        <w:t>Objetivo: Reconocer los cinco nombres del listado y reflexionar sin atribuir definiciones oficiales no consultadas.</w:t>
      </w:r>
    </w:p>
    <w:p>
      <w:r>
        <w:t>Estado: formativo; código institucional por contrastar | Versión 1.1.0 | Revisión 2026-10-20</w:t>
      </w:r>
    </w:p>
    <w:p>
      <w:r>
        <w:t>Alcance: Guía didáctica original apoyada en la tabla final del adjunto; no es transcripción oficial verificada ni perfil calificable.</w:t>
      </w:r>
    </w:p>
    <w:p>
      <w:pPr>
        <w:pStyle w:val="Heading2"/>
      </w:pPr>
      <w:r>
        <w:t>Explicación</w:t>
      </w:r>
    </w:p>
    <w:p>
      <w:r>
        <w:t>El Word presenta una inconsistencia interna: bajo Justicia reproduce una definición y pautas de Respeto; bajo Respeto repite Diligencia. Las dos imágenes al final sí separan los cinco valores de manera coherente. Aquí se usa esa tabla como material secundario y se hace explícita la corrección de rótulos; no se presenta como validación de la versión oficial del código DIAN.</w:t>
      </w:r>
    </w:p>
    <w:p>
      <w:r>
        <w:t>Honestidad puede analizarse como decir la verdad, reconocer errores, buscar orientación y evitar ventajas indebidas o conflictos de interés. En un caso, reconocer una cifra mal registrada y corregirla con trazabilidad ofrece una evidencia concreta; aparentar seguridad inventando una respuesta no.</w:t>
      </w:r>
    </w:p>
    <w:p>
      <w:r>
        <w:t>Respeto se relaciona con reconocer y tratar dignamente a las personas, sin discriminación ni descalificación. Una atención respetuosa no depende de estar de acuerdo con la solicitud. Es posible explicar un límite de competencia con claridad y cortesía sin prometer un resultado improcedente.</w:t>
      </w:r>
    </w:p>
    <w:p>
      <w:r>
        <w:t>Compromiso se trabaja desde la responsabilidad del servicio y la disposición a comprender y orientar necesidades. No equivale a hacer cualquier tarea ajena a la competencia ni a tratar el servicio como un favor. Identifica qué ayuda puedes prestar y qué debes remitir a la instancia pertinente.</w:t>
      </w:r>
    </w:p>
    <w:p>
      <w:r>
        <w:t>Diligencia se analiza mediante oportunidad, cuidado, calidad y uso responsable de recursos. Velocidad sin comprobación de soportes no demuestra diligencia. Un caso útil contrapone entregar rápido una tabla con errores y revisar los datos decisivos para entregar una respuesta correcta dentro del plazo aplicable.</w:t>
      </w:r>
    </w:p>
    <w:p>
      <w:r>
        <w:t>Justicia se distingue como imparcialidad y protección de derechos con equidad, igualdad y sin discriminación, según la tabla final del adjunto. Decidir con evidencia y criterios pertinentes evita que simpatías o presiones sustituyan el análisis. Respeto centra el trato digno; justicia añade el criterio imparcial de decisión.</w:t>
      </w:r>
    </w:p>
    <w:p>
      <w:r>
        <w:t>Las afirmaciones de preferencia del PDF no se convierten en preguntas con respuesta correcta dentro de la aplicación. Reflexiona con situaciones reales descritas sin nombres ni datos personales y contrasta el instrumento institucional cuando esté disponible. No se enseña a marcar siempre un extremo ni se promete un perfil ideal.</w:t>
      </w:r>
    </w:p>
    <w:p>
      <w:pPr>
        <w:pStyle w:val="Heading2"/>
      </w:pPr>
      <w:r>
        <w:t>Ejemplo original</w:t>
      </w:r>
    </w:p>
    <w:p>
      <w:r>
        <w:t>Caso formativo original: una persona conocida pide prioridad sin criterio autorizado. Describe una respuesta que combine trato respetuoso, decisión imparcial y explicación clara; registra cómo evitarías trato preferente sin maltratar a nadie.</w:t>
      </w:r>
    </w:p>
    <w:p>
      <w:pPr>
        <w:pStyle w:val="Heading2"/>
      </w:pPr>
      <w:r>
        <w:t>Compara antes de elegir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Valor</w:t>
            </w:r>
          </w:p>
        </w:tc>
        <w:tc>
          <w:tcPr>
            <w:tcW w:type="dxa" w:w="2880"/>
          </w:tcPr>
          <w:p>
            <w:r>
              <w:t>Foco didáctico</w:t>
            </w:r>
          </w:p>
        </w:tc>
        <w:tc>
          <w:tcPr>
            <w:tcW w:type="dxa" w:w="2880"/>
          </w:tcPr>
          <w:p>
            <w:r>
              <w:t>Conducta para analizar</w:t>
            </w:r>
          </w:p>
        </w:tc>
      </w:tr>
      <w:tr>
        <w:tc>
          <w:tcPr>
            <w:tcW w:type="dxa" w:w="2880"/>
          </w:tcPr>
          <w:p>
            <w:r>
              <w:t>Honestidad</w:t>
            </w:r>
          </w:p>
        </w:tc>
        <w:tc>
          <w:tcPr>
            <w:tcW w:type="dxa" w:w="2880"/>
          </w:tcPr>
          <w:p>
            <w:r>
              <w:t>Verdad y rectitud</w:t>
            </w:r>
          </w:p>
        </w:tc>
        <w:tc>
          <w:tcPr>
            <w:tcW w:type="dxa" w:w="2880"/>
          </w:tcPr>
          <w:p>
            <w:r>
              <w:t>Reconocer y corregir el error</w:t>
            </w:r>
          </w:p>
        </w:tc>
      </w:tr>
      <w:tr>
        <w:tc>
          <w:tcPr>
            <w:tcW w:type="dxa" w:w="2880"/>
          </w:tcPr>
          <w:p>
            <w:r>
              <w:t>Respeto</w:t>
            </w:r>
          </w:p>
        </w:tc>
        <w:tc>
          <w:tcPr>
            <w:tcW w:type="dxa" w:w="2880"/>
          </w:tcPr>
          <w:p>
            <w:r>
              <w:t>Trato digno</w:t>
            </w:r>
          </w:p>
        </w:tc>
        <w:tc>
          <w:tcPr>
            <w:tcW w:type="dxa" w:w="2880"/>
          </w:tcPr>
          <w:p>
            <w:r>
              <w:t>Explicar sin discriminar ni humillar</w:t>
            </w:r>
          </w:p>
        </w:tc>
      </w:tr>
      <w:tr>
        <w:tc>
          <w:tcPr>
            <w:tcW w:type="dxa" w:w="2880"/>
          </w:tcPr>
          <w:p>
            <w:r>
              <w:t>Compromiso</w:t>
            </w:r>
          </w:p>
        </w:tc>
        <w:tc>
          <w:tcPr>
            <w:tcW w:type="dxa" w:w="2880"/>
          </w:tcPr>
          <w:p>
            <w:r>
              <w:t>Responsabilidad del servicio</w:t>
            </w:r>
          </w:p>
        </w:tc>
        <w:tc>
          <w:tcPr>
            <w:tcW w:type="dxa" w:w="2880"/>
          </w:tcPr>
          <w:p>
            <w:r>
              <w:t>Comprender y orientar la necesidad</w:t>
            </w:r>
          </w:p>
        </w:tc>
      </w:tr>
      <w:tr>
        <w:tc>
          <w:tcPr>
            <w:tcW w:type="dxa" w:w="2880"/>
          </w:tcPr>
          <w:p>
            <w:r>
              <w:t>Diligencia</w:t>
            </w:r>
          </w:p>
        </w:tc>
        <w:tc>
          <w:tcPr>
            <w:tcW w:type="dxa" w:w="2880"/>
          </w:tcPr>
          <w:p>
            <w:r>
              <w:t>Oportunidad y calidad</w:t>
            </w:r>
          </w:p>
        </w:tc>
        <w:tc>
          <w:tcPr>
            <w:tcW w:type="dxa" w:w="2880"/>
          </w:tcPr>
          <w:p>
            <w:r>
              <w:t>Comprobar antes de entregar</w:t>
            </w:r>
          </w:p>
        </w:tc>
      </w:tr>
      <w:tr>
        <w:tc>
          <w:tcPr>
            <w:tcW w:type="dxa" w:w="2880"/>
          </w:tcPr>
          <w:p>
            <w:r>
              <w:t>Justicia</w:t>
            </w:r>
          </w:p>
        </w:tc>
        <w:tc>
          <w:tcPr>
            <w:tcW w:type="dxa" w:w="2880"/>
          </w:tcPr>
          <w:p>
            <w:r>
              <w:t>Imparcialidad y derechos</w:t>
            </w:r>
          </w:p>
        </w:tc>
        <w:tc>
          <w:tcPr>
            <w:tcW w:type="dxa" w:w="2880"/>
          </w:tcPr>
          <w:p>
            <w:r>
              <w:t>Aplicar criterios y evidencia sin favoritismo</w:t>
            </w:r>
          </w:p>
        </w:tc>
      </w:tr>
    </w:tbl>
    <w:p>
      <w:pPr>
        <w:pStyle w:val="Heading2"/>
      </w:pPr>
      <w:r>
        <w:t>Distinciones importantes</w:t>
      </w:r>
    </w:p>
    <w:p>
      <w:pPr>
        <w:pStyle w:val="ListBullet"/>
      </w:pPr>
      <w:r>
        <w:t>Respeto: trato digno. Justicia: criterio imparcial de decisión.</w:t>
      </w:r>
    </w:p>
    <w:p>
      <w:pPr>
        <w:pStyle w:val="ListBullet"/>
      </w:pPr>
      <w:r>
        <w:t>Diligencia combina oportunidad, calidad y uso de recursos.</w:t>
      </w:r>
    </w:p>
    <w:p>
      <w:pPr>
        <w:pStyle w:val="ListBullet"/>
      </w:pPr>
      <w:r>
        <w:t>Una reflexión sobre valores no es una calificación psicométrica.</w:t>
      </w:r>
    </w:p>
    <w:p>
      <w:pPr>
        <w:pStyle w:val="Heading2"/>
      </w:pPr>
      <w:r>
        <w:t>Errores frecuentes</w:t>
      </w:r>
    </w:p>
    <w:p>
      <w:pPr>
        <w:pStyle w:val="ListBullet"/>
      </w:pPr>
      <w:r>
        <w:t>Repetir los rótulos cruzados del cuerpo del Word.</w:t>
      </w:r>
    </w:p>
    <w:p>
      <w:pPr>
        <w:pStyle w:val="ListBullet"/>
      </w:pPr>
      <w:r>
        <w:t>Confundir diligencia con rapidez sin comprobación.</w:t>
      </w:r>
    </w:p>
    <w:p>
      <w:pPr>
        <w:pStyle w:val="ListBullet"/>
      </w:pPr>
      <w:r>
        <w:t>Memorizar respuestas extremas para simular un perfil.</w:t>
      </w:r>
    </w:p>
    <w:p>
      <w:pPr>
        <w:pStyle w:val="Heading2"/>
      </w:pPr>
      <w:r>
        <w:t>Recuperación: responde antes de leer la guía</w:t>
      </w:r>
    </w:p>
    <w:p>
      <w:r>
        <w:t>Distingue respeto y justicia con un caso y explica por qué diligencia no consiste solo en rapidez.</w:t>
      </w:r>
    </w:p>
    <w:p>
      <w:r>
        <w:t>Mi explicación: ____________________________________________________</w:t>
        <w:br/>
        <w:t>__________________________________________________________________</w:t>
        <w:br/>
        <w:t>__________________________________________________________________</w:t>
      </w:r>
    </w:p>
    <w:p>
      <w:pPr>
        <w:pStyle w:val="Heading3"/>
      </w:pPr>
      <w:r>
        <w:t>Guía para contrastar</w:t>
      </w:r>
    </w:p>
    <w:p>
      <w:r>
        <w:t>Se puede tratar dignamente a la persona y, a la vez, decidir sin favorecerla por cercanía. Diligencia incorpora cuidado, oportunidad, calidad y recursos; no basta entregar rápido un resultado incorrecto.</w:t>
      </w:r>
    </w:p>
    <w:p>
      <w:pPr>
        <w:pStyle w:val="Heading3"/>
      </w:pPr>
      <w:r>
        <w:t>Fuentes de esta lección</w:t>
      </w:r>
    </w:p>
    <w:p>
      <w:r>
        <w:t>ADJ-ESTUDIO · MATERIAL DE ESTUDIO · documento aportado. Párrafos 354–518 y tablas de las imágenes 77–78; se identifican los rótulos cruzados. Estado: analizado; no es fuente oficial. Archivo/URL: ./docs/analisis-materiales-ampliacion.md.</w:t>
      </w:r>
    </w:p>
    <w:p>
      <w:r>
        <w:t>ADJ-WORD · LISTADO INDICADORES A EVALUAR. Cinco valores del listado original. Estado: leído en adjunto. Archivo/URL: ./docs/indicadores-original.docx.</w:t>
      </w:r>
    </w:p>
    <w:p>
      <w:r>
        <w:br w:type="page"/>
      </w:r>
    </w:p>
    <w:p>
      <w:pPr>
        <w:pStyle w:val="Heading1"/>
      </w:pPr>
      <w:r>
        <w:t>Indicadores y competencias: transcripción exacta</w:t>
      </w:r>
    </w:p>
    <w:p>
      <w:pPr>
        <w:pStyle w:val="ListBullet"/>
      </w:pPr>
      <w:r>
        <w:t>08.ADMINISTRACION DE BIENES MUEBLES E INMUEBLES</w:t>
      </w:r>
    </w:p>
    <w:p>
      <w:pPr>
        <w:pStyle w:val="ListBullet"/>
      </w:pPr>
      <w:r>
        <w:t>2-16.ADMINISTRACION SERVICIOS ADMINISTRATIVOS</w:t>
      </w:r>
    </w:p>
    <w:p>
      <w:pPr>
        <w:pStyle w:val="ListBullet"/>
      </w:pPr>
      <w:r>
        <w:t>09.ADMINISTRACION Y DISPOSICION DE MERCANCIAS</w:t>
      </w:r>
    </w:p>
    <w:p>
      <w:pPr>
        <w:pStyle w:val="ListBullet"/>
      </w:pPr>
      <w:r>
        <w:t>ESTRUCTURA ORGANIZACIONAL DE LA DIAN</w:t>
      </w:r>
    </w:p>
    <w:p>
      <w:pPr>
        <w:pStyle w:val="ListBullet"/>
      </w:pPr>
      <w:r>
        <w:t>5.GENERALIDADES DEL SISTEMA PRESUPUESTAL</w:t>
      </w:r>
    </w:p>
    <w:p>
      <w:pPr>
        <w:pStyle w:val="ListBullet"/>
      </w:pPr>
      <w:r>
        <w:t>21.GESTION DOCUMENTAL</w:t>
      </w:r>
    </w:p>
    <w:p>
      <w:pPr>
        <w:pStyle w:val="ListBullet"/>
      </w:pPr>
      <w:r>
        <w:t>MISIONALIDAD DE LA DIAN</w:t>
      </w:r>
    </w:p>
    <w:p>
      <w:pPr>
        <w:pStyle w:val="ListBullet"/>
      </w:pPr>
      <w:r>
        <w:t>22.OFIMATICA</w:t>
      </w:r>
    </w:p>
    <w:p>
      <w:pPr>
        <w:pStyle w:val="ListBullet"/>
      </w:pPr>
      <w:r>
        <w:t>RAZONAMIENTO MATEMATICO</w:t>
      </w:r>
    </w:p>
    <w:p>
      <w:pPr>
        <w:pStyle w:val="ListBullet"/>
      </w:pPr>
      <w:r>
        <w:t>ADAPTABILIDAD NIVEL 1</w:t>
      </w:r>
    </w:p>
    <w:p>
      <w:pPr>
        <w:pStyle w:val="ListBullet"/>
      </w:pPr>
      <w:r>
        <w:t>COMPORTAMIENTO ETICO NIVEL 1</w:t>
      </w:r>
    </w:p>
    <w:p>
      <w:pPr>
        <w:pStyle w:val="ListBullet"/>
      </w:pPr>
      <w:r>
        <w:t>COMPORTAMIENTO ETICO NIVEL 4</w:t>
      </w:r>
    </w:p>
    <w:p>
      <w:pPr>
        <w:pStyle w:val="ListBullet"/>
      </w:pPr>
      <w:r>
        <w:t>COMUNICACION EFECTIVA NIVEL 1</w:t>
      </w:r>
    </w:p>
    <w:p>
      <w:pPr>
        <w:pStyle w:val="ListBullet"/>
      </w:pPr>
      <w:r>
        <w:t>COMUNICACION EFECTIVA NIVEL 2</w:t>
      </w:r>
    </w:p>
    <w:p>
      <w:pPr>
        <w:pStyle w:val="ListBullet"/>
      </w:pPr>
      <w:r>
        <w:t>ORIENTACION AL LOGRO NIVEL 1</w:t>
      </w:r>
    </w:p>
    <w:p>
      <w:pPr>
        <w:pStyle w:val="ListBullet"/>
      </w:pPr>
      <w:r>
        <w:t>ORIENTACION AL LOGRO NIVEL 2</w:t>
      </w:r>
    </w:p>
    <w:p>
      <w:pPr>
        <w:pStyle w:val="ListBullet"/>
      </w:pPr>
      <w:r>
        <w:t>ORIENTACION AL USUARIO Y AL CIUDADANO NIVEL 1</w:t>
      </w:r>
    </w:p>
    <w:p>
      <w:pPr>
        <w:pStyle w:val="ListBullet"/>
      </w:pPr>
      <w:r>
        <w:t>TRABAJO EN EQUIPO NIVEL 1</w:t>
      </w:r>
    </w:p>
    <w:p>
      <w:pPr>
        <w:pStyle w:val="ListBullet"/>
      </w:pPr>
      <w:r>
        <w:t>TRABAJO EN EQUIPO NIVEL 2</w:t>
      </w:r>
    </w:p>
    <w:p>
      <w:pPr>
        <w:pStyle w:val="ListBullet"/>
      </w:pPr>
      <w:r>
        <w:t>COMPROMISO</w:t>
      </w:r>
    </w:p>
    <w:p>
      <w:pPr>
        <w:pStyle w:val="ListBullet"/>
      </w:pPr>
      <w:r>
        <w:t>DILIGENCIA</w:t>
      </w:r>
    </w:p>
    <w:p>
      <w:pPr>
        <w:pStyle w:val="ListBullet"/>
      </w:pPr>
      <w:r>
        <w:t>HONESTIDAD</w:t>
      </w:r>
    </w:p>
    <w:p>
      <w:pPr>
        <w:pStyle w:val="ListBullet"/>
      </w:pPr>
      <w:r>
        <w:t>JUSTICIA</w:t>
      </w:r>
    </w:p>
    <w:p>
      <w:pPr>
        <w:pStyle w:val="ListBullet"/>
      </w:pPr>
      <w:r>
        <w:t>RESPETO</w:t>
      </w:r>
    </w:p>
    <w:p>
      <w:r>
        <w:t>No se interpretan los códigos como porcentajes o cantidades. El nuevo adjunto aporta descripciones parciales y tablas de valores; se trabaja con ellas de forma crítica y formativa. Los descriptores y la versión institucional oficial siguen por contrastar.</w:t>
      </w:r>
    </w:p>
    <w:p>
      <w:pPr>
        <w:pStyle w:val="Heading1"/>
      </w:pPr>
      <w:r>
        <w:t>Cobertura y banco de preguntas</w:t>
      </w:r>
    </w:p>
    <w:p>
      <w:r>
        <w:t>137 preguntas comprobables: 27 de diagnóstico, 60 de práctica, 25 del simulacro A y 25 del B. Los simulacros están reservados en la aplicación; no se reproducen aquí como práctica. Son parciales y no réplicas del examen. Las reservas pendientes no se cuentan como preguntas reales.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Indicador</w:t>
            </w:r>
          </w:p>
        </w:tc>
        <w:tc>
          <w:tcPr>
            <w:tcW w:type="dxa" w:w="1728"/>
          </w:tcPr>
          <w:p>
            <w:r>
              <w:t>Diag.</w:t>
            </w:r>
          </w:p>
        </w:tc>
        <w:tc>
          <w:tcPr>
            <w:tcW w:type="dxa" w:w="1728"/>
          </w:tcPr>
          <w:p>
            <w:r>
              <w:t>Práctica/meta</w:t>
            </w:r>
          </w:p>
        </w:tc>
        <w:tc>
          <w:tcPr>
            <w:tcW w:type="dxa" w:w="1728"/>
          </w:tcPr>
          <w:p>
            <w:r>
              <w:t>A / B</w:t>
            </w:r>
          </w:p>
        </w:tc>
        <w:tc>
          <w:tcPr>
            <w:tcW w:type="dxa" w:w="1728"/>
          </w:tcPr>
          <w:p>
            <w:r>
              <w:t>Alcance</w:t>
            </w:r>
          </w:p>
        </w:tc>
      </w:tr>
      <w:tr>
        <w:tc>
          <w:tcPr>
            <w:tcW w:type="dxa" w:w="1728"/>
          </w:tcPr>
          <w:p>
            <w:r>
              <w:t>Bienes muebles e inmuebles</w:t>
            </w:r>
          </w:p>
        </w:tc>
        <w:tc>
          <w:tcPr>
            <w:tcW w:type="dxa" w:w="1728"/>
          </w:tcPr>
          <w:p>
            <w:r>
              <w:t>3</w:t>
            </w:r>
          </w:p>
        </w:tc>
        <w:tc>
          <w:tcPr>
            <w:tcW w:type="dxa" w:w="1728"/>
          </w:tcPr>
          <w:p>
            <w:r>
              <w:t>5/18</w:t>
            </w:r>
          </w:p>
        </w:tc>
        <w:tc>
          <w:tcPr>
            <w:tcW w:type="dxa" w:w="1728"/>
          </w:tcPr>
          <w:p>
            <w:r>
              <w:t>2/1</w:t>
            </w:r>
          </w:p>
        </w:tc>
        <w:tc>
          <w:tcPr>
            <w:tcW w:type="dxa" w:w="1728"/>
          </w:tcPr>
          <w:p>
            <w:r>
              <w:t>Inventario patrimonial y transferencia gratuita contrastados; procedimiento interno pendiente</w:t>
            </w:r>
          </w:p>
        </w:tc>
      </w:tr>
      <w:tr>
        <w:tc>
          <w:tcPr>
            <w:tcW w:type="dxa" w:w="1728"/>
          </w:tcPr>
          <w:p>
            <w:r>
              <w:t>Servicios administrativos</w:t>
            </w:r>
          </w:p>
        </w:tc>
        <w:tc>
          <w:tcPr>
            <w:tcW w:type="dxa" w:w="1728"/>
          </w:tcPr>
          <w:p>
            <w:r>
              <w:t>3</w:t>
            </w:r>
          </w:p>
        </w:tc>
        <w:tc>
          <w:tcPr>
            <w:tcW w:type="dxa" w:w="1728"/>
          </w:tcPr>
          <w:p>
            <w:r>
              <w:t>5/18</w:t>
            </w:r>
          </w:p>
        </w:tc>
        <w:tc>
          <w:tcPr>
            <w:tcW w:type="dxa" w:w="1728"/>
          </w:tcPr>
          <w:p>
            <w:r>
              <w:t>1/4</w:t>
            </w:r>
          </w:p>
        </w:tc>
        <w:tc>
          <w:tcPr>
            <w:tcW w:type="dxa" w:w="1728"/>
          </w:tcPr>
          <w:p>
            <w:r>
              <w:t>Planeación, seguimiento y caja menor en los apartados citados; cobertura parcial</w:t>
            </w:r>
          </w:p>
        </w:tc>
      </w:tr>
      <w:tr>
        <w:tc>
          <w:tcPr>
            <w:tcW w:type="dxa" w:w="1728"/>
          </w:tcPr>
          <w:p>
            <w:r>
              <w:t>Administración de mercancías</w:t>
            </w:r>
          </w:p>
        </w:tc>
        <w:tc>
          <w:tcPr>
            <w:tcW w:type="dxa" w:w="1728"/>
          </w:tcPr>
          <w:p>
            <w:r>
              <w:t>3</w:t>
            </w:r>
          </w:p>
        </w:tc>
        <w:tc>
          <w:tcPr>
            <w:tcW w:type="dxa" w:w="1728"/>
          </w:tcPr>
          <w:p>
            <w:r>
              <w:t>5/18</w:t>
            </w:r>
          </w:p>
        </w:tc>
        <w:tc>
          <w:tcPr>
            <w:tcW w:type="dxa" w:w="1728"/>
          </w:tcPr>
          <w:p>
            <w:r>
              <w:t>4/3</w:t>
            </w:r>
          </w:p>
        </w:tc>
        <w:tc>
          <w:tcPr>
            <w:tcW w:type="dxa" w:w="1728"/>
          </w:tcPr>
          <w:p>
            <w:r>
              <w:t>Ingreso, avalúo, traslado, costos y supuestos de disposición citados; cobertura parcial</w:t>
            </w:r>
          </w:p>
        </w:tc>
      </w:tr>
      <w:tr>
        <w:tc>
          <w:tcPr>
            <w:tcW w:type="dxa" w:w="1728"/>
          </w:tcPr>
          <w:p>
            <w:r>
              <w:t>Estructura organizacional</w:t>
            </w:r>
          </w:p>
        </w:tc>
        <w:tc>
          <w:tcPr>
            <w:tcW w:type="dxa" w:w="1728"/>
          </w:tcPr>
          <w:p>
            <w:r>
              <w:t>3</w:t>
            </w:r>
          </w:p>
        </w:tc>
        <w:tc>
          <w:tcPr>
            <w:tcW w:type="dxa" w:w="1728"/>
          </w:tcPr>
          <w:p>
            <w:r>
              <w:t>6/18</w:t>
            </w:r>
          </w:p>
        </w:tc>
        <w:tc>
          <w:tcPr>
            <w:tcW w:type="dxa" w:w="1728"/>
          </w:tcPr>
          <w:p>
            <w:r>
              <w:t>1/1</w:t>
            </w:r>
          </w:p>
        </w:tc>
        <w:tc>
          <w:tcPr>
            <w:tcW w:type="dxa" w:w="1728"/>
          </w:tcPr>
          <w:p>
            <w:r>
              <w:t>Fundamentos contrastados; cobertura temática parcial</w:t>
            </w:r>
          </w:p>
        </w:tc>
      </w:tr>
      <w:tr>
        <w:tc>
          <w:tcPr>
            <w:tcW w:type="dxa" w:w="1728"/>
          </w:tcPr>
          <w:p>
            <w:r>
              <w:t>Sistema presupuestal</w:t>
            </w:r>
          </w:p>
        </w:tc>
        <w:tc>
          <w:tcPr>
            <w:tcW w:type="dxa" w:w="1728"/>
          </w:tcPr>
          <w:p>
            <w:r>
              <w:t>3</w:t>
            </w:r>
          </w:p>
        </w:tc>
        <w:tc>
          <w:tcPr>
            <w:tcW w:type="dxa" w:w="1728"/>
          </w:tcPr>
          <w:p>
            <w:r>
              <w:t>5/18</w:t>
            </w:r>
          </w:p>
        </w:tc>
        <w:tc>
          <w:tcPr>
            <w:tcW w:type="dxa" w:w="1728"/>
          </w:tcPr>
          <w:p>
            <w:r>
              <w:t>3/4</w:t>
            </w:r>
          </w:p>
        </w:tc>
        <w:tc>
          <w:tcPr>
            <w:tcW w:type="dxa" w:w="1728"/>
          </w:tcPr>
          <w:p>
            <w:r>
              <w:t>CDP, registro, obligación, PAC y cierre con Decreto 1068; no todo EOP/SIIF</w:t>
            </w:r>
          </w:p>
        </w:tc>
      </w:tr>
      <w:tr>
        <w:tc>
          <w:tcPr>
            <w:tcW w:type="dxa" w:w="1728"/>
          </w:tcPr>
          <w:p>
            <w:r>
              <w:t>Gestión documental</w:t>
            </w:r>
          </w:p>
        </w:tc>
        <w:tc>
          <w:tcPr>
            <w:tcW w:type="dxa" w:w="1728"/>
          </w:tcPr>
          <w:p>
            <w:r>
              <w:t>3</w:t>
            </w:r>
          </w:p>
        </w:tc>
        <w:tc>
          <w:tcPr>
            <w:tcW w:type="dxa" w:w="1728"/>
          </w:tcPr>
          <w:p>
            <w:r>
              <w:t>7/18</w:t>
            </w:r>
          </w:p>
        </w:tc>
        <w:tc>
          <w:tcPr>
            <w:tcW w:type="dxa" w:w="1728"/>
          </w:tcPr>
          <w:p>
            <w:r>
              <w:t>4/2</w:t>
            </w:r>
          </w:p>
        </w:tc>
        <w:tc>
          <w:tcPr>
            <w:tcW w:type="dxa" w:w="1728"/>
          </w:tcPr>
          <w:p>
            <w:r>
              <w:t>Ciclo vital, documentos electrónicos y acceso en los apartados citados; AGN avanzado pendiente</w:t>
            </w:r>
          </w:p>
        </w:tc>
      </w:tr>
      <w:tr>
        <w:tc>
          <w:tcPr>
            <w:tcW w:type="dxa" w:w="1728"/>
          </w:tcPr>
          <w:p>
            <w:r>
              <w:t>Misionalidad de la DIAN</w:t>
            </w:r>
          </w:p>
        </w:tc>
        <w:tc>
          <w:tcPr>
            <w:tcW w:type="dxa" w:w="1728"/>
          </w:tcPr>
          <w:p>
            <w:r>
              <w:t>3</w:t>
            </w:r>
          </w:p>
        </w:tc>
        <w:tc>
          <w:tcPr>
            <w:tcW w:type="dxa" w:w="1728"/>
          </w:tcPr>
          <w:p>
            <w:r>
              <w:t>6/17</w:t>
            </w:r>
          </w:p>
        </w:tc>
        <w:tc>
          <w:tcPr>
            <w:tcW w:type="dxa" w:w="1728"/>
          </w:tcPr>
          <w:p>
            <w:r>
              <w:t>1/1</w:t>
            </w:r>
          </w:p>
        </w:tc>
        <w:tc>
          <w:tcPr>
            <w:tcW w:type="dxa" w:w="1728"/>
          </w:tcPr>
          <w:p>
            <w:r>
              <w:t>Fundamentos contrastados; cobertura temática parcial</w:t>
            </w:r>
          </w:p>
        </w:tc>
      </w:tr>
      <w:tr>
        <w:tc>
          <w:tcPr>
            <w:tcW w:type="dxa" w:w="1728"/>
          </w:tcPr>
          <w:p>
            <w:r>
              <w:t>Ofimática</w:t>
            </w:r>
          </w:p>
        </w:tc>
        <w:tc>
          <w:tcPr>
            <w:tcW w:type="dxa" w:w="1728"/>
          </w:tcPr>
          <w:p>
            <w:r>
              <w:t>3</w:t>
            </w:r>
          </w:p>
        </w:tc>
        <w:tc>
          <w:tcPr>
            <w:tcW w:type="dxa" w:w="1728"/>
          </w:tcPr>
          <w:p>
            <w:r>
              <w:t>6/17</w:t>
            </w:r>
          </w:p>
        </w:tc>
        <w:tc>
          <w:tcPr>
            <w:tcW w:type="dxa" w:w="1728"/>
          </w:tcPr>
          <w:p>
            <w:r>
              <w:t>3/1</w:t>
            </w:r>
          </w:p>
        </w:tc>
        <w:tc>
          <w:tcPr>
            <w:tcW w:type="dxa" w:w="1728"/>
          </w:tcPr>
          <w:p>
            <w:r>
              <w:t>SUMA y SUMAR.SI contrastadas; otras herramientas pendientes</w:t>
            </w:r>
          </w:p>
        </w:tc>
      </w:tr>
      <w:tr>
        <w:tc>
          <w:tcPr>
            <w:tcW w:type="dxa" w:w="1728"/>
          </w:tcPr>
          <w:p>
            <w:r>
              <w:t>Razonamiento matemático</w:t>
            </w:r>
          </w:p>
        </w:tc>
        <w:tc>
          <w:tcPr>
            <w:tcW w:type="dxa" w:w="1728"/>
          </w:tcPr>
          <w:p>
            <w:r>
              <w:t>3</w:t>
            </w:r>
          </w:p>
        </w:tc>
        <w:tc>
          <w:tcPr>
            <w:tcW w:type="dxa" w:w="1728"/>
          </w:tcPr>
          <w:p>
            <w:r>
              <w:t>15/17</w:t>
            </w:r>
          </w:p>
        </w:tc>
        <w:tc>
          <w:tcPr>
            <w:tcW w:type="dxa" w:w="1728"/>
          </w:tcPr>
          <w:p>
            <w:r>
              <w:t>6/8</w:t>
            </w:r>
          </w:p>
        </w:tc>
        <w:tc>
          <w:tcPr>
            <w:tcW w:type="dxa" w:w="1728"/>
          </w:tcPr>
          <w:p>
            <w:r>
              <w:t>matemática original comprobada</w:t>
            </w:r>
          </w:p>
        </w:tc>
      </w:tr>
    </w:tbl>
    <w:p>
      <w:pPr>
        <w:pStyle w:val="Heading1"/>
      </w:pPr>
      <w:r>
        <w:t>Registro de fuentes</w:t>
      </w:r>
    </w:p>
    <w:p>
      <w:pPr>
        <w:pStyle w:val="Heading2"/>
      </w:pPr>
      <w:r>
        <w:t>ADJ-PDF · Descripción del empleo · Analista I · TP-DE-2013</w:t>
      </w:r>
    </w:p>
    <w:p>
      <w:r>
        <w:t>DIAN, según el encabezado del archivo aportado</w:t>
      </w:r>
    </w:p>
    <w:p>
      <w:r>
        <w:t>Fecha: 2024-04-15; versión: Ficha 01; formato 5; control de cambios: Resolución 0067 de 11/04/2024</w:t>
      </w:r>
    </w:p>
    <w:p>
      <w:r>
        <w:t>Archivo/URL: ./docs/ficha-TP-DE-2013.pdf</w:t>
      </w:r>
    </w:p>
    <w:p>
      <w:r>
        <w:t>Consulta: 2026-10-19; localizador: Páginas 1 y 2</w:t>
      </w:r>
    </w:p>
    <w:p>
      <w:r>
        <w:t>Estado: leído en adjunto</w:t>
      </w:r>
    </w:p>
    <w:p>
      <w:r>
        <w:t>Comprobado: Identidad del empleo, propósito, funciones y lista de competencias del archivo. No identifica la OPEC ni las reglas del examen.</w:t>
      </w:r>
    </w:p>
    <w:p>
      <w:r>
        <w:t>Límites: Origen, vigencia, integridad frente al original institucional y correspondencia OPEC no contrastados externamente.</w:t>
      </w:r>
    </w:p>
    <w:p>
      <w:pPr>
        <w:pStyle w:val="Heading2"/>
      </w:pPr>
      <w:r>
        <w:t>ADJ-WORD · LISTADO INDICADORES A EVALUAR</w:t>
      </w:r>
    </w:p>
    <w:p>
      <w:r>
        <w:t>Archivo aportado por la usuaria; descarga del concurso informada por ella</w:t>
      </w:r>
    </w:p>
    <w:p>
      <w:r>
        <w:t>Fecha: no disponible; versión: Sin versión visible</w:t>
      </w:r>
    </w:p>
    <w:p>
      <w:r>
        <w:t>Archivo/URL: ./docs/indicadores-original.docx</w:t>
      </w:r>
    </w:p>
    <w:p>
      <w:r>
        <w:t>Consulta: 2026-10-19; localizador: Documento completo: 24 entradas</w:t>
      </w:r>
    </w:p>
    <w:p>
      <w:r>
        <w:t>Estado: leído en adjunto</w:t>
      </w:r>
    </w:p>
    <w:p>
      <w:r>
        <w:t>Comprobado: 9 indicadores, 10 entradas de competencias con nivel y 5 valores. Se conservan literalmente nombres y códigos.</w:t>
      </w:r>
    </w:p>
    <w:p>
      <w:r>
        <w:t>Límites: Sin OPEC, ponderaciones, cantidades de preguntas ni fecha visibles. Correspondencia con inscripción pendiente.</w:t>
      </w:r>
    </w:p>
    <w:p>
      <w:pPr>
        <w:pStyle w:val="Heading2"/>
      </w:pPr>
      <w:r>
        <w:t>USUARIA · Solicitud y captura aportadas al chat</w:t>
      </w:r>
    </w:p>
    <w:p>
      <w:r>
        <w:t>Usuaria</w:t>
      </w:r>
    </w:p>
    <w:p>
      <w:r>
        <w:t>Fecha: no disponible; versión: Mensaje de solicitud</w:t>
      </w:r>
    </w:p>
    <w:p>
      <w:r>
        <w:t>Archivo/URL: mensaje aportado en el chat</w:t>
      </w:r>
    </w:p>
    <w:p>
      <w:r>
        <w:t>Consulta: 2026-10-19; localizador: Imagen: número OPEC 242699; texto de la solicitud</w:t>
      </w:r>
    </w:p>
    <w:p>
      <w:r>
        <w:t>Estado: aportado por la usuaria</w:t>
      </w:r>
    </w:p>
    <w:p>
      <w:r>
        <w:t>Comprobado: OPEC 242699, fecha objetivo 08/11/2026, experiencia y disponibilidad de una hora diaria.</w:t>
      </w:r>
    </w:p>
    <w:p>
      <w:r>
        <w:t>Límites: La captura visible muestra el número OPEC. El cargo se confirma en el PDF y en el texto de la solicitud, sin establecer vínculo oficial entre ambos. Fecha no confirmada por CNSC.</w:t>
      </w:r>
    </w:p>
    <w:p>
      <w:pPr>
        <w:pStyle w:val="Heading2"/>
      </w:pPr>
      <w:r>
        <w:t>MAT-ORIGINAL · Ejercicios matemáticos originales y verificadores reproducibles</w:t>
      </w:r>
    </w:p>
    <w:p>
      <w:r>
        <w:t>Material pedagógico de esta aplicación</w:t>
      </w:r>
    </w:p>
    <w:p>
      <w:r>
        <w:t>Fecha: 2026-10-19; versión: 1.0.0</w:t>
      </w:r>
    </w:p>
    <w:p>
      <w:r>
        <w:t>Archivo/URL: ./docs/verificacion-matematica.json</w:t>
      </w:r>
    </w:p>
    <w:p>
      <w:r>
        <w:t>Consulta: 2026-10-19; localizador: Cada pregunta incluye operación, resultado y explicación de alternativas; tests/content.test.mjs</w:t>
      </w:r>
    </w:p>
    <w:p>
      <w:r>
        <w:t>Estado: revisión documental completada</w:t>
      </w:r>
    </w:p>
    <w:p>
      <w:r>
        <w:t>Comprobado: Aritmética, porcentajes, proporciones, unidades, promedios y lectura de datos ficticios.</w:t>
      </w:r>
    </w:p>
    <w:p>
      <w:r>
        <w:t>Límites: No son preguntas oficiales. Comprobación automática de cálculos; no implica validación psicométrica ni revisión humana.</w:t>
      </w:r>
    </w:p>
    <w:p>
      <w:pPr>
        <w:pStyle w:val="Heading2"/>
      </w:pPr>
      <w:r>
        <w:t>PEND-CNSC · Portal de la CNSC y SIMO</w:t>
      </w:r>
    </w:p>
    <w:p>
      <w:r>
        <w:t>Comisión Nacional del Servicio Civil</w:t>
      </w:r>
    </w:p>
    <w:p>
      <w:r>
        <w:t>Fecha: no disponible; versión: Sin documento consultado</w:t>
      </w:r>
    </w:p>
    <w:p>
      <w:r>
        <w:t>Archivo/URL: https://www.cnsc.gov.co/</w:t>
      </w:r>
    </w:p>
    <w:p>
      <w:r>
        <w:t>Consulta: 2026-10-19; localizador: Ruta de investigación; sin apartado comprobado</w:t>
      </w:r>
    </w:p>
    <w:p>
      <w:r>
        <w:t>Estado: pendiente de verificación</w:t>
      </w:r>
    </w:p>
    <w:p>
      <w:r>
        <w:t>Comprobado: Destino de investigación, no fundamento de respuestas.</w:t>
      </w:r>
    </w:p>
    <w:p>
      <w:r>
        <w:t>Límites: Primero rechazo del proxy 403; tras restablecer acceso, CNSC respondió HTTP 503 en portal, búsquedas y rutas exploratorias. No se obtuvo documento del proceso.</w:t>
      </w:r>
    </w:p>
    <w:p>
      <w:pPr>
        <w:pStyle w:val="Heading2"/>
      </w:pPr>
      <w:r>
        <w:t>PEND-DIAN · Procedimientos especializados y descriptores por localizar</w:t>
      </w:r>
    </w:p>
    <w:p>
      <w:r>
        <w:t>DIAN</w:t>
      </w:r>
    </w:p>
    <w:p>
      <w:r>
        <w:t>Fecha: no disponible; versión: Sin documento consultado</w:t>
      </w:r>
    </w:p>
    <w:p>
      <w:r>
        <w:t>Archivo/URL: https://www.dian.gov.co/</w:t>
      </w:r>
    </w:p>
    <w:p>
      <w:r>
        <w:t>Consulta: 2026-10-19; localizador: Ruta de investigación; sin apartado comprobado</w:t>
      </w:r>
    </w:p>
    <w:p>
      <w:r>
        <w:t>Estado: pendiente de verificación</w:t>
      </w:r>
    </w:p>
    <w:p>
      <w:r>
        <w:t>Comprobado: Destino de investigación, no fundamento de respuestas.</w:t>
      </w:r>
    </w:p>
    <w:p>
      <w:r>
        <w:t>Límites: Portal y Normograma accesibles. No se obtuvieron procedimientos específicos de bienes/mercancías ni los descriptores de competencia aplicables. Búsqueda pública del portal devolvió HTTP 500.</w:t>
      </w:r>
    </w:p>
    <w:p>
      <w:pPr>
        <w:pStyle w:val="Heading2"/>
      </w:pPr>
      <w:r>
        <w:t>PEND-FP · Gestor Normativo</w:t>
      </w:r>
    </w:p>
    <w:p>
      <w:r>
        <w:t>Departamento Administrativo de la Función Pública</w:t>
      </w:r>
    </w:p>
    <w:p>
      <w:r>
        <w:t>Fecha: no disponible; versión: Sin documento consultado</w:t>
      </w:r>
    </w:p>
    <w:p>
      <w:r>
        <w:t>Archivo/URL: https://www.funcionpublica.gov.co/eva/gestornormativo/</w:t>
      </w:r>
    </w:p>
    <w:p>
      <w:r>
        <w:t>Consulta: 2026-10-19; localizador: Ruta de investigación; sin apartado comprobado</w:t>
      </w:r>
    </w:p>
    <w:p>
      <w:r>
        <w:t>Estado: pendiente de verificación</w:t>
      </w:r>
    </w:p>
    <w:p>
      <w:r>
        <w:t>Comprobado: Destino de investigación, no fundamento de respuestas.</w:t>
      </w:r>
    </w:p>
    <w:p>
      <w:r>
        <w:t>Límites: Primero proxy 403; después HTTP 503. Las fuentes jurídicas efectivamente leídas proceden del Normograma DIAN, no de este portal.</w:t>
      </w:r>
    </w:p>
    <w:p>
      <w:pPr>
        <w:pStyle w:val="Heading2"/>
      </w:pPr>
      <w:r>
        <w:t>PEND-AGN · Portal institucional</w:t>
      </w:r>
    </w:p>
    <w:p>
      <w:r>
        <w:t>Archivo General de la Nación</w:t>
      </w:r>
    </w:p>
    <w:p>
      <w:r>
        <w:t>Fecha: no disponible; versión: Sin documento consultado</w:t>
      </w:r>
    </w:p>
    <w:p>
      <w:r>
        <w:t>Archivo/URL: https://www.archivogeneral.gov.co/</w:t>
      </w:r>
    </w:p>
    <w:p>
      <w:r>
        <w:t>Consulta: 2026-10-19; localizador: Ruta de investigación; sin apartado comprobado</w:t>
      </w:r>
    </w:p>
    <w:p>
      <w:r>
        <w:t>Estado: pendiente de verificación</w:t>
      </w:r>
    </w:p>
    <w:p>
      <w:r>
        <w:t>Comprobado: Destino de investigación, no fundamento de respuestas.</w:t>
      </w:r>
    </w:p>
    <w:p>
      <w:r>
        <w:t>Límites: No se leyó documento propio del portal AGN. Ley 594 consultada en Normograma DIAN. Acuerdo Único 1/2024 y procedimientos específicos pendientes.</w:t>
      </w:r>
    </w:p>
    <w:p>
      <w:pPr>
        <w:pStyle w:val="Heading2"/>
      </w:pPr>
      <w:r>
        <w:t>PEND-MH · Portal institucional y SIIF Nación</w:t>
      </w:r>
    </w:p>
    <w:p>
      <w:r>
        <w:t>Ministerio de Hacienda y Crédito Público</w:t>
      </w:r>
    </w:p>
    <w:p>
      <w:r>
        <w:t>Fecha: no disponible; versión: Sin documento consultado</w:t>
      </w:r>
    </w:p>
    <w:p>
      <w:r>
        <w:t>Archivo/URL: https://www.minhacienda.gov.co/</w:t>
      </w:r>
    </w:p>
    <w:p>
      <w:r>
        <w:t>Consulta: 2026-10-19; localizador: Ruta de investigación; sin apartado comprobado</w:t>
      </w:r>
    </w:p>
    <w:p>
      <w:r>
        <w:t>Estado: pendiente de verificación</w:t>
      </w:r>
    </w:p>
    <w:p>
      <w:r>
        <w:t>Comprobado: Destino de investigación, no fundamento de respuestas.</w:t>
      </w:r>
    </w:p>
    <w:p>
      <w:r>
        <w:t>Límites: No se obtuvo Estatuto Orgánico del Presupuesto ni documentación SIIF del Ministerio. Procedimientos y definiciones presupuestales pendientes.</w:t>
      </w:r>
    </w:p>
    <w:p>
      <w:pPr>
        <w:pStyle w:val="Heading2"/>
      </w:pPr>
      <w:r>
        <w:t>PEND-MS · Cobertura adicional de ofimática por verificar</w:t>
      </w:r>
    </w:p>
    <w:p>
      <w:r>
        <w:t>Microsoft</w:t>
      </w:r>
    </w:p>
    <w:p>
      <w:r>
        <w:t>Fecha: no disponible; versión: Sin documento consultado</w:t>
      </w:r>
    </w:p>
    <w:p>
      <w:r>
        <w:t>Archivo/URL: https://support.microsoft.com/es-es/</w:t>
      </w:r>
    </w:p>
    <w:p>
      <w:r>
        <w:t>Consulta: 2026-10-19; localizador: Ruta de investigación; sin apartado comprobado</w:t>
      </w:r>
    </w:p>
    <w:p>
      <w:r>
        <w:t>Estado: pendiente de verificación</w:t>
      </w:r>
    </w:p>
    <w:p>
      <w:r>
        <w:t>Comprobado: Destino de investigación, no fundamento de respuestas.</w:t>
      </w:r>
    </w:p>
    <w:p>
      <w:r>
        <w:t>Límites: La página oficial de SUMA sí se leyó (OF-EXCEL). Otros programas, funciones y edición de la prueba no están verificados.</w:t>
      </w:r>
    </w:p>
    <w:p>
      <w:pPr>
        <w:pStyle w:val="Heading2"/>
      </w:pPr>
      <w:r>
        <w:t>OF-D1742 · Decreto 1742 de 2020 · estructura y funciones de la DIAN</w:t>
      </w:r>
    </w:p>
    <w:p>
      <w:r>
        <w:t>Presidencia de la República / Ministerio de Hacienda; compilación jurídica de la DIAN</w:t>
      </w:r>
    </w:p>
    <w:p>
      <w:r>
        <w:t>Fecha: 2020-12-22; versión: Texto de la fuente consultado el 2026-10-19</w:t>
      </w:r>
    </w:p>
    <w:p>
      <w:r>
        <w:t>Archivo/URL: https://normograma.dian.gov.co/dian/compilacion/docs/decreto_1742_2020.htm</w:t>
      </w:r>
    </w:p>
    <w:p>
      <w:r>
        <w:t>Consulta: 2026-10-19; localizador: Artículos 1–5, 7, 35, 41, 42, 83 y 84; notas de la compilación</w:t>
      </w:r>
    </w:p>
    <w:p>
      <w:r>
        <w:t>Estado: contrastado en fuente oficial</w:t>
      </w:r>
    </w:p>
    <w:p>
      <w:r>
        <w:t>Comprobado: Competencias, niveles, dependencias y funciones seleccionadas. Se leyó la derogatoria del Decreto 4048 en el art. 84 y la transición del art. 83. No se observaron notas de modificación en los apartados usados.</w:t>
      </w:r>
    </w:p>
    <w:p>
      <w:r>
        <w:t>Límites: Sin corte normativo del concurso identificado. No se verificó cada concordancia ni cada acto interno que implementa o distribuye funciones. No identifica adscripción de la OPEC. La fecha editorial de actualización no fue visible en el HTML recibido.</w:t>
      </w:r>
    </w:p>
    <w:p>
      <w:pPr>
        <w:pStyle w:val="Heading2"/>
      </w:pPr>
      <w:r>
        <w:t>OF-L594 · Ley 594 de 2000 · Ley General de Archivos</w:t>
      </w:r>
    </w:p>
    <w:p>
      <w:r>
        <w:t>Congreso de Colombia; compilación jurídica de la DIAN</w:t>
      </w:r>
    </w:p>
    <w:p>
      <w:r>
        <w:t>Fecha: 2000-07-14; versión: Texto de la fuente consultado el 2026-10-19</w:t>
      </w:r>
    </w:p>
    <w:p>
      <w:r>
        <w:t>Archivo/URL: https://normograma.dian.gov.co/dian/compilacion/docs/ley_0594_2000.htm</w:t>
      </w:r>
    </w:p>
    <w:p>
      <w:r>
        <w:t>Consulta: 2026-10-19; localizador: Documento completo; evaluación limitada a arts. 3, 11, 19, 21–26, 49; art. 52 y nota de vigencia</w:t>
      </w:r>
    </w:p>
    <w:p>
      <w:r>
        <w:t>Estado: contrastado en fuente oficial</w:t>
      </w:r>
    </w:p>
    <w:p>
      <w:r>
        <w:t>Comprobado: Definiciones, ciclo vital, tablas, inventarios y límites de reproducción. Notas: publicación anterior DO 44.084 de 14/07/2000 y encabezado DO 44.093 de 20/07/2000. Art. 52 sobre vigencia/derogatorias leído; sin nota de sustitución en artículos usados.</w:t>
      </w:r>
    </w:p>
    <w:p>
      <w:r>
        <w:t>Límites: No se enseña procedimiento de eliminación ni plazos de series. La compilación enlaza Acuerdo Único AGN 1 de 2024: reglamentación específica aún no leída. No se usan sanciones, reservas o remisiones antiguas del resto de la ley. Corte de examen desconocido.</w:t>
      </w:r>
    </w:p>
    <w:p>
      <w:pPr>
        <w:pStyle w:val="Heading2"/>
      </w:pPr>
      <w:r>
        <w:t>OF-EXCEL · Función SUMA</w:t>
      </w:r>
    </w:p>
    <w:p>
      <w:r>
        <w:t>Microsoft Support</w:t>
      </w:r>
    </w:p>
    <w:p>
      <w:r>
        <w:t>Fecha: no disponible; versión: Texto de la fuente consultado el 2026-10-19</w:t>
      </w:r>
    </w:p>
    <w:p>
      <w:r>
        <w:t>Archivo/URL: https://support.microsoft.com/es-es/excel/functions/sum-function</w:t>
      </w:r>
    </w:p>
    <w:p>
      <w:r>
        <w:t>Consulta: 2026-10-19; localizador: Página completa: sintaxis, ejemplos, prácticas recomendadas y preguntas frecuentes</w:t>
      </w:r>
    </w:p>
    <w:p>
      <w:r>
        <w:t>Estado: contrastado en fuente oficial</w:t>
      </w:r>
    </w:p>
    <w:p>
      <w:r>
        <w:t>Comprobado: SUMA con números, referencias y rangos; texto en referencias; rangos y celdas visibles. Aplicación: Microsoft 365 y Excel 2024, 2021, 2019 y 2016, según la página.</w:t>
      </w:r>
    </w:p>
    <w:p>
      <w:r>
        <w:t>Límites: Sin fecha editorial visible. La prueba no identifica producto ni edición: Excel es una selección pedagógica. Separadores dependen de configuración regional. Se excluyen frases ambiguas de traducción y no se enseñan todos los programas de ofimática.</w:t>
      </w:r>
    </w:p>
    <w:p>
      <w:pPr>
        <w:pStyle w:val="Heading2"/>
      </w:pPr>
      <w:r>
        <w:t>OF-PRESENTACION · Presentación de la entidad</w:t>
      </w:r>
    </w:p>
    <w:p>
      <w:r>
        <w:t>DIAN</w:t>
      </w:r>
    </w:p>
    <w:p>
      <w:r>
        <w:t>Fecha: no disponible; versión: Texto de la fuente consultado el 2026-10-19</w:t>
      </w:r>
    </w:p>
    <w:p>
      <w:r>
        <w:t>Archivo/URL: https://www.dian.gov.co/dian/entidad/Paginas/Presentacion.aspx</w:t>
      </w:r>
    </w:p>
    <w:p>
      <w:r>
        <w:t>Consulta: 2026-10-19; localizador: Página completa, especialmente objeto y apartado de funciones</w:t>
      </w:r>
    </w:p>
    <w:p>
      <w:r>
        <w:t>Estado: contrastado en fuente oficial</w:t>
      </w:r>
    </w:p>
    <w:p>
      <w:r>
        <w:t>Comprobado: Se constató que el portal remite al Decreto 1742 y también reproduce un listado del Decreto 4048. Se registró la mezcla de referencias.</w:t>
      </w:r>
    </w:p>
    <w:p>
      <w:r>
        <w:t>Límites: No sustenta claves. Se resuelve la referencia antigua con el art. 84 del Decreto 1742, que deroga el 4048. No se toma el listado antiguo del portal como funciones vigentes.</w:t>
      </w:r>
    </w:p>
    <w:p>
      <w:pPr>
        <w:pStyle w:val="Heading2"/>
      </w:pPr>
      <w:r>
        <w:t>ADJ-ESTUDIO · MATERIAL DE ESTUDIO · documento aportado</w:t>
      </w:r>
    </w:p>
    <w:p>
      <w:r>
        <w:t>Documento proporcionado por la usuaria; fuente secundaria</w:t>
      </w:r>
    </w:p>
    <w:p>
      <w:r>
        <w:t>Fecha: no disponible; versión: Archivo aportado el 20/10/2026</w:t>
      </w:r>
    </w:p>
    <w:p>
      <w:r>
        <w:t>Archivo/URL: ./docs/analisis-materiales-ampliacion.md</w:t>
      </w:r>
    </w:p>
    <w:p>
      <w:r>
        <w:t>Consulta: 2026-10-20; localizador: Ver análisis de los materiales y localizadores en cada lección</w:t>
      </w:r>
    </w:p>
    <w:p>
      <w:r>
        <w:t>Estado: analizado; no es fuente oficial</w:t>
      </w:r>
    </w:p>
    <w:p>
      <w:r>
        <w:t>Comprobado: Mapa temático, tablas y situaciones de estudio: 518 párrafos con texto y 78 imágenes revisadas mediante extracción y OCR; tablas finales de valores inspeccionadas.</w:t>
      </w:r>
    </w:p>
    <w:p>
      <w:r>
        <w:t>Límites: Fuente secundaria. Contiene datos de inscripción que no se publican; errores de rótulos en valores y un encabezado de competencia sin desarrollo. No certifica vigencia ni reglas del concurso.</w:t>
      </w:r>
    </w:p>
    <w:p>
      <w:pPr>
        <w:pStyle w:val="Heading2"/>
      </w:pPr>
      <w:r>
        <w:t>ADJ-SIMULACRO · Simulacro DIAN 2676 · OPEC 242699 · ConMérito</w:t>
      </w:r>
    </w:p>
    <w:p>
      <w:r>
        <w:t>Documento proporcionado por la usuaria; fuente secundaria</w:t>
      </w:r>
    </w:p>
    <w:p>
      <w:r>
        <w:t>Fecha: no disponible; versión: Archivo aportado el 20/10/2026</w:t>
      </w:r>
    </w:p>
    <w:p>
      <w:r>
        <w:t>Archivo/URL: ./docs/analisis-materiales-ampliacion.md</w:t>
      </w:r>
    </w:p>
    <w:p>
      <w:r>
        <w:t>Consulta: 2026-10-20; localizador: Ver análisis de los materiales y localizadores en cada lección</w:t>
      </w:r>
    </w:p>
    <w:p>
      <w:r>
        <w:t>Estado: analizado; no es fuente oficial</w:t>
      </w:r>
    </w:p>
    <w:p>
      <w:r>
        <w:t>Comprobado: 204 páginas PDF: portada, secciones, matriz temática, 257 justificaciones funcionales y 40 afirmaciones comportamentales/de integridad. Orienta el diseño de casos originales.</w:t>
      </w:r>
    </w:p>
    <w:p>
      <w:r>
        <w:t>Límites: Material de un tercero, no oficial. Aparece la ficha AT-OP-3015 en una cabecera y TP-DE-2013 en otras. Cita una guía DIAN 2667 de 2025. No se transfieren reglas ni perfiles esperados a la OPEC; sus 297 ítems no se importan como banco verificado.</w:t>
      </w:r>
    </w:p>
    <w:p>
      <w:pPr>
        <w:pStyle w:val="Heading2"/>
      </w:pPr>
      <w:r>
        <w:t>OF-D1082 · Decreto 1082 de 2015 · adquisiciones y transferencia gratuita</w:t>
      </w:r>
    </w:p>
    <w:p>
      <w:r>
        <w:t>Norma colombiana consultada en la compilación jurídica de la DIAN</w:t>
      </w:r>
    </w:p>
    <w:p>
      <w:r>
        <w:t>Fecha: 2015-05-26; versión: Texto compilado consultado; ver notas y límites</w:t>
      </w:r>
    </w:p>
    <w:p>
      <w:r>
        <w:t>Archivo/URL: https://normograma.dian.gov.co/dian/compilacion/docs/decreto_1082_2015.htm</w:t>
      </w:r>
    </w:p>
    <w:p>
      <w:r>
        <w:t>Consulta: 2026-10-20; localizador: Artículos 2.2.1.1.1.4.1, 2.2.1.1.1.4.2, 2.2.1.1.1.4.4, 2.2.1.1.2.1.1, 2.2.1.2.2.4.3</w:t>
      </w:r>
    </w:p>
    <w:p>
      <w:r>
        <w:t>Estado: revisión documental completada</w:t>
      </w:r>
    </w:p>
    <w:p>
      <w:r>
        <w:t>Comprobado: Fundamento de las lecciones y preguntas que citan los artículos seleccionados.</w:t>
      </w:r>
    </w:p>
    <w:p>
      <w:r>
        <w:t>Límites: La compilación anota modificación del art. 2.2.1.1.2.1.1 por Decreto 997 de 2026 y entrada progresiva. Se enseñan elementos comunes de planeación; no se afirma su calendario ni la aplicabilidad de cada requisito nuevo al examen.</w:t>
      </w:r>
    </w:p>
    <w:p>
      <w:pPr>
        <w:pStyle w:val="Heading2"/>
      </w:pPr>
      <w:r>
        <w:t>OF-D1068 · Decreto 1068 de 2015 · ejecución presupuestal, SIIF y caja menor</w:t>
      </w:r>
    </w:p>
    <w:p>
      <w:r>
        <w:t>Norma colombiana consultada en la compilación jurídica de la DIAN</w:t>
      </w:r>
    </w:p>
    <w:p>
      <w:r>
        <w:t>Fecha: 2015-05-26; versión: Texto compilado consultado; ver notas y límites</w:t>
      </w:r>
    </w:p>
    <w:p>
      <w:r>
        <w:t>Archivo/URL: https://normograma.dian.gov.co/dian/compilacion/docs/decreto_1068_2015.htm</w:t>
      </w:r>
    </w:p>
    <w:p>
      <w:r>
        <w:t>Consulta: 2026-10-20; localizador: Artículos 2.8.1.7.1, 2.8.1.7.2, 2.8.1.7.3, 2.8.1.7.6, 2.8.1.7.2.1, 2.8.1.7.3.1, 2.8.1.7.3.2, 2.9.1.1.2, 2.9.1.1.6, 2.9.1.2.10, 2.9.1.2.12, 2.8.5.2, 2.8.5.7, 2.8.5.8</w:t>
      </w:r>
    </w:p>
    <w:p>
      <w:r>
        <w:t>Estado: revisión documental completada</w:t>
      </w:r>
    </w:p>
    <w:p>
      <w:r>
        <w:t>Comprobado: Fundamento de las lecciones y preguntas que citan los artículos seleccionados.</w:t>
      </w:r>
    </w:p>
    <w:p>
      <w:r>
        <w:t>Límites: Apartados seleccionados, incluidas notas de modificación visibles. No se verificaron rutas de pantalla o perfiles internos de SIIF, ni se desarrollan todas las vigencias futuras o reglas anuales de austeridad.</w:t>
      </w:r>
    </w:p>
    <w:p>
      <w:pPr>
        <w:pStyle w:val="Heading2"/>
      </w:pPr>
      <w:r>
        <w:t>OF-D1165 · Decreto 1165 de 2019 · logística, traslado y disposición</w:t>
      </w:r>
    </w:p>
    <w:p>
      <w:r>
        <w:t>Norma colombiana consultada en la compilación jurídica de la DIAN</w:t>
      </w:r>
    </w:p>
    <w:p>
      <w:r>
        <w:t>Fecha: 2019-07-02; versión: Texto compilado consultado; ver notas y límites</w:t>
      </w:r>
    </w:p>
    <w:p>
      <w:r>
        <w:t>Archivo/URL: https://normograma.dian.gov.co/dian/compilacion/docs/decreto_1165_2019.htm</w:t>
      </w:r>
    </w:p>
    <w:p>
      <w:r>
        <w:t>Consulta: 2026-10-20; localizador: Artículos 732, 734, 735, 736, 737</w:t>
      </w:r>
    </w:p>
    <w:p>
      <w:r>
        <w:t>Estado: revisión documental completada</w:t>
      </w:r>
    </w:p>
    <w:p>
      <w:r>
        <w:t>Comprobado: Fundamento de las lecciones y preguntas que citan los artículos seleccionados.</w:t>
      </w:r>
    </w:p>
    <w:p>
      <w:r>
        <w:t>Límites: Se leyó el texto compilado y las notas visibles de modificación por Decreto 659 de 2024 en estos artículos. No se generaliza a todas las disposiciones del régimen ni a procedimientos internos no leídos.</w:t>
      </w:r>
    </w:p>
    <w:p>
      <w:pPr>
        <w:pStyle w:val="Heading2"/>
      </w:pPr>
      <w:r>
        <w:t>OF-L1474 · Ley 1474 de 2011 · supervisión e interventoría</w:t>
      </w:r>
    </w:p>
    <w:p>
      <w:r>
        <w:t>Norma colombiana consultada en la compilación jurídica de la DIAN</w:t>
      </w:r>
    </w:p>
    <w:p>
      <w:r>
        <w:t>Fecha: 2011-07-12; versión: Texto compilado consultado; ver notas y límites</w:t>
      </w:r>
    </w:p>
    <w:p>
      <w:r>
        <w:t>Archivo/URL: https://normograma.dian.gov.co/dian/compilacion/docs/ley_1474_2011.htm</w:t>
      </w:r>
    </w:p>
    <w:p>
      <w:r>
        <w:t>Consulta: 2026-10-20; localizador: Artículos 83, 84, 86</w:t>
      </w:r>
    </w:p>
    <w:p>
      <w:r>
        <w:t>Estado: revisión documental completada</w:t>
      </w:r>
    </w:p>
    <w:p>
      <w:r>
        <w:t>Comprobado: Fundamento de las lecciones y preguntas que citan los artículos seleccionados.</w:t>
      </w:r>
    </w:p>
    <w:p>
      <w:r>
        <w:t>Límites: Las preguntas usan seguimiento, deber de informar y competencia para decidir; no convierten remisiones disciplinarias antiguas o medidas de emergencia sanitaria en reglas actuales generales.</w:t>
      </w:r>
    </w:p>
    <w:p>
      <w:pPr>
        <w:pStyle w:val="Heading2"/>
      </w:pPr>
      <w:r>
        <w:t>OF-L527 · Ley 527 de 1999 · mensajes de datos y firma digital</w:t>
      </w:r>
    </w:p>
    <w:p>
      <w:r>
        <w:t>Norma colombiana consultada en la compilación jurídica de la DIAN</w:t>
      </w:r>
    </w:p>
    <w:p>
      <w:r>
        <w:t>Fecha: 1999-08-18; versión: Texto compilado consultado; ver notas y límites</w:t>
      </w:r>
    </w:p>
    <w:p>
      <w:r>
        <w:t>Archivo/URL: https://normograma.dian.gov.co/dian/compilacion/docs/ley_0527_1999.htm</w:t>
      </w:r>
    </w:p>
    <w:p>
      <w:r>
        <w:t>Consulta: 2026-10-20; localizador: Artículos 5, 6, 7, 8, 10, 28</w:t>
      </w:r>
    </w:p>
    <w:p>
      <w:r>
        <w:t>Estado: revisión documental completada</w:t>
      </w:r>
    </w:p>
    <w:p>
      <w:r>
        <w:t>Comprobado: Fundamento de las lecciones y preguntas que citan los artículos seleccionados.</w:t>
      </w:r>
    </w:p>
    <w:p>
      <w:r>
        <w:t>Límites: No equipara cualquier imagen de firma a una firma digital válida. No se afirma haber validado certificados reales ni cada reglamento técnico de firma.</w:t>
      </w:r>
    </w:p>
    <w:p>
      <w:pPr>
        <w:pStyle w:val="Heading2"/>
      </w:pPr>
      <w:r>
        <w:t>OF-L1712 · Ley 1712 de 2014 · acceso e información protegida</w:t>
      </w:r>
    </w:p>
    <w:p>
      <w:r>
        <w:t>Norma colombiana consultada en la compilación jurídica de la DIAN</w:t>
      </w:r>
    </w:p>
    <w:p>
      <w:r>
        <w:t>Fecha: 2014-03-06; versión: Texto compilado consultado; ver notas y límites</w:t>
      </w:r>
    </w:p>
    <w:p>
      <w:r>
        <w:t>Archivo/URL: https://normograma.dian.gov.co/dian/compilacion/docs/ley_1712_2014.htm</w:t>
      </w:r>
    </w:p>
    <w:p>
      <w:r>
        <w:t>Consulta: 2026-10-20; localizador: Artículos 2, 18, 19, 21</w:t>
      </w:r>
    </w:p>
    <w:p>
      <w:r>
        <w:t>Estado: revisión documental completada</w:t>
      </w:r>
    </w:p>
    <w:p>
      <w:r>
        <w:t>Comprobado: Fundamento de las lecciones y preguntas que citan los artículos seleccionados.</w:t>
      </w:r>
    </w:p>
    <w:p>
      <w:r>
        <w:t>Límites: Se leen distinciones y divulgación parcial con las notas visibles. Determinar la reserva de un caso real exige norma aplicable y análisis competente; no basta rotularlo confidencial.</w:t>
      </w:r>
    </w:p>
    <w:p>
      <w:pPr>
        <w:pStyle w:val="Heading2"/>
      </w:pPr>
      <w:r>
        <w:t>OF-L2586 · Ley 2586 de 2026 · acta de aprehensión y avalúo</w:t>
      </w:r>
    </w:p>
    <w:p>
      <w:r>
        <w:t>Norma colombiana consultada en la compilación jurídica de la DIAN</w:t>
      </w:r>
    </w:p>
    <w:p>
      <w:r>
        <w:t>Fecha: 2026-06-19; versión: Texto compilado consultado; ver notas y límites</w:t>
      </w:r>
    </w:p>
    <w:p>
      <w:r>
        <w:t>Archivo/URL: https://normograma.dian.gov.co/dian/compilacion/docs/ley_2586_2026.htm</w:t>
      </w:r>
    </w:p>
    <w:p>
      <w:r>
        <w:t>Consulta: 2026-10-20; localizador: Artículos 40, 44, 114</w:t>
      </w:r>
    </w:p>
    <w:p>
      <w:r>
        <w:t>Estado: revisión documental completada</w:t>
      </w:r>
    </w:p>
    <w:p>
      <w:r>
        <w:t>Comprobado: Fundamento de las lecciones y preguntas que citan los artículos seleccionados.</w:t>
      </w:r>
    </w:p>
    <w:p>
      <w:r>
        <w:t>Límites: El art. 114 establece vigencia desde promulgación y derogatoria del Decreto Ley 920 de 2023. Se desarrolla identificación y avalúo de ingreso, sin afirmar que esta fecha sea el corte normativo del concurso.</w:t>
      </w:r>
    </w:p>
    <w:p>
      <w:pPr>
        <w:pStyle w:val="Heading2"/>
      </w:pPr>
      <w:r>
        <w:t>OF-SUMARSI · Función SUMAR.SI · documentación Microsoft</w:t>
      </w:r>
    </w:p>
    <w:p>
      <w:r>
        <w:t>Microsoft Support</w:t>
      </w:r>
    </w:p>
    <w:p>
      <w:r>
        <w:t>Fecha: no disponible; versión: Página de soporte consultada; varias versiones de Excel</w:t>
      </w:r>
    </w:p>
    <w:p>
      <w:r>
        <w:t>Archivo/URL: https://support.microsoft.com/es-es/excel/functions/sumif-function</w:t>
      </w:r>
    </w:p>
    <w:p>
      <w:r>
        <w:t>Consulta: 2026-10-20; localizador: Descripción, sintaxis, rango, criterio y rango_suma; ejemplos</w:t>
      </w:r>
    </w:p>
    <w:p>
      <w:r>
        <w:t>Estado: revisión documental completada</w:t>
      </w:r>
    </w:p>
    <w:p>
      <w:r>
        <w:t>Comprobado: Suma con un criterio y rangos alineados. Los casos y sus datos numéricos son originales.</w:t>
      </w:r>
    </w:p>
    <w:p>
      <w:r>
        <w:t>Límites: No se presupone versión de Office en la prueba ni se enseña toda la ofimática. No se ejecutó Excel localmente. La traducción de algunos ejemplos es inconsistente; se usa la sintaxis y una tabla propia con etiquetas iguales.</w:t>
      </w:r>
    </w:p>
    <w:p>
      <w:pPr>
        <w:pStyle w:val="Heading1"/>
      </w:pPr>
      <w:r>
        <w:t>Pendientes antes de completar el curso</w:t>
      </w:r>
    </w:p>
    <w:p>
      <w:r>
        <w:t>Identidad del empleo — leído en adjunto. Analista I, código 201, grado 01, nivel técnico, TP-DE-2013. PDF páginas 1 y 2. Vigencia desde 15/04/2024 indicada en la ficha; no prueba de vigencia actual.</w:t>
      </w:r>
    </w:p>
    <w:p>
      <w:r>
        <w:t>OPEC 242699 — aportado por la usuaria. Número visible en la captura. No se ha establecido públicamente su proceso ni su correspondencia con TP-DE-2013.</w:t>
      </w:r>
    </w:p>
    <w:p>
      <w:r>
        <w:t>Indicadores — leído en adjunto. 9 de conocimiento, 10 entradas comportamentales con nivel y 5 valores. Correspondencia con OPEC pendiente. Los códigos no son pesos ni cantidades.</w:t>
      </w:r>
    </w:p>
    <w:p>
      <w:r>
        <w:t>Fecha objetivo — aportado por la usuaria. 8 de noviembre de 2026. No confirmada oficialmente.</w:t>
      </w:r>
    </w:p>
    <w:p>
      <w:r>
        <w:t>Proceso, acuerdo, anexos y modificaciones — pendiente de verificación. No se identifica una convocatoria como aplicable. No se transfieren reglas de otra DIAN.</w:t>
      </w:r>
    </w:p>
    <w:p>
      <w:r>
        <w:t>Guía, duración, formato, pesos, mínimos y corte normativo — pendiente de verificación. No disponibles en los adjuntos. Red externa rechazada; no se inventan reglas.</w:t>
      </w:r>
    </w:p>
    <w:p>
      <w:r>
        <w:t>Normativa y descriptores de nivel — fundamentos adicionales contrastados; pendientes delimitados. Se añaden apartados de Decretos 1082, 1068 y 1165, Leyes 1474, 527, 1712 y 2586 y Microsoft SUMAR.SI. No se certifican diccionario oficial de competencias, todo EOP/SIIF, procedimientos internos ni corte del examen.</w:t>
      </w:r>
    </w:p>
    <w:p>
      <w:r>
        <w:t>Relación entre adjuntos — alcances distintos sin resolver. El manual enumera temas más amplios que el Word y solo cuatro pares de competencia/nivel en su tabla final. Se conservan ambos sin reemplazar el listado. No se ha confirmado un conflicto aplicable a la OPEC.</w:t>
      </w:r>
    </w:p>
    <w:p>
      <w:r>
        <w:t>Ruta y puntuación — propuesta pedagógica. 19 sesiones de 60 minutos máximo; diagnóstico parcial; porcentaje simple sin penalización. No son reglas ni ponderaciones oficiales.</w:t>
      </w:r>
    </w:p>
    <w:p>
      <w:r>
        <w:t>Referencias antiguas del portal Presentación — diferencia resuelta para las claves. El portal cita Decreto 1742 y reproduce listado del 4048. El art. 84 del 1742 deroga el 4048: se excluye ese listado antiguo como fundamento. No se deduce vigencia por apariencia de página.</w:t>
      </w:r>
    </w:p>
    <w:p>
      <w:r>
        <w:t>Nuevos materiales de estudio — analizados como fuentes secundarias. Word: texto, tablas y 78 imágenes mediante OCR; tablas finales de valores comprobadas visualmente. PDF: estructura, matriz temática y 257 justificaciones funcionales indexadas, más 40 afirmaciones. No se certifican individualmente sus 297 respuestas.</w:t>
      </w:r>
    </w:p>
    <w:p>
      <w:r>
        <w:t>Rótulos de valores y descriptor incompleto — error interno identificado. El cuerpo del Word cruza Justicia con Respeto y repite Diligencia bajo Respeto; las tablas finales separan los cinco valores. Comunicación efectiva nivel 2 tiene encabezado sin desarrollo. Se corrigen rótulos didácticos y no se inventa ese descriptor.</w:t>
      </w:r>
    </w:p>
    <w:p>
      <w:r>
        <w:t>Alcance del simulacro de ConMérito — no se transfieren sus reglas. Portada TP-DE-2013 frente a cabecera AT-OP-3015; referencia a guía DIAN 2667 de 2025; 297 preguntas y 4 h 30 min son datos de ese material, no reglas oficiales verificadas de esta aplicación.</w:t>
      </w:r>
    </w:p>
    <w:p>
      <w:r>
        <w:t>Normas nuevas localizadas — apartados oficiales contrastados. Decretos 1082, 1068 y 1165; Leyes 1474, 527, 1712 y 2586; soporte Microsoft de SUMAR.SI. Se archivan apartados y límites. La reforma progresiva de estudios previos de 2026 y el corte del examen no se dan por aplicables automáticamente.</w:t>
      </w:r>
    </w:p>
    <w:p>
      <w:pPr>
        <w:pStyle w:val="Heading1"/>
      </w:pPr>
      <w:r>
        <w:t>Avance y respaldo</w:t>
      </w:r>
    </w:p>
    <w:p>
      <w:r>
        <w:t>Las lecturas completadas y bloques de estudio son registros de actividad, no certificación de dominio. Un acierto aislado no basta. El historial de errores se conserva aunque después aciertes. El repaso se programa a 1 día tras error y luego a 3 y 7 días con aciertos consecutivos.</w:t>
      </w:r>
    </w:p>
    <w:p>
      <w:r>
        <w:t>El navegador guarda localmente, sin cuenta. No sincroniza dispositivos. Borrar datos puede borrar el avance. Exporta JSON y guárdalo; importa con validación y confirmación para trasladarlo. Evita notas con datos personales o información real de trabajo.</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Contenido parcial ·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RUTA 242699  /  MATERIAL INDEPENDIENTE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D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4D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4D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64D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