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TBD</w:t>
      </w:r>
    </w:p>
    <w:p>
      <w:pPr>
        <w:pStyle w:val="Author"/>
      </w:pPr>
      <w:r>
        <w:t xml:space="preserve">Thomas Jenewein et. al.</w:t>
      </w:r>
    </w:p>
    <w:p>
      <w:pPr>
        <w:pStyle w:val="Date"/>
      </w:pPr>
      <w:r>
        <w:t xml:space="preserve">Version TBD (TBD)</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p>
    <w:p>
      <w:pPr>
        <w:pStyle w:val="BodyText"/>
      </w:pPr>
      <w:r>
        <w:t xml:space="preserve">Ziel des Leitfadens: TBD</w:t>
      </w:r>
    </w:p>
    <w:p>
      <w:pPr>
        <w:pStyle w:val="BodyText"/>
      </w:pPr>
      <w:r>
        <w:t xml:space="preserve">Zielgruppe: TBD</w:t>
      </w:r>
    </w:p>
    <w:bookmarkEnd w:id="20"/>
    <w:bookmarkStart w:id="25" w:name="über-lernos"/>
    <w:p>
      <w:pPr>
        <w:pStyle w:val="Heading1"/>
      </w:pPr>
      <w:r>
        <w:rPr>
          <w:rStyle w:val="SectionNumber"/>
        </w:rPr>
        <w:t xml:space="preserve">2</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3" name="Picture"/>
            <a:graphic>
              <a:graphicData uri="http://schemas.openxmlformats.org/drawingml/2006/picture">
                <pic:pic>
                  <pic:nvPicPr>
                    <pic:cNvPr descr="https://i.creativecommons.org/l/by/4.0/88x31.png" id="24"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bCs/>
        </w:rPr>
        <w:t xml:space="preserve">Du darfst:</w:t>
      </w:r>
    </w:p>
    <w:p>
      <w:pPr>
        <w:pStyle w:val="Compact"/>
        <w:numPr>
          <w:ilvl w:val="0"/>
          <w:numId w:val="1001"/>
        </w:numPr>
      </w:pPr>
      <w:r>
        <w:rPr>
          <w:b/>
          <w:bCs/>
        </w:rPr>
        <w:t xml:space="preserve">Teilen</w:t>
      </w:r>
      <w:r>
        <w:t xml:space="preserve"> </w:t>
      </w:r>
      <w:r>
        <w:t xml:space="preserve">- das Material in jedwedem Format oder Medium vervielfältigen und weiterverbreiten.</w:t>
      </w:r>
    </w:p>
    <w:p>
      <w:pPr>
        <w:pStyle w:val="Compact"/>
        <w:numPr>
          <w:ilvl w:val="0"/>
          <w:numId w:val="1001"/>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2"/>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2"/>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5"/>
    <w:bookmarkStart w:id="26" w:name="grundlagen"/>
    <w:p>
      <w:pPr>
        <w:pStyle w:val="Heading1"/>
      </w:pPr>
      <w:r>
        <w:rPr>
          <w:rStyle w:val="SectionNumber"/>
        </w:rPr>
        <w:t xml:space="preserve">3</w:t>
      </w:r>
      <w:r>
        <w:tab/>
      </w:r>
      <w:r>
        <w:t xml:space="preserve">Grundlagen</w:t>
      </w:r>
    </w:p>
    <w:p>
      <w:pPr>
        <w:pStyle w:val="BlockText"/>
      </w:pPr>
      <w:r>
        <w:t xml:space="preserve">GRUNDLAGEN HIER ODER IN KAPITEL 1-X-…-md EINFÜGEN</w:t>
      </w:r>
    </w:p>
    <w:bookmarkEnd w:id="26"/>
    <w:bookmarkStart w:id="27" w:name="lernpfad"/>
    <w:p>
      <w:pPr>
        <w:pStyle w:val="Heading1"/>
      </w:pPr>
      <w:r>
        <w:rPr>
          <w:rStyle w:val="SectionNumber"/>
        </w:rPr>
        <w:t xml:space="preserve">4</w:t>
      </w:r>
      <w:r>
        <w:tab/>
      </w:r>
      <w:r>
        <w:t xml:space="preserve">Lernpfad</w:t>
      </w:r>
    </w:p>
    <w:p>
      <w:pPr>
        <w:pStyle w:val="BlockText"/>
      </w:pPr>
      <w:r>
        <w:t xml:space="preserve">LERNPFAD HIER EINFÜGEN</w:t>
      </w:r>
    </w:p>
    <w:bookmarkEnd w:id="27"/>
    <w:bookmarkStart w:id="31" w:name="anhang"/>
    <w:p>
      <w:pPr>
        <w:pStyle w:val="Heading1"/>
      </w:pPr>
      <w:r>
        <w:rPr>
          <w:rStyle w:val="SectionNumber"/>
        </w:rPr>
        <w:t xml:space="preserve">5</w:t>
      </w:r>
      <w:r>
        <w:tab/>
      </w:r>
      <w:r>
        <w:t xml:space="preserve">Anhang</w:t>
      </w:r>
    </w:p>
    <w:bookmarkStart w:id="28" w:name="danksagungen"/>
    <w:p>
      <w:pPr>
        <w:pStyle w:val="Heading2"/>
      </w:pPr>
      <w:r>
        <w:rPr>
          <w:rStyle w:val="SectionNumber"/>
        </w:rPr>
        <w:t xml:space="preserve">5.1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w:t>
      </w:r>
      <w:r>
        <w:t xml:space="preserve"> </w:t>
      </w:r>
      <w:r>
        <w:t xml:space="preserve">- Simon Dückert und Cogneon für lernOS</w:t>
      </w:r>
    </w:p>
    <w:bookmarkEnd w:id="28"/>
    <w:bookmarkStart w:id="29"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0.1</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TBD</w:t>
            </w:r>
          </w:p>
        </w:tc>
      </w:tr>
    </w:tbl>
    <w:bookmarkEnd w:id="29"/>
    <w:bookmarkStart w:id="30" w:name="lernos-glossar"/>
    <w:p>
      <w:pPr>
        <w:pStyle w:val="Heading2"/>
      </w:pPr>
      <w:r>
        <w:rPr>
          <w:rStyle w:val="SectionNumber"/>
        </w:rPr>
        <w:t xml:space="preserve">5.3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1"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2025-04-02T22:32:55Z</dcterms:created>
  <dcterms:modified xsi:type="dcterms:W3CDTF">2025-04-02T22:32:55Z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TBD (TBD)</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TBD</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