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Four Narrative Strategies for Puzzle Design</w:t>
      </w:r>
    </w:p>
    <w:bookmarkStart w:id="40" w:name="Xc00395a420fcf69d9f8001678576d2243526f58"/>
    <w:p>
      <w:pPr>
        <w:pStyle w:val="Heading1"/>
      </w:pPr>
      <w:r>
        <w:t xml:space="preserve">Four Narrative Strategies for Puzzle Design: Preliminary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2, 2026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Bert Baumgaertner, University of Idaho</w:t>
      </w:r>
      <w:r>
        <w:t xml:space="preserve"> </w:t>
      </w:r>
      <w:r>
        <w:rPr>
          <w:b/>
          <w:bCs/>
        </w:rPr>
        <w:t xml:space="preserve">Frameworks:</w:t>
      </w:r>
      <w:r>
        <w:t xml:space="preserve"> </w:t>
      </w:r>
      <w:r>
        <w:t xml:space="preserve">ABT (Randy Olson), Story Prism (Erin James, University of Idaho)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We tested whether narrative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(ABT vs. AAA) or narrative</w:t>
      </w:r>
      <w:r>
        <w:t xml:space="preserve"> </w:t>
      </w:r>
      <w:r>
        <w:rPr>
          <w:i/>
          <w:iCs/>
        </w:rPr>
        <w:t xml:space="preserve">facet choice</w:t>
      </w:r>
      <w:r>
        <w:t xml:space="preserve"> </w:t>
      </w:r>
      <w:r>
        <w:t xml:space="preserve">(Story Prism) matters more for producing strong NARC puzzles. Using 20 controlled paired variants — same grids, same answer, only the narrative changed — we found: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ABT structure has a small positive effect.</w:t>
      </w:r>
      <w:r>
        <w:t xml:space="preserve"> </w:t>
      </w:r>
      <w:r>
        <w:t xml:space="preserve">Adding an explicit</w:t>
      </w:r>
      <w:r>
        <w:t xml:space="preserve"> </w:t>
      </w:r>
      <w:r>
        <w:t xml:space="preserve">“But”</w:t>
      </w:r>
      <w:r>
        <w:t xml:space="preserve"> </w:t>
      </w:r>
      <w:r>
        <w:t xml:space="preserve">turned 1 additional puzzle from fail to NARC; removing it broke 1. The effect is real but modest.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Rich literary expression does not help AI solvers — and may hurt.</w:t>
      </w:r>
      <w:r>
        <w:t xml:space="preserve"> </w:t>
      </w:r>
      <w:r>
        <w:t xml:space="preserve">Stripping characters, sensory detail, and narrative voice from rich narratives</w:t>
      </w:r>
      <w:r>
        <w:t xml:space="preserve"> </w:t>
      </w:r>
      <w:r>
        <w:rPr>
          <w:i/>
          <w:iCs/>
        </w:rPr>
        <w:t xml:space="preserve">improved</w:t>
      </w:r>
      <w:r>
        <w:t xml:space="preserve"> </w:t>
      </w:r>
      <w:r>
        <w:t xml:space="preserve">performance on 1 puzzle and maintained it on the rest (4/5 → 5/5).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matters is what information is foregrounded, not how literarily it is expressed.</w:t>
      </w:r>
      <w:r>
        <w:t xml:space="preserve"> </w:t>
      </w:r>
      <w:r>
        <w:t xml:space="preserve">The clinical version</w:t>
      </w:r>
      <w:r>
        <w:t xml:space="preserve"> </w:t>
      </w:r>
      <w:r>
        <w:t xml:space="preserve">“water rises one level per day; levee resets to day-2 level”</w:t>
      </w:r>
      <w:r>
        <w:t xml:space="preserve"> </w:t>
      </w:r>
      <w:r>
        <w:t xml:space="preserve">works as well or better for AI than</w:t>
      </w:r>
      <w:r>
        <w:t xml:space="preserve"> </w:t>
      </w:r>
      <w:r>
        <w:t xml:space="preserve">“The Patel family watched from their porch as the river swallowed the fields.”</w:t>
      </w:r>
    </w:p>
    <w:p>
      <w:pPr>
        <w:pStyle w:val="FirstParagraph"/>
      </w:pPr>
      <w:r>
        <w:t xml:space="preserve">These preliminary results suggest that the Story Prism’s value for AI puzzle-solving lies in its</w:t>
      </w:r>
      <w:r>
        <w:t xml:space="preserve"> </w:t>
      </w:r>
      <w:r>
        <w:rPr>
          <w:i/>
          <w:iCs/>
        </w:rPr>
        <w:t xml:space="preserve">selection</w:t>
      </w:r>
      <w:r>
        <w:t xml:space="preserve"> </w:t>
      </w:r>
      <w:r>
        <w:t xml:space="preserve">function (which aspects of the story to foreground) rather than its</w:t>
      </w:r>
      <w:r>
        <w:t xml:space="preserve"> </w:t>
      </w:r>
      <w:r>
        <w:rPr>
          <w:i/>
          <w:iCs/>
        </w:rPr>
        <w:t xml:space="preserve">expression</w:t>
      </w:r>
      <w:r>
        <w:t xml:space="preserve"> </w:t>
      </w:r>
      <w:r>
        <w:t xml:space="preserve">function (how richly to render those aspects).</w:t>
      </w:r>
    </w:p>
    <w:p>
      <w:r>
        <w:pict>
          <v:rect style="width:0;height:1.5pt" o:hralign="center" o:hrstd="t" o:hr="t"/>
        </w:pict>
      </w:r>
    </w:p>
    <w:bookmarkEnd w:id="9"/>
    <w:bookmarkStart w:id="10" w:name="the-four-strategies"/>
    <w:p>
      <w:pPr>
        <w:pStyle w:val="Heading2"/>
      </w:pPr>
      <w:r>
        <w:t xml:space="preserve">The Four Strategies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What it controls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ABT</w:t>
            </w:r>
            <w:r>
              <w:t xml:space="preserve"> </w:t>
            </w:r>
            <w:r>
              <w:t xml:space="preserve">(And, But, Therefore)</w:t>
            </w:r>
          </w:p>
        </w:tc>
        <w:tc>
          <w:tcPr/>
          <w:p>
            <w:pPr>
              <w:pStyle w:val="Compact"/>
            </w:pPr>
            <w:r>
              <w:t xml:space="preserve">Narrative structure: setup → contradiction → consequence</w:t>
            </w:r>
          </w:p>
        </w:tc>
        <w:tc>
          <w:tcPr/>
          <w:p>
            <w:pPr>
              <w:pStyle w:val="Compact"/>
            </w:pPr>
            <w:r>
              <w:t xml:space="preserve">Randy Olson (2012)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AAA</w:t>
            </w:r>
            <w:r>
              <w:t xml:space="preserve"> </w:t>
            </w:r>
            <w:r>
              <w:t xml:space="preserve">(And, And, And)</w:t>
            </w:r>
          </w:p>
        </w:tc>
        <w:tc>
          <w:tcPr/>
          <w:p>
            <w:pPr>
              <w:pStyle w:val="Compact"/>
            </w:pPr>
            <w:r>
              <w:t xml:space="preserve">Linear accumulation of facts, no contradiction</w:t>
            </w:r>
          </w:p>
        </w:tc>
        <w:tc>
          <w:tcPr/>
          <w:p>
            <w:pPr>
              <w:pStyle w:val="Compact"/>
            </w:pPr>
            <w:r>
              <w:t xml:space="preserve">Olson’s</w:t>
            </w:r>
            <w:r>
              <w:t xml:space="preserve"> </w:t>
            </w:r>
            <w:r>
              <w:t xml:space="preserve">“non-narrative”</w:t>
            </w:r>
            <w:r>
              <w:t xml:space="preserve"> </w:t>
            </w: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DHY</w:t>
            </w:r>
            <w:r>
              <w:t xml:space="preserve"> </w:t>
            </w:r>
            <w:r>
              <w:t xml:space="preserve">(Despite, However, Yet)</w:t>
            </w:r>
          </w:p>
        </w:tc>
        <w:tc>
          <w:tcPr/>
          <w:p>
            <w:pPr>
              <w:pStyle w:val="Compact"/>
            </w:pPr>
            <w:r>
              <w:t xml:space="preserve">Multiple contradictions, overly complex</w:t>
            </w:r>
          </w:p>
        </w:tc>
        <w:tc>
          <w:tcPr/>
          <w:p>
            <w:pPr>
              <w:pStyle w:val="Compact"/>
            </w:pPr>
            <w:r>
              <w:t xml:space="preserve">Olson’s</w:t>
            </w:r>
            <w:r>
              <w:t xml:space="preserve"> </w:t>
            </w:r>
            <w:r>
              <w:t xml:space="preserve">“over-narrative”</w:t>
            </w:r>
            <w:r>
              <w:t xml:space="preserve"> </w:t>
            </w: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Prism</w:t>
            </w:r>
          </w:p>
        </w:tc>
        <w:tc>
          <w:tcPr/>
          <w:p>
            <w:pPr>
              <w:pStyle w:val="Compact"/>
            </w:pPr>
            <w:r>
              <w:t xml:space="preserve">Which narrative facet is foregrounded: Teller, World, Events, Actors, Feeling</w:t>
            </w:r>
          </w:p>
        </w:tc>
        <w:tc>
          <w:tcPr/>
          <w:p>
            <w:pPr>
              <w:pStyle w:val="Compact"/>
            </w:pPr>
            <w:r>
              <w:t xml:space="preserve">Erin James</w:t>
            </w:r>
          </w:p>
        </w:tc>
      </w:tr>
    </w:tbl>
    <w:p>
      <w:pPr>
        <w:pStyle w:val="BodyText"/>
      </w:pPr>
      <w:r>
        <w:t xml:space="preserve">ABT and Story Prism are orthogonal — a narrative can be ABT-structured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Teller-forward, or AAA-structured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Feeling-forward. This enables a 2×2 experimental design.</w:t>
      </w:r>
    </w:p>
    <w:p>
      <w:r>
        <w:pict>
          <v:rect style="width:0;height:1.5pt" o:hralign="center" o:hrstd="t" o:hr="t"/>
        </w:pict>
      </w:r>
    </w:p>
    <w:bookmarkEnd w:id="10"/>
    <w:bookmarkStart w:id="11" w:name="corpus-classification"/>
    <w:p>
      <w:pPr>
        <w:pStyle w:val="Heading2"/>
      </w:pPr>
      <w:r>
        <w:t xml:space="preserve">Corpus Classification</w:t>
      </w:r>
    </w:p>
    <w:p>
      <w:pPr>
        <w:pStyle w:val="FirstParagraph"/>
      </w:pPr>
      <w:r>
        <w:t xml:space="preserve">All 252 NARC narratives were classified on the ABT spectrum using keyword heuristics with LLM-assisted borderline 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AAA (linear)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ABT-explicit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ABT-implicit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DHY (over-narrative)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</w:tbl>
    <w:p>
      <w:pPr>
        <w:pStyle w:val="BodyText"/>
      </w:pPr>
      <w:r>
        <w:t xml:space="preserve">The high AAA rate (68%) reflects the spectrum series (100 algorithmic puzzles with linear descriptions) and the AI-native series (procedural technical narratives).</w:t>
      </w:r>
    </w:p>
    <w:p>
      <w:r>
        <w:pict>
          <v:rect style="width:0;height:1.5pt" o:hralign="center" o:hrstd="t" o:hr="t"/>
        </w:pict>
      </w:r>
    </w:p>
    <w:bookmarkEnd w:id="11"/>
    <w:bookmarkStart w:id="29" w:name="the-central-experiment"/>
    <w:p>
      <w:pPr>
        <w:pStyle w:val="Heading2"/>
      </w:pPr>
      <w:r>
        <w:t xml:space="preserve">The Central Experiment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t xml:space="preserve">20 paired variants across 4 conditions, tested on gpt-oss-120b. Each variant shares the same grids and answer as its original — only the narrative changes.</w:t>
      </w:r>
    </w:p>
    <w:bookmarkStart w:id="22" w:name="X09cebf64a9aa151dc059a4ae3eb47112e3fe83b"/>
    <w:p>
      <w:pPr>
        <w:pStyle w:val="Heading3"/>
      </w:pPr>
      <w:r>
        <w:t xml:space="preserve">Group A: Hold Facets Constant, Vary Structure</w:t>
      </w:r>
    </w:p>
    <w:p>
      <w:pPr>
        <w:pStyle w:val="FirstParagraph"/>
      </w:pPr>
      <w:r>
        <w:rPr>
          <w:b/>
          <w:bCs/>
        </w:rPr>
        <w:t xml:space="preserve">A1: AAA → ABT (added</w:t>
      </w:r>
      <w:r>
        <w:rPr>
          <w:b/>
          <w:bCs/>
        </w:rPr>
        <w:t xml:space="preserve"> </w:t>
      </w:r>
      <w:r>
        <w:rPr>
          <w:b/>
          <w:bCs/>
        </w:rPr>
        <w:t xml:space="preserve">“But”</w:t>
      </w:r>
      <w:r>
        <w:rPr>
          <w:b/>
          <w:bCs/>
        </w:rPr>
        <w:t xml:space="preserve"> </w:t>
      </w:r>
      <w:r>
        <w:rPr>
          <w:b/>
          <w:bCs/>
        </w:rPr>
        <w:t xml:space="preserve">to 5 puzzles)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Puzzle</w:t>
            </w:r>
          </w:p>
        </w:tc>
        <w:tc>
          <w:tcPr/>
          <w:p>
            <w:pPr>
              <w:pStyle w:val="Compact"/>
            </w:pPr>
            <w:r>
              <w:t xml:space="preserve">Original (AAA)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+ ABT</w:t>
            </w:r>
            <w:r>
              <w:t xml:space="preserve"> </w:t>
            </w:r>
            <w:r>
              <w:t xml:space="preserve">“But”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The Mirror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The Dial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worse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The Last Piece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The Tide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The Merge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</w:tbl>
    <w:p>
      <w:pPr>
        <w:pStyle w:val="BodyText"/>
      </w:pPr>
      <w:r>
        <w:t xml:space="preserve">Adding ABT structure:</w:t>
      </w:r>
      <w:r>
        <w:t xml:space="preserve"> </w:t>
      </w:r>
      <w:r>
        <w:rPr>
          <w:b/>
          <w:bCs/>
        </w:rPr>
        <w:t xml:space="preserve">3/5 → 4/5 correct.</w:t>
      </w:r>
      <w:r>
        <w:t xml:space="preserve"> </w:t>
      </w:r>
      <w:r>
        <w:t xml:space="preserve">One puzzle gained (The Tide — the explicit</w:t>
      </w:r>
      <w:r>
        <w:t xml:space="preserve"> </w:t>
      </w:r>
      <w:r>
        <w:t xml:space="preserve">“But”</w:t>
      </w:r>
      <w:r>
        <w:t xml:space="preserve"> </w:t>
      </w:r>
      <w:r>
        <w:t xml:space="preserve">at the seawall moment helped), one lost (The Dial — the added contradiction may have confused).</w:t>
      </w:r>
    </w:p>
    <w:p>
      <w:pPr>
        <w:pStyle w:val="BodyText"/>
      </w:pPr>
      <w:r>
        <w:t xml:space="preserve">Notable: The Tide went from unsolvable (0%) to correct with just a structural rewrite. The</w:t>
      </w:r>
      <w:r>
        <w:t xml:space="preserve"> </w:t>
      </w:r>
      <w:r>
        <w:t xml:space="preserve">“But”</w:t>
      </w:r>
      <w:r>
        <w:t xml:space="preserve"> </w:t>
      </w:r>
      <w:r>
        <w:t xml:space="preserve">made the seawall intervention salient. The Merge’s narrative-only also improved (0% → OK), showing ABT can help the model extract clues from narrative alone.</w:t>
      </w:r>
    </w:p>
    <w:p>
      <w:pPr>
        <w:pStyle w:val="BodyText"/>
      </w:pPr>
      <w:r>
        <w:rPr>
          <w:b/>
          <w:bCs/>
        </w:rPr>
        <w:t xml:space="preserve">A2: ABT → AAA (removed</w:t>
      </w:r>
      <w:r>
        <w:rPr>
          <w:b/>
          <w:bCs/>
        </w:rPr>
        <w:t xml:space="preserve"> </w:t>
      </w:r>
      <w:r>
        <w:rPr>
          <w:b/>
          <w:bCs/>
        </w:rPr>
        <w:t xml:space="preserve">“But”</w:t>
      </w:r>
      <w:r>
        <w:rPr>
          <w:b/>
          <w:bCs/>
        </w:rPr>
        <w:t xml:space="preserve"> </w:t>
      </w:r>
      <w:r>
        <w:rPr>
          <w:b/>
          <w:bCs/>
        </w:rPr>
        <w:t xml:space="preserve">from 5 puzzles)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Puzzle</w:t>
            </w:r>
          </w:p>
        </w:tc>
        <w:tc>
          <w:tcPr/>
          <w:p>
            <w:pPr>
              <w:pStyle w:val="Compact"/>
            </w:pPr>
            <w:r>
              <w:t xml:space="preserve">Original (ABT)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Flattened (AAA)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The Lighthouse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The Flood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The Confession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The Standing Ovation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The Lullaby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</w:tbl>
    <w:p>
      <w:pPr>
        <w:pStyle w:val="BodyText"/>
      </w:pPr>
      <w:r>
        <w:t xml:space="preserve">Removing ABT structure:</w:t>
      </w:r>
      <w:r>
        <w:t xml:space="preserve"> </w:t>
      </w:r>
      <w:r>
        <w:rPr>
          <w:b/>
          <w:bCs/>
        </w:rPr>
        <w:t xml:space="preserve">4/5 → 3/5 correct.</w:t>
      </w:r>
      <w:r>
        <w:t xml:space="preserve"> </w:t>
      </w:r>
      <w:r>
        <w:t xml:space="preserve">One puzzle broke (The Confession — the linear version lost the critical garden-panic pivot), three survived, one stayed broken.</w:t>
      </w:r>
    </w:p>
    <w:p>
      <w:pPr>
        <w:pStyle w:val="BodyText"/>
      </w:pPr>
      <w:r>
        <w:rPr>
          <w:b/>
          <w:bCs/>
        </w:rPr>
        <w:t xml:space="preserve">Group A verdict:</w:t>
      </w:r>
      <w:r>
        <w:t xml:space="preserve"> </w:t>
      </w:r>
      <w:r>
        <w:t xml:space="preserve">ABT structure has a small, puzzle-dependent effect. It helps when the contradiction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disambiguation clue (The Tide, The Confession). It’s irrelevant when the clue is encoded elsewhere.</w:t>
      </w:r>
    </w:p>
    <w:bookmarkEnd w:id="22"/>
    <w:bookmarkStart w:id="28" w:name="X34db71fdb9834f9ea84a2b26ed196b5361a3489"/>
    <w:p>
      <w:pPr>
        <w:pStyle w:val="Heading3"/>
      </w:pPr>
      <w:r>
        <w:t xml:space="preserve">Group B: Hold Structure Constant, Vary Facets</w:t>
      </w:r>
    </w:p>
    <w:p>
      <w:pPr>
        <w:pStyle w:val="FirstParagraph"/>
      </w:pPr>
      <w:r>
        <w:rPr>
          <w:b/>
          <w:bCs/>
        </w:rPr>
        <w:t xml:space="preserve">B1: Thin → Rich (added characters, sensory detail, voice to 5 puzzles)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Puzzle</w:t>
            </w:r>
          </w:p>
        </w:tc>
        <w:tc>
          <w:tcPr/>
          <w:p>
            <w:pPr>
              <w:pStyle w:val="Compact"/>
            </w:pPr>
            <w:r>
              <w:t xml:space="preserve">Original (thin)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+ Rich facets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The Quadrants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 Shoes (narc_013)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better but not OK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The Journey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better but not OK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The Heist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The Lid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better but not OK</w:t>
            </w:r>
          </w:p>
        </w:tc>
      </w:tr>
    </w:tbl>
    <w:p>
      <w:pPr>
        <w:pStyle w:val="BodyText"/>
      </w:pPr>
      <w:r>
        <w:t xml:space="preserve">Adding rich facets:</w:t>
      </w:r>
      <w:r>
        <w:t xml:space="preserve"> </w:t>
      </w:r>
      <w:r>
        <w:rPr>
          <w:b/>
          <w:bCs/>
        </w:rPr>
        <w:t xml:space="preserve">2/5 → 2/5 correct.</w:t>
      </w:r>
      <w:r>
        <w:t xml:space="preserve"> </w:t>
      </w:r>
      <w:r>
        <w:t xml:space="preserve">No new solves. Three puzzles improved in cell accuracy (0% → 60-80%) but didn’t cross the threshold. Rich expression lifts partial accuracy without achieving correctness.</w:t>
      </w:r>
    </w:p>
    <w:p>
      <w:pPr>
        <w:pStyle w:val="BodyText"/>
      </w:pPr>
      <w:r>
        <w:rPr>
          <w:b/>
          <w:bCs/>
        </w:rPr>
        <w:t xml:space="preserve">B2: Rich → Thin (stripped to impersonal clinical description for 5 puzzles)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Puzzle</w:t>
            </w:r>
          </w:p>
        </w:tc>
        <w:tc>
          <w:tcPr/>
          <w:p>
            <w:pPr>
              <w:pStyle w:val="Compact"/>
            </w:pPr>
            <w:r>
              <w:t xml:space="preserve">Original (rich)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Stripped (thin)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The Lighthouse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The Flood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The Captain’s 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The Confession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The Lullaby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</w:tbl>
    <w:p>
      <w:pPr>
        <w:pStyle w:val="BodyText"/>
      </w:pPr>
      <w:r>
        <w:t xml:space="preserve">Stripping to clinical:</w:t>
      </w:r>
      <w:r>
        <w:t xml:space="preserve"> </w:t>
      </w:r>
      <w:r>
        <w:rPr>
          <w:b/>
          <w:bCs/>
        </w:rPr>
        <w:t xml:space="preserve">4/5 → 5/5 correct.</w:t>
      </w:r>
      <w:r>
        <w:t xml:space="preserve"> </w:t>
      </w:r>
      <w:r>
        <w:t xml:space="preserve">The Flood, which was stuck at 83% with the rich Patel-family narrative, reached 100% with the clinical</w:t>
      </w:r>
      <w:r>
        <w:t xml:space="preserve"> </w:t>
      </w:r>
      <w:r>
        <w:t xml:space="preserve">“water rises one level; levee resets to day-2 level.”</w:t>
      </w:r>
      <w:r>
        <w:t xml:space="preserve"> </w:t>
      </w:r>
      <w:r>
        <w:t xml:space="preserve">No puzzle got worse.</w:t>
      </w:r>
    </w:p>
    <w:p>
      <w:pPr>
        <w:pStyle w:val="BodyText"/>
      </w:pPr>
      <w:r>
        <w:rPr>
          <w:b/>
          <w:bCs/>
        </w:rPr>
        <w:t xml:space="preserve">Group B verdict:</w:t>
      </w:r>
      <w:r>
        <w:t xml:space="preserve"> </w:t>
      </w:r>
      <w:r>
        <w:t xml:space="preserve">Rich literary expression does not help AI solvers. Clinical precision may actually be superior — the model doesn’t benefit from characters, sensory language, or narrative voice. It benefits from</w:t>
      </w:r>
      <w:r>
        <w:t xml:space="preserve"> </w:t>
      </w:r>
      <w:r>
        <w:rPr>
          <w:i/>
          <w:iCs/>
        </w:rPr>
        <w:t xml:space="preserve">clear, unambiguous specification of the transformation rule.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interpretation"/>
    <w:p>
      <w:pPr>
        <w:pStyle w:val="Heading2"/>
      </w:pPr>
      <w:r>
        <w:t xml:space="preserve">Interpretation</w:t>
      </w:r>
    </w:p>
    <w:bookmarkStart w:id="31" w:name="Xffdf18eae43d0bf6c235bc62c5e93c2e28be490"/>
    <w:p>
      <w:pPr>
        <w:pStyle w:val="Heading3"/>
      </w:pPr>
      <w:r>
        <w:t xml:space="preserve">What the Story Prism results actually showed</w:t>
      </w:r>
    </w:p>
    <w:p>
      <w:pPr>
        <w:pStyle w:val="FirstParagraph"/>
      </w:pPr>
      <w:r>
        <w:t xml:space="preserve">In the</w:t>
      </w:r>
      <w:r>
        <w:t xml:space="preserve"> </w:t>
      </w:r>
      <w:hyperlink r:id="rId30">
        <w:r>
          <w:rPr>
            <w:rStyle w:val="Hyperlink"/>
          </w:rPr>
          <w:t xml:space="preserve">earlier Story Prism report</w:t>
        </w:r>
      </w:hyperlink>
      <w:r>
        <w:t xml:space="preserve">, we found that puzzles with Teller, Feeling, or Actors tags showed ~80% NARC rates vs. ~30% for untagged puzzles. We interpreted this as</w:t>
      </w:r>
      <w:r>
        <w:t xml:space="preserve"> </w:t>
      </w:r>
      <w:r>
        <w:t xml:space="preserve">“facet richness produces better puzzles.”</w:t>
      </w:r>
    </w:p>
    <w:p>
      <w:pPr>
        <w:pStyle w:val="BodyText"/>
      </w:pPr>
      <w:r>
        <w:t xml:space="preserve">The ABT experiment complicates this. Stripping rich facets to clinical descriptions doesn’t hurt — and sometimes helps. This suggests the Story Prism advantage was not about</w:t>
      </w:r>
      <w:r>
        <w:t xml:space="preserve"> </w:t>
      </w:r>
      <w:r>
        <w:rPr>
          <w:i/>
          <w:iCs/>
        </w:rPr>
        <w:t xml:space="preserve">literary richness</w:t>
      </w:r>
      <w:r>
        <w:t xml:space="preserve"> </w:t>
      </w:r>
      <w:r>
        <w:t xml:space="preserve">but about</w:t>
      </w:r>
      <w:r>
        <w:t xml:space="preserve"> </w:t>
      </w:r>
      <w:r>
        <w:rPr>
          <w:b/>
          <w:bCs/>
        </w:rPr>
        <w:t xml:space="preserve">information selection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 Teller-forward narrative (first person) forces the author to commit to a specific perspective, which naturally foregrounds certain grid elements</w:t>
      </w:r>
    </w:p>
    <w:p>
      <w:pPr>
        <w:pStyle w:val="Compact"/>
        <w:numPr>
          <w:ilvl w:val="0"/>
          <w:numId w:val="1002"/>
        </w:numPr>
      </w:pPr>
      <w:r>
        <w:t xml:space="preserve">A Feeling-forward narrative forces attention to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(emotional arcs require before/after states), which encodes transformation rules</w:t>
      </w:r>
    </w:p>
    <w:p>
      <w:pPr>
        <w:pStyle w:val="Compact"/>
        <w:numPr>
          <w:ilvl w:val="0"/>
          <w:numId w:val="1002"/>
        </w:numPr>
      </w:pPr>
      <w:r>
        <w:t xml:space="preserve">An Actors-forward narrative forces identification of which elements are agents, which clarifies which cells to track</w:t>
      </w:r>
    </w:p>
    <w:p>
      <w:pPr>
        <w:pStyle w:val="FirstParagraph"/>
      </w:pPr>
      <w:r>
        <w:t xml:space="preserve">The facet acts as a</w:t>
      </w:r>
      <w:r>
        <w:t xml:space="preserve"> </w:t>
      </w:r>
      <w:r>
        <w:rPr>
          <w:b/>
          <w:bCs/>
        </w:rPr>
        <w:t xml:space="preserve">design constraint</w:t>
      </w:r>
      <w:r>
        <w:t xml:space="preserve"> </w:t>
      </w:r>
      <w:r>
        <w:t xml:space="preserve">that leads the puzzle author to include the right disambiguation information. The literary expression of that information (rich vs. clinical) is secondary.</w:t>
      </w:r>
    </w:p>
    <w:bookmarkEnd w:id="31"/>
    <w:bookmarkStart w:id="32" w:name="when-abt-matters"/>
    <w:p>
      <w:pPr>
        <w:pStyle w:val="Heading3"/>
      </w:pPr>
      <w:r>
        <w:t xml:space="preserve">When ABT matters</w:t>
      </w:r>
    </w:p>
    <w:p>
      <w:pPr>
        <w:pStyle w:val="FirstParagraph"/>
      </w:pPr>
      <w:r>
        <w:t xml:space="preserve">ABT structure helps specifically when</w:t>
      </w:r>
      <w:r>
        <w:t xml:space="preserve"> </w:t>
      </w:r>
      <w:r>
        <w:rPr>
          <w:b/>
          <w:bCs/>
        </w:rPr>
        <w:t xml:space="preserve">the contradiction IS the clue.</w:t>
      </w:r>
      <w:r>
        <w:t xml:space="preserve"> </w:t>
      </w:r>
      <w:r>
        <w:t xml:space="preserve">Examples:</w:t>
      </w:r>
      <w:r>
        <w:t xml:space="preserve"> </w:t>
      </w:r>
      <w:r>
        <w:t xml:space="preserve">- The Tide: the seawall intervention (the</w:t>
      </w:r>
      <w:r>
        <w:t xml:space="preserve"> </w:t>
      </w:r>
      <w:r>
        <w:t xml:space="preserve">“But”</w:t>
      </w:r>
      <w:r>
        <w:t xml:space="preserve">) is literally the disambiguation point</w:t>
      </w:r>
      <w:r>
        <w:t xml:space="preserve"> </w:t>
      </w:r>
      <w:r>
        <w:t xml:space="preserve">- The Confession: the garden-panic reversal (the</w:t>
      </w:r>
      <w:r>
        <w:t xml:space="preserve"> </w:t>
      </w:r>
      <w:r>
        <w:t xml:space="preserve">“But”</w:t>
      </w:r>
      <w:r>
        <w:t xml:space="preserve">) is what distinguishes the masked grid from a simple continuation</w:t>
      </w:r>
    </w:p>
    <w:p>
      <w:pPr>
        <w:pStyle w:val="BodyText"/>
      </w:pPr>
      <w:r>
        <w:t xml:space="preserve">When the clue is a</w:t>
      </w:r>
      <w:r>
        <w:t xml:space="preserve"> </w:t>
      </w:r>
      <w:r>
        <w:rPr>
          <w:i/>
          <w:iCs/>
        </w:rPr>
        <w:t xml:space="preserve">rule</w:t>
      </w:r>
      <w:r>
        <w:t xml:space="preserve"> </w:t>
      </w:r>
      <w:r>
        <w:t xml:space="preserve">(e.g.,</w:t>
      </w:r>
      <w:r>
        <w:t xml:space="preserve"> </w:t>
      </w:r>
      <w:r>
        <w:t xml:space="preserve">“clockwise, one position per hour”</w:t>
      </w:r>
      <w:r>
        <w:t xml:space="preserve">) rather than a</w:t>
      </w:r>
      <w:r>
        <w:t xml:space="preserve"> </w:t>
      </w:r>
      <w:r>
        <w:rPr>
          <w:i/>
          <w:iCs/>
        </w:rPr>
        <w:t xml:space="preserve">twist</w:t>
      </w:r>
      <w:r>
        <w:t xml:space="preserve">, ABT structure is irrelevant.</w:t>
      </w:r>
    </w:p>
    <w:bookmarkEnd w:id="32"/>
    <w:bookmarkStart w:id="33" w:name="the-compression-hypothesis"/>
    <w:p>
      <w:pPr>
        <w:pStyle w:val="Heading3"/>
      </w:pPr>
      <w:r>
        <w:t xml:space="preserve">The compression hypothesis</w:t>
      </w:r>
    </w:p>
    <w:p>
      <w:pPr>
        <w:pStyle w:val="FirstParagraph"/>
      </w:pPr>
      <w:r>
        <w:t xml:space="preserve">The B2 result (clinical descriptions outperforming rich ones) hints at something deeper:</w:t>
      </w:r>
      <w:r>
        <w:t xml:space="preserve"> </w:t>
      </w:r>
      <w:r>
        <w:rPr>
          <w:b/>
          <w:bCs/>
        </w:rPr>
        <w:t xml:space="preserve">narrative richness may be compression that AI doesn’t know how to decompress.</w:t>
      </w:r>
      <w:r>
        <w:t xml:space="preserve"> </w:t>
      </w:r>
      <w:r>
        <w:t xml:space="preserve">When we write</w:t>
      </w:r>
      <w:r>
        <w:t xml:space="preserve"> </w:t>
      </w:r>
      <w:r>
        <w:t xml:space="preserve">“The Patel family watched from their porch as the river swallowed the fields,”</w:t>
      </w:r>
      <w:r>
        <w:t xml:space="preserve"> </w:t>
      </w:r>
      <w:r>
        <w:t xml:space="preserve">we’ve compressed</w:t>
      </w:r>
      <w:r>
        <w:t xml:space="preserve"> </w:t>
      </w:r>
      <w:r>
        <w:t xml:space="preserve">“water level rises one row per day”</w:t>
      </w:r>
      <w:r>
        <w:t xml:space="preserve"> </w:t>
      </w:r>
      <w:r>
        <w:t xml:space="preserve">into a felt experience that a human unpacks intuitively. An LLM may struggle with the decompression step — it processes the characters, the porch, the emotion as additional tokens that dilute rather than clarify the grid-transformation signal.</w:t>
      </w:r>
    </w:p>
    <w:p>
      <w:pPr>
        <w:pStyle w:val="BodyText"/>
      </w:pPr>
      <w:r>
        <w:t xml:space="preserve">This deserves further investigation. If true, it would mean:</w:t>
      </w:r>
      <w:r>
        <w:t xml:space="preserve"> </w:t>
      </w:r>
      <w:r>
        <w:t xml:space="preserve">- For</w:t>
      </w:r>
      <w:r>
        <w:t xml:space="preserve"> </w:t>
      </w:r>
      <w:r>
        <w:rPr>
          <w:b/>
          <w:bCs/>
        </w:rPr>
        <w:t xml:space="preserve">human solvers</w:t>
      </w:r>
      <w:r>
        <w:t xml:space="preserve">, rich narrative is helpful (compression aids intuition)</w:t>
      </w:r>
      <w:r>
        <w:t xml:space="preserve"> </w:t>
      </w:r>
      <w:r>
        <w:t xml:space="preserve">- For</w:t>
      </w:r>
      <w:r>
        <w:t xml:space="preserve"> </w:t>
      </w:r>
      <w:r>
        <w:rPr>
          <w:b/>
          <w:bCs/>
        </w:rPr>
        <w:t xml:space="preserve">AI solvers</w:t>
      </w:r>
      <w:r>
        <w:t xml:space="preserve">, clinical specification is sufficient (no decompression needed)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NARC property</w:t>
      </w:r>
      <w:r>
        <w:t xml:space="preserve"> </w:t>
      </w:r>
      <w:r>
        <w:t xml:space="preserve">might differ between humans and AI not because of what they know, but because of how they process narrative compression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Small sample sizes.</w:t>
      </w:r>
      <w:r>
        <w:t xml:space="preserve"> </w:t>
      </w:r>
      <w:r>
        <w:t xml:space="preserve">5 puzzles per condition on 1 model. Results are suggestive, not statistically definitive.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model.</w:t>
      </w:r>
      <w:r>
        <w:t xml:space="preserve"> </w:t>
      </w:r>
      <w:r>
        <w:t xml:space="preserve">All results are gpt-oss-120b. Other models may respond differently to structure and facets.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Variant quality.</w:t>
      </w:r>
      <w:r>
        <w:t xml:space="preserve"> </w:t>
      </w:r>
      <w:r>
        <w:t xml:space="preserve">Generated by Claude, not human authors. The AAA versions may inadvertently encode more or less information than intended.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Confounds.</w:t>
      </w:r>
      <w:r>
        <w:t xml:space="preserve"> </w:t>
      </w:r>
      <w:r>
        <w:t xml:space="preserve">The puzzles used across groups are not identical, so cross-group comparisons are weaker than within-group paired comparisons.</w:t>
      </w:r>
    </w:p>
    <w:p>
      <w:r>
        <w:pict>
          <v:rect style="width:0;height:1.5pt" o:hralign="center" o:hrstd="t" o:hr="t"/>
        </w:pict>
      </w:r>
    </w:p>
    <w:bookmarkEnd w:id="35"/>
    <w:bookmarkStart w:id="36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Cross-model testing</w:t>
      </w:r>
      <w:r>
        <w:t xml:space="preserve"> </w:t>
      </w:r>
      <w:r>
        <w:t xml:space="preserve">of all 20 variants on gpt-oss-20b, qwen3.5-122b, and nemotron-3-super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Human solver comparison</w:t>
      </w:r>
      <w:r>
        <w:t xml:space="preserve"> </w:t>
      </w:r>
      <w:r>
        <w:t xml:space="preserve">— do humans show the opposite pattern (rich &gt; clinical)?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Deeper investigation of the compression hypothesis</w:t>
      </w:r>
      <w:r>
        <w:t xml:space="preserve"> </w:t>
      </w:r>
      <w:r>
        <w:t xml:space="preserve">— systematically vary explicitness while holding information constant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Larger sample</w:t>
      </w:r>
      <w:r>
        <w:t xml:space="preserve"> </w:t>
      </w:r>
      <w:r>
        <w:t xml:space="preserve">— extend to 10+ puzzles per condition for statistical power</w:t>
      </w:r>
    </w:p>
    <w:p>
      <w:r>
        <w:pict>
          <v:rect style="width:0;height:1.5pt" o:hralign="center" o:hrstd="t" o:hr="t"/>
        </w:pict>
      </w:r>
    </w:p>
    <w:bookmarkEnd w:id="36"/>
    <w:bookmarkStart w:id="39" w:name="attribution"/>
    <w:p>
      <w:pPr>
        <w:pStyle w:val="Heading2"/>
      </w:pPr>
      <w:r>
        <w:t xml:space="preserve">Attribution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ABT Framework:</w:t>
      </w:r>
      <w:r>
        <w:t xml:space="preserve"> </w:t>
      </w:r>
      <w:r>
        <w:t xml:space="preserve">Randy Olson (2012).</w:t>
      </w:r>
      <w:r>
        <w:t xml:space="preserve"> </w:t>
      </w:r>
      <w:r>
        <w:rPr>
          <w:i/>
          <w:iCs/>
        </w:rPr>
        <w:t xml:space="preserve">Connection: Hollywood Storytelling Meets Critical Thinking.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Story Prism:</w:t>
      </w:r>
      <w:r>
        <w:t xml:space="preserve"> </w:t>
      </w:r>
      <w:r>
        <w:t xml:space="preserve">Erin James, University of Idaho. Original narrative decomposition framework.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NARC Benchmark:</w:t>
      </w:r>
      <w:r>
        <w:t xml:space="preserve"> </w:t>
      </w:r>
      <w:r>
        <w:t xml:space="preserve">Bert Baumgaertner, University of Idaho.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NARC is open source:</w:t>
      </w:r>
      <w:r>
        <w:rPr>
          <w:i/>
          <w:iCs/>
        </w:rPr>
        <w:t xml:space="preserve"> </w:t>
      </w:r>
      <w:hyperlink r:id="rId37">
        <w:r>
          <w:rPr>
            <w:rStyle w:val="Hyperlink"/>
            <w:i/>
            <w:iCs/>
          </w:rPr>
          <w:t xml:space="preserve">github.com/bertybaums/narc</w:t>
        </w:r>
      </w:hyperlink>
      <w:r>
        <w:t xml:space="preserve"> </w:t>
      </w:r>
      <w:r>
        <w:rPr>
          <w:i/>
          <w:iCs/>
        </w:rPr>
        <w:t xml:space="preserve">Live demo:</w:t>
      </w:r>
      <w:r>
        <w:rPr>
          <w:i/>
          <w:iCs/>
        </w:rPr>
        <w:t xml:space="preserve"> </w:t>
      </w:r>
      <w:hyperlink r:id="rId38">
        <w:r>
          <w:rPr>
            <w:rStyle w:val="Hyperlink"/>
            <w:i/>
            <w:iCs/>
          </w:rPr>
          <w:t xml:space="preserve">bertybaums.github.io/narc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bertybaums.github.io/narc" TargetMode="External" /><Relationship Type="http://schemas.openxmlformats.org/officeDocument/2006/relationships/hyperlink" Id="rId17" Target="https://bertybaums.github.io/narc/#narc_001" TargetMode="External" /><Relationship Type="http://schemas.openxmlformats.org/officeDocument/2006/relationships/hyperlink" Id="rId23" Target="https://bertybaums.github.io/narc/#narc_002" TargetMode="External" /><Relationship Type="http://schemas.openxmlformats.org/officeDocument/2006/relationships/hyperlink" Id="rId18" Target="https://bertybaums.github.io/narc/#narc_003" TargetMode="External" /><Relationship Type="http://schemas.openxmlformats.org/officeDocument/2006/relationships/hyperlink" Id="rId12" Target="https://bertybaums.github.io/narc/#narc_004" TargetMode="External" /><Relationship Type="http://schemas.openxmlformats.org/officeDocument/2006/relationships/hyperlink" Id="rId14" Target="https://bertybaums.github.io/narc/#narc_005" TargetMode="External" /><Relationship Type="http://schemas.openxmlformats.org/officeDocument/2006/relationships/hyperlink" Id="rId24" Target="https://bertybaums.github.io/narc/#narc_009" TargetMode="External" /><Relationship Type="http://schemas.openxmlformats.org/officeDocument/2006/relationships/hyperlink" Id="rId15" Target="https://bertybaums.github.io/narc/#narc_010" TargetMode="External" /><Relationship Type="http://schemas.openxmlformats.org/officeDocument/2006/relationships/hyperlink" Id="rId25" Target="https://bertybaums.github.io/narc/#narc_011" TargetMode="External" /><Relationship Type="http://schemas.openxmlformats.org/officeDocument/2006/relationships/hyperlink" Id="rId26" Target="https://bertybaums.github.io/narc/#narc_020" TargetMode="External" /><Relationship Type="http://schemas.openxmlformats.org/officeDocument/2006/relationships/hyperlink" Id="rId13" Target="https://bertybaums.github.io/narc/#narc_ai_003" TargetMode="External" /><Relationship Type="http://schemas.openxmlformats.org/officeDocument/2006/relationships/hyperlink" Id="rId16" Target="https://bertybaums.github.io/narc/#narc_ai_008" TargetMode="External" /><Relationship Type="http://schemas.openxmlformats.org/officeDocument/2006/relationships/hyperlink" Id="rId27" Target="https://bertybaums.github.io/narc/#narc_prism_001" TargetMode="External" /><Relationship Type="http://schemas.openxmlformats.org/officeDocument/2006/relationships/hyperlink" Id="rId19" Target="https://bertybaums.github.io/narc/#narc_prism_003" TargetMode="External" /><Relationship Type="http://schemas.openxmlformats.org/officeDocument/2006/relationships/hyperlink" Id="rId20" Target="https://bertybaums.github.io/narc/#narc_prism_009" TargetMode="External" /><Relationship Type="http://schemas.openxmlformats.org/officeDocument/2006/relationships/hyperlink" Id="rId21" Target="https://bertybaums.github.io/narc/#narc_prism_011" TargetMode="External" /><Relationship Type="http://schemas.openxmlformats.org/officeDocument/2006/relationships/hyperlink" Id="rId37" Target="https://github.com/bertybaums/narc" TargetMode="External" /><Relationship Type="http://schemas.openxmlformats.org/officeDocument/2006/relationships/hyperlink" Id="rId30" Target="story_prism_resul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bertybaums.github.io/narc" TargetMode="External" /><Relationship Type="http://schemas.openxmlformats.org/officeDocument/2006/relationships/hyperlink" Id="rId17" Target="https://bertybaums.github.io/narc/#narc_001" TargetMode="External" /><Relationship Type="http://schemas.openxmlformats.org/officeDocument/2006/relationships/hyperlink" Id="rId23" Target="https://bertybaums.github.io/narc/#narc_002" TargetMode="External" /><Relationship Type="http://schemas.openxmlformats.org/officeDocument/2006/relationships/hyperlink" Id="rId18" Target="https://bertybaums.github.io/narc/#narc_003" TargetMode="External" /><Relationship Type="http://schemas.openxmlformats.org/officeDocument/2006/relationships/hyperlink" Id="rId12" Target="https://bertybaums.github.io/narc/#narc_004" TargetMode="External" /><Relationship Type="http://schemas.openxmlformats.org/officeDocument/2006/relationships/hyperlink" Id="rId14" Target="https://bertybaums.github.io/narc/#narc_005" TargetMode="External" /><Relationship Type="http://schemas.openxmlformats.org/officeDocument/2006/relationships/hyperlink" Id="rId24" Target="https://bertybaums.github.io/narc/#narc_009" TargetMode="External" /><Relationship Type="http://schemas.openxmlformats.org/officeDocument/2006/relationships/hyperlink" Id="rId15" Target="https://bertybaums.github.io/narc/#narc_010" TargetMode="External" /><Relationship Type="http://schemas.openxmlformats.org/officeDocument/2006/relationships/hyperlink" Id="rId25" Target="https://bertybaums.github.io/narc/#narc_011" TargetMode="External" /><Relationship Type="http://schemas.openxmlformats.org/officeDocument/2006/relationships/hyperlink" Id="rId26" Target="https://bertybaums.github.io/narc/#narc_020" TargetMode="External" /><Relationship Type="http://schemas.openxmlformats.org/officeDocument/2006/relationships/hyperlink" Id="rId13" Target="https://bertybaums.github.io/narc/#narc_ai_003" TargetMode="External" /><Relationship Type="http://schemas.openxmlformats.org/officeDocument/2006/relationships/hyperlink" Id="rId16" Target="https://bertybaums.github.io/narc/#narc_ai_008" TargetMode="External" /><Relationship Type="http://schemas.openxmlformats.org/officeDocument/2006/relationships/hyperlink" Id="rId27" Target="https://bertybaums.github.io/narc/#narc_prism_001" TargetMode="External" /><Relationship Type="http://schemas.openxmlformats.org/officeDocument/2006/relationships/hyperlink" Id="rId19" Target="https://bertybaums.github.io/narc/#narc_prism_003" TargetMode="External" /><Relationship Type="http://schemas.openxmlformats.org/officeDocument/2006/relationships/hyperlink" Id="rId20" Target="https://bertybaums.github.io/narc/#narc_prism_009" TargetMode="External" /><Relationship Type="http://schemas.openxmlformats.org/officeDocument/2006/relationships/hyperlink" Id="rId21" Target="https://bertybaums.github.io/narc/#narc_prism_011" TargetMode="External" /><Relationship Type="http://schemas.openxmlformats.org/officeDocument/2006/relationships/hyperlink" Id="rId37" Target="https://github.com/bertybaums/narc" TargetMode="External" /><Relationship Type="http://schemas.openxmlformats.org/officeDocument/2006/relationships/hyperlink" Id="rId30" Target="story_prism_resul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 Narrative Strategies for Puzzle Design</dc:title>
  <dc:creator/>
  <cp:keywords/>
  <dcterms:created xsi:type="dcterms:W3CDTF">2026-04-02T15:22:30Z</dcterms:created>
  <dcterms:modified xsi:type="dcterms:W3CDTF">2026-04-02T15:22:30Z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