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drawing>
          <wp:inline xmlns:a="http://schemas.openxmlformats.org/drawingml/2006/main" xmlns:pic="http://schemas.openxmlformats.org/drawingml/2006/picture">
            <wp:extent cx="5166360" cy="2127325"/>
            <wp:docPr id="1" name="Picture 1"/>
            <wp:cNvGraphicFramePr>
              <a:graphicFrameLocks noChangeAspect="1"/>
            </wp:cNvGraphicFramePr>
            <a:graphic>
              <a:graphicData uri="http://schemas.openxmlformats.org/drawingml/2006/picture">
                <pic:pic>
                  <pic:nvPicPr>
                    <pic:cNvPr id="0" name="ber-logo-clean.png"/>
                    <pic:cNvPicPr/>
                  </pic:nvPicPr>
                  <pic:blipFill>
                    <a:blip r:embed="rId10"/>
                    <a:stretch>
                      <a:fillRect/>
                    </a:stretch>
                  </pic:blipFill>
                  <pic:spPr>
                    <a:xfrm>
                      <a:off x="0" y="0"/>
                      <a:ext cx="5166360" cy="2127325"/>
                    </a:xfrm>
                    <a:prstGeom prst="rect"/>
                  </pic:spPr>
                </pic:pic>
              </a:graphicData>
            </a:graphic>
          </wp:inline>
        </w:drawing>
      </w:r>
    </w:p>
    <w:p>
      <w:pPr>
        <w:spacing w:after="0"/>
        <w:jc w:val="center"/>
      </w:pPr>
      <w:r>
        <w:rPr>
          <w:rFonts w:ascii="Aptos Display" w:hAnsi="Aptos Display"/>
          <w:b/>
          <w:color w:val="1B1F20"/>
          <w:sz w:val="56"/>
        </w:rPr>
        <w:t>MIRA VISTA</w:t>
      </w:r>
    </w:p>
    <w:p>
      <w:pPr>
        <w:spacing w:after="160"/>
        <w:jc w:val="center"/>
      </w:pPr>
      <w:r>
        <w:rPr>
          <w:rFonts w:ascii="Aptos Display" w:hAnsi="Aptos Display"/>
          <w:b/>
          <w:color w:val="D46E59"/>
          <w:sz w:val="28"/>
        </w:rPr>
        <w:t>PREFAB STEEL FRAMING QUOTE</w:t>
      </w:r>
    </w:p>
    <w:tbl>
      <w:tblPr>
        <w:tblW w:type="auto" w:w="0"/>
        <w:jc w:val="center"/>
        <w:tblLook w:firstColumn="1" w:firstRow="1" w:lastColumn="0" w:lastRow="0" w:noHBand="0" w:noVBand="1" w:val="04A0"/>
        <w:tblBorders>
          <w:top w:val="single" w:sz="4" w:color="C6CBCC"/>
          <w:left w:val="single" w:sz="4" w:color="C6CBCC"/>
          <w:bottom w:val="single" w:sz="4" w:color="C6CBCC"/>
          <w:right w:val="single" w:sz="4" w:color="C6CBCC"/>
          <w:insideH w:val="single" w:sz="4" w:color="C6CBCC"/>
          <w:insideV w:val="single" w:sz="4" w:color="C6CBCC"/>
        </w:tblBorders>
      </w:tblPr>
      <w:tblGrid>
        <w:gridCol w:w="2952"/>
        <w:gridCol w:w="7128"/>
      </w:tblGrid>
      <w:tr>
        <w:tc>
          <w:tcPr>
            <w:tcW w:type="dxa" w:w="5227"/>
            <w:shd w:fill="1B1F20"/>
            <w:vAlign w:val="center"/>
            <w:tcMar>
              <w:top w:w="68" w:type="dxa"/>
              <w:start w:w="88" w:type="dxa"/>
              <w:bottom w:w="68" w:type="dxa"/>
              <w:end w:w="88" w:type="dxa"/>
            </w:tcMar>
          </w:tcPr>
          <w:p>
            <w:r/>
            <w:r>
              <w:rPr>
                <w:rFonts w:ascii="Aptos" w:hAnsi="Aptos"/>
                <w:b/>
                <w:color w:val="FFFFFF"/>
                <w:sz w:val="16"/>
              </w:rPr>
              <w:t>PROJECT</w:t>
            </w:r>
          </w:p>
        </w:tc>
        <w:tc>
          <w:tcPr>
            <w:tcW w:type="dxa" w:w="5227"/>
            <w:shd w:fill="1B1F20"/>
            <w:vAlign w:val="center"/>
            <w:tcMar>
              <w:top w:w="68" w:type="dxa"/>
              <w:start w:w="88" w:type="dxa"/>
              <w:bottom w:w="68" w:type="dxa"/>
              <w:end w:w="88" w:type="dxa"/>
            </w:tcMar>
          </w:tcPr>
          <w:p>
            <w:r/>
            <w:r>
              <w:rPr>
                <w:rFonts w:ascii="Aptos" w:hAnsi="Aptos"/>
                <w:b/>
                <w:color w:val="FFFFFF"/>
                <w:sz w:val="16"/>
              </w:rPr>
              <w:t>QUOTE INFORMATION</w:t>
            </w:r>
          </w:p>
        </w:tc>
      </w:tr>
      <w:tr>
        <w:tc>
          <w:tcPr>
            <w:tcW w:type="dxa" w:w="5227"/>
            <w:vAlign w:val="center"/>
            <w:tcMar>
              <w:top w:w="68" w:type="dxa"/>
              <w:start w:w="88" w:type="dxa"/>
              <w:bottom w:w="68" w:type="dxa"/>
              <w:end w:w="88" w:type="dxa"/>
            </w:tcMar>
          </w:tcPr>
          <w:p>
            <w:r/>
            <w:r>
              <w:rPr>
                <w:rFonts w:ascii="Aptos" w:hAnsi="Aptos"/>
                <w:b/>
                <w:color w:val="1B1F20"/>
                <w:sz w:val="16"/>
              </w:rPr>
              <w:t>Location</w:t>
            </w:r>
          </w:p>
        </w:tc>
        <w:tc>
          <w:tcPr>
            <w:tcW w:type="dxa" w:w="5227"/>
            <w:vAlign w:val="center"/>
            <w:tcMar>
              <w:top w:w="68" w:type="dxa"/>
              <w:start w:w="88" w:type="dxa"/>
              <w:bottom w:w="68" w:type="dxa"/>
              <w:end w:w="88" w:type="dxa"/>
            </w:tcMar>
          </w:tcPr>
          <w:p>
            <w:r/>
            <w:r>
              <w:rPr>
                <w:rFonts w:ascii="Aptos" w:hAnsi="Aptos"/>
                <w:b w:val="0"/>
                <w:color w:val="1B1F20"/>
                <w:sz w:val="16"/>
              </w:rPr>
              <w:t>500 South 1040 East, American Fork, Utah</w:t>
            </w:r>
          </w:p>
        </w:tc>
      </w:tr>
      <w:tr>
        <w:tc>
          <w:tcPr>
            <w:tcW w:type="dxa" w:w="5227"/>
            <w:shd w:fill="F7F7F6"/>
            <w:vAlign w:val="center"/>
            <w:tcMar>
              <w:top w:w="68" w:type="dxa"/>
              <w:start w:w="88" w:type="dxa"/>
              <w:bottom w:w="68" w:type="dxa"/>
              <w:end w:w="88" w:type="dxa"/>
            </w:tcMar>
          </w:tcPr>
          <w:p>
            <w:r/>
            <w:r>
              <w:rPr>
                <w:rFonts w:ascii="Aptos" w:hAnsi="Aptos"/>
                <w:b/>
                <w:color w:val="1B1F20"/>
                <w:sz w:val="16"/>
              </w:rPr>
              <w:t>Owner</w:t>
            </w:r>
          </w:p>
        </w:tc>
        <w:tc>
          <w:tcPr>
            <w:tcW w:type="dxa" w:w="5227"/>
            <w:shd w:fill="F7F7F6"/>
            <w:vAlign w:val="center"/>
            <w:tcMar>
              <w:top w:w="68" w:type="dxa"/>
              <w:start w:w="88" w:type="dxa"/>
              <w:bottom w:w="68" w:type="dxa"/>
              <w:end w:w="88" w:type="dxa"/>
            </w:tcMar>
          </w:tcPr>
          <w:p>
            <w:r/>
            <w:r>
              <w:rPr>
                <w:rFonts w:ascii="Aptos" w:hAnsi="Aptos"/>
                <w:b w:val="0"/>
                <w:color w:val="1B1F20"/>
                <w:sz w:val="16"/>
              </w:rPr>
              <w:t>Four Amigos Development, LLC</w:t>
            </w:r>
          </w:p>
        </w:tc>
      </w:tr>
      <w:tr>
        <w:tc>
          <w:tcPr>
            <w:tcW w:type="dxa" w:w="5227"/>
            <w:vAlign w:val="center"/>
            <w:tcMar>
              <w:top w:w="68" w:type="dxa"/>
              <w:start w:w="88" w:type="dxa"/>
              <w:bottom w:w="68" w:type="dxa"/>
              <w:end w:w="88" w:type="dxa"/>
            </w:tcMar>
          </w:tcPr>
          <w:p>
            <w:r/>
            <w:r>
              <w:rPr>
                <w:rFonts w:ascii="Aptos" w:hAnsi="Aptos"/>
                <w:b/>
                <w:color w:val="1B1F20"/>
                <w:sz w:val="16"/>
              </w:rPr>
              <w:t>Building</w:t>
            </w:r>
          </w:p>
        </w:tc>
        <w:tc>
          <w:tcPr>
            <w:tcW w:type="dxa" w:w="5227"/>
            <w:vAlign w:val="center"/>
            <w:tcMar>
              <w:top w:w="68" w:type="dxa"/>
              <w:start w:w="88" w:type="dxa"/>
              <w:bottom w:w="68" w:type="dxa"/>
              <w:end w:w="88" w:type="dxa"/>
            </w:tcMar>
          </w:tcPr>
          <w:p>
            <w:r/>
            <w:r>
              <w:rPr>
                <w:rFonts w:ascii="Aptos" w:hAnsi="Aptos"/>
                <w:b w:val="0"/>
                <w:color w:val="1B1F20"/>
                <w:sz w:val="16"/>
              </w:rPr>
              <w:t>44,400 square feet • 3 floors</w:t>
            </w:r>
          </w:p>
        </w:tc>
      </w:tr>
      <w:tr>
        <w:tc>
          <w:tcPr>
            <w:tcW w:type="dxa" w:w="5227"/>
            <w:shd w:fill="F7F7F6"/>
            <w:vAlign w:val="center"/>
            <w:tcMar>
              <w:top w:w="68" w:type="dxa"/>
              <w:start w:w="88" w:type="dxa"/>
              <w:bottom w:w="68" w:type="dxa"/>
              <w:end w:w="88" w:type="dxa"/>
            </w:tcMar>
          </w:tcPr>
          <w:p>
            <w:r/>
            <w:r>
              <w:rPr>
                <w:rFonts w:ascii="Aptos" w:hAnsi="Aptos"/>
                <w:b/>
                <w:color w:val="1B1F20"/>
                <w:sz w:val="16"/>
              </w:rPr>
              <w:t>Conversion</w:t>
            </w:r>
          </w:p>
        </w:tc>
        <w:tc>
          <w:tcPr>
            <w:tcW w:type="dxa" w:w="5227"/>
            <w:shd w:fill="F7F7F6"/>
            <w:vAlign w:val="center"/>
            <w:tcMar>
              <w:top w:w="68" w:type="dxa"/>
              <w:start w:w="88" w:type="dxa"/>
              <w:bottom w:w="68" w:type="dxa"/>
              <w:end w:w="88" w:type="dxa"/>
            </w:tcMar>
          </w:tcPr>
          <w:p>
            <w:r/>
            <w:r>
              <w:rPr>
                <w:rFonts w:ascii="Aptos" w:hAnsi="Aptos"/>
                <w:b w:val="0"/>
                <w:color w:val="1B1F20"/>
                <w:sz w:val="16"/>
              </w:rPr>
              <w:t>Wood framing converted to engineered prefab steel panels</w:t>
            </w:r>
          </w:p>
        </w:tc>
      </w:tr>
      <w:tr>
        <w:tc>
          <w:tcPr>
            <w:tcW w:type="dxa" w:w="5227"/>
            <w:vAlign w:val="center"/>
            <w:tcMar>
              <w:top w:w="68" w:type="dxa"/>
              <w:start w:w="88" w:type="dxa"/>
              <w:bottom w:w="68" w:type="dxa"/>
              <w:end w:w="88" w:type="dxa"/>
            </w:tcMar>
          </w:tcPr>
          <w:p>
            <w:r/>
            <w:r>
              <w:rPr>
                <w:rFonts w:ascii="Aptos" w:hAnsi="Aptos"/>
                <w:b/>
                <w:color w:val="1B1F20"/>
                <w:sz w:val="16"/>
              </w:rPr>
              <w:t>Estimator</w:t>
            </w:r>
          </w:p>
        </w:tc>
        <w:tc>
          <w:tcPr>
            <w:tcW w:type="dxa" w:w="5227"/>
            <w:vAlign w:val="center"/>
            <w:tcMar>
              <w:top w:w="68" w:type="dxa"/>
              <w:start w:w="88" w:type="dxa"/>
              <w:bottom w:w="68" w:type="dxa"/>
              <w:end w:w="88" w:type="dxa"/>
            </w:tcMar>
          </w:tcPr>
          <w:p>
            <w:r/>
            <w:r>
              <w:rPr>
                <w:rFonts w:ascii="Aptos" w:hAnsi="Aptos"/>
                <w:b w:val="0"/>
                <w:color w:val="1B1F20"/>
                <w:sz w:val="16"/>
              </w:rPr>
              <w:t>Ericson Tua’one</w:t>
            </w:r>
          </w:p>
        </w:tc>
      </w:tr>
      <w:tr>
        <w:tc>
          <w:tcPr>
            <w:tcW w:type="dxa" w:w="5227"/>
            <w:shd w:fill="F7F7F6"/>
            <w:vAlign w:val="center"/>
            <w:tcMar>
              <w:top w:w="68" w:type="dxa"/>
              <w:start w:w="88" w:type="dxa"/>
              <w:bottom w:w="68" w:type="dxa"/>
              <w:end w:w="88" w:type="dxa"/>
            </w:tcMar>
          </w:tcPr>
          <w:p>
            <w:r/>
            <w:r>
              <w:rPr>
                <w:rFonts w:ascii="Aptos" w:hAnsi="Aptos"/>
                <w:b/>
                <w:color w:val="1B1F20"/>
                <w:sz w:val="16"/>
              </w:rPr>
              <w:t>Contact</w:t>
            </w:r>
          </w:p>
        </w:tc>
        <w:tc>
          <w:tcPr>
            <w:tcW w:type="dxa" w:w="5227"/>
            <w:shd w:fill="F7F7F6"/>
            <w:vAlign w:val="center"/>
            <w:tcMar>
              <w:top w:w="68" w:type="dxa"/>
              <w:start w:w="88" w:type="dxa"/>
              <w:bottom w:w="68" w:type="dxa"/>
              <w:end w:w="88" w:type="dxa"/>
            </w:tcMar>
          </w:tcPr>
          <w:p>
            <w:r/>
            <w:r>
              <w:rPr>
                <w:rFonts w:ascii="Aptos" w:hAnsi="Aptos"/>
                <w:b w:val="0"/>
                <w:color w:val="1B1F20"/>
                <w:sz w:val="16"/>
              </w:rPr>
              <w:t>info@berwilson.com • 385-436-5507</w:t>
            </w:r>
          </w:p>
        </w:tc>
      </w:tr>
      <w:tr>
        <w:tc>
          <w:tcPr>
            <w:tcW w:type="dxa" w:w="5227"/>
            <w:vAlign w:val="center"/>
            <w:tcMar>
              <w:top w:w="68" w:type="dxa"/>
              <w:start w:w="88" w:type="dxa"/>
              <w:bottom w:w="68" w:type="dxa"/>
              <w:end w:w="88" w:type="dxa"/>
            </w:tcMar>
          </w:tcPr>
          <w:p>
            <w:r/>
            <w:r>
              <w:rPr>
                <w:rFonts w:ascii="Aptos" w:hAnsi="Aptos"/>
                <w:b/>
                <w:color w:val="1B1F20"/>
                <w:sz w:val="16"/>
              </w:rPr>
              <w:t>Quote date</w:t>
            </w:r>
          </w:p>
        </w:tc>
        <w:tc>
          <w:tcPr>
            <w:tcW w:type="dxa" w:w="5227"/>
            <w:vAlign w:val="center"/>
            <w:tcMar>
              <w:top w:w="68" w:type="dxa"/>
              <w:start w:w="88" w:type="dxa"/>
              <w:bottom w:w="68" w:type="dxa"/>
              <w:end w:w="88" w:type="dxa"/>
            </w:tcMar>
          </w:tcPr>
          <w:p>
            <w:r/>
            <w:r>
              <w:rPr>
                <w:rFonts w:ascii="Aptos" w:hAnsi="Aptos"/>
                <w:b w:val="0"/>
                <w:color w:val="1B1F20"/>
                <w:sz w:val="16"/>
              </w:rPr>
              <w:t>September 16, 2026</w:t>
            </w:r>
          </w:p>
        </w:tc>
      </w:tr>
    </w:tbl>
    <w:p>
      <w:pPr>
        <w:spacing w:after="20"/>
      </w:pPr>
    </w:p>
    <w:tbl>
      <w:tblPr>
        <w:tblW w:type="auto" w:w="0"/>
        <w:tblLook w:firstColumn="1" w:firstRow="1" w:lastColumn="0" w:lastRow="0" w:noHBand="0" w:noVBand="1" w:val="04A0"/>
        <w:tblBorders>
          <w:top w:val="single" w:sz="5" w:color="7FA59E"/>
          <w:left w:val="single" w:sz="5" w:color="7FA59E"/>
          <w:bottom w:val="single" w:sz="5" w:color="7FA59E"/>
          <w:right w:val="single" w:sz="5" w:color="7FA59E"/>
          <w:insideH w:val="single" w:sz="5" w:color="7FA59E"/>
          <w:insideV w:val="single" w:sz="5" w:color="7FA59E"/>
        </w:tblBorders>
      </w:tblPr>
      <w:tblGrid>
        <w:gridCol w:w="10454"/>
      </w:tblGrid>
      <w:tr>
        <w:tc>
          <w:tcPr>
            <w:tcW w:type="dxa" w:w="10454"/>
            <w:shd w:fill="EAF2ED"/>
            <w:tcMar>
              <w:top w:w="112" w:type="dxa"/>
              <w:start w:w="132" w:type="dxa"/>
              <w:bottom w:w="112" w:type="dxa"/>
              <w:end w:w="132" w:type="dxa"/>
            </w:tcMar>
          </w:tcPr>
          <w:p>
            <w:r>
              <w:rPr>
                <w:b/>
                <w:color w:val="7FA59E"/>
                <w:sz w:val="18"/>
              </w:rPr>
              <w:t>BUILD FASTER WITH PREFAB STEEL</w:t>
              <w:br/>
            </w:r>
            <w:r>
              <w:rPr>
                <w:color w:val="1B1F20"/>
                <w:sz w:val="18"/>
              </w:rPr>
              <w:t>The framing arrives as coordinated, labeled prefab steel panels. If Ber Wilson installs the system, the anticipated panel-installation duration is 4–6 weeks versus approximately four months for standard wood framing.</w:t>
            </w:r>
          </w:p>
        </w:tc>
      </w:tr>
    </w:tbl>
    <w:p>
      <w:pPr>
        <w:spacing w:before="0" w:after="0" w:line="20" w:lineRule="exact"/>
        <w:rPr>
          <w:sz w:val="2"/>
          <w:szCs w:val="2"/>
        </w:rPr>
      </w:pPr>
    </w:p>
    <w:tbl>
      <w:tblPr>
        <w:tblW w:type="auto" w:w="0"/>
        <w:tblLook w:firstColumn="1" w:firstRow="1" w:lastColumn="0" w:lastRow="0" w:noHBand="0" w:noVBand="1" w:val="04A0"/>
        <w:tblBorders>
          <w:top w:val="single" w:sz="5" w:color="D7AD53"/>
          <w:left w:val="single" w:sz="5" w:color="D7AD53"/>
          <w:bottom w:val="single" w:sz="5" w:color="D7AD53"/>
          <w:right w:val="single" w:sz="5" w:color="D7AD53"/>
          <w:insideH w:val="single" w:sz="5" w:color="D7AD53"/>
          <w:insideV w:val="single" w:sz="5" w:color="D7AD53"/>
        </w:tblBorders>
      </w:tblPr>
      <w:tblGrid>
        <w:gridCol w:w="10454"/>
      </w:tblGrid>
      <w:tr>
        <w:tc>
          <w:tcPr>
            <w:tcW w:type="dxa" w:w="10454"/>
            <w:shd w:fill="FAF8F2"/>
            <w:tcMar>
              <w:top w:w="112" w:type="dxa"/>
              <w:start w:w="132" w:type="dxa"/>
              <w:bottom w:w="112" w:type="dxa"/>
              <w:end w:w="132" w:type="dxa"/>
            </w:tcMar>
          </w:tcPr>
          <w:p>
            <w:r>
              <w:rPr>
                <w:b/>
                <w:color w:val="D7AD53"/>
                <w:sz w:val="18"/>
              </w:rPr>
              <w:t>BER WILSON TURNKEY QUOTE</w:t>
              <w:br/>
            </w:r>
            <w:r>
              <w:rPr>
                <w:color w:val="1B1F20"/>
                <w:sz w:val="18"/>
              </w:rPr>
              <w:t>$2,131,200 — includes engineering conversion, MEP channeling, all defined prefab framing materials, insulation within the panels, builder’s risk, and Ber Wilson installation at $15.00 per square foot, including framing equipment and crane.</w:t>
            </w:r>
          </w:p>
        </w:tc>
      </w:tr>
    </w:tbl>
    <w:p>
      <w:r>
        <w:br w:type="page"/>
      </w:r>
    </w:p>
    <w:p>
      <w:pPr>
        <w:pStyle w:val="Heading1"/>
      </w:pPr>
      <w:r>
        <w:t>Quote Price</w:t>
      </w:r>
    </w:p>
    <w:tbl>
      <w:tblPr>
        <w:tblW w:type="auto" w:w="0"/>
        <w:jc w:val="center"/>
        <w:tblLook w:firstColumn="1" w:firstRow="1" w:lastColumn="0" w:lastRow="0" w:noHBand="0" w:noVBand="1" w:val="04A0"/>
        <w:tblBorders>
          <w:top w:val="single" w:sz="4" w:color="C6CBCC"/>
          <w:left w:val="single" w:sz="4" w:color="C6CBCC"/>
          <w:bottom w:val="single" w:sz="4" w:color="C6CBCC"/>
          <w:right w:val="single" w:sz="4" w:color="C6CBCC"/>
          <w:insideH w:val="single" w:sz="4" w:color="C6CBCC"/>
          <w:insideV w:val="single" w:sz="4" w:color="C6CBCC"/>
        </w:tblBorders>
      </w:tblPr>
      <w:tblGrid>
        <w:gridCol w:w="4968"/>
        <w:gridCol w:w="1368"/>
        <w:gridCol w:w="1440"/>
        <w:gridCol w:w="2016"/>
      </w:tblGrid>
      <w:tr>
        <w:tc>
          <w:tcPr>
            <w:tcW w:type="dxa" w:w="2613"/>
            <w:shd w:fill="1B1F20"/>
            <w:vAlign w:val="center"/>
            <w:tcMar>
              <w:top w:w="68" w:type="dxa"/>
              <w:start w:w="88" w:type="dxa"/>
              <w:bottom w:w="68" w:type="dxa"/>
              <w:end w:w="88" w:type="dxa"/>
            </w:tcMar>
          </w:tcPr>
          <w:p>
            <w:r/>
            <w:r>
              <w:rPr>
                <w:rFonts w:ascii="Aptos" w:hAnsi="Aptos"/>
                <w:b/>
                <w:color w:val="FFFFFF"/>
                <w:sz w:val="16"/>
              </w:rPr>
              <w:t>Scope</w:t>
            </w:r>
          </w:p>
        </w:tc>
        <w:tc>
          <w:tcPr>
            <w:tcW w:type="dxa" w:w="2613"/>
            <w:shd w:fill="1B1F20"/>
            <w:vAlign w:val="center"/>
            <w:tcMar>
              <w:top w:w="68" w:type="dxa"/>
              <w:start w:w="88" w:type="dxa"/>
              <w:bottom w:w="68" w:type="dxa"/>
              <w:end w:w="88" w:type="dxa"/>
            </w:tcMar>
          </w:tcPr>
          <w:p>
            <w:r/>
            <w:r>
              <w:rPr>
                <w:rFonts w:ascii="Aptos" w:hAnsi="Aptos"/>
                <w:b/>
                <w:color w:val="FFFFFF"/>
                <w:sz w:val="16"/>
              </w:rPr>
              <w:t>Area</w:t>
            </w:r>
          </w:p>
        </w:tc>
        <w:tc>
          <w:tcPr>
            <w:tcW w:type="dxa" w:w="2613"/>
            <w:shd w:fill="1B1F20"/>
            <w:vAlign w:val="center"/>
            <w:tcMar>
              <w:top w:w="68" w:type="dxa"/>
              <w:start w:w="88" w:type="dxa"/>
              <w:bottom w:w="68" w:type="dxa"/>
              <w:end w:w="88" w:type="dxa"/>
            </w:tcMar>
          </w:tcPr>
          <w:p>
            <w:r/>
            <w:r>
              <w:rPr>
                <w:rFonts w:ascii="Aptos" w:hAnsi="Aptos"/>
                <w:b/>
                <w:color w:val="FFFFFF"/>
                <w:sz w:val="16"/>
              </w:rPr>
              <w:t>Rate</w:t>
            </w:r>
          </w:p>
        </w:tc>
        <w:tc>
          <w:tcPr>
            <w:tcW w:type="dxa" w:w="2613"/>
            <w:shd w:fill="1B1F20"/>
            <w:vAlign w:val="center"/>
            <w:tcMar>
              <w:top w:w="68" w:type="dxa"/>
              <w:start w:w="88" w:type="dxa"/>
              <w:bottom w:w="68" w:type="dxa"/>
              <w:end w:w="88" w:type="dxa"/>
            </w:tcMar>
          </w:tcPr>
          <w:p>
            <w:r/>
            <w:r>
              <w:rPr>
                <w:rFonts w:ascii="Aptos" w:hAnsi="Aptos"/>
                <w:b/>
                <w:color w:val="FFFFFF"/>
                <w:sz w:val="16"/>
              </w:rPr>
              <w:t>Amount</w:t>
            </w:r>
          </w:p>
        </w:tc>
      </w:tr>
      <w:tr>
        <w:tc>
          <w:tcPr>
            <w:tcW w:type="dxa" w:w="2613"/>
            <w:vAlign w:val="center"/>
            <w:tcMar>
              <w:top w:w="68" w:type="dxa"/>
              <w:start w:w="88" w:type="dxa"/>
              <w:bottom w:w="68" w:type="dxa"/>
              <w:end w:w="88" w:type="dxa"/>
            </w:tcMar>
          </w:tcPr>
          <w:p>
            <w:pPr>
              <w:jc w:val="left"/>
            </w:pPr>
            <w:r/>
            <w:r>
              <w:rPr>
                <w:rFonts w:ascii="Aptos" w:hAnsi="Aptos"/>
                <w:b w:val="0"/>
                <w:color w:val="1B1F20"/>
                <w:sz w:val="16"/>
              </w:rPr>
              <w:t>Engineering conversion and complete prefab panel material package</w:t>
            </w:r>
          </w:p>
        </w:tc>
        <w:tc>
          <w:tcPr>
            <w:tcW w:type="dxa" w:w="2613"/>
            <w:vAlign w:val="center"/>
            <w:tcMar>
              <w:top w:w="68" w:type="dxa"/>
              <w:start w:w="88" w:type="dxa"/>
              <w:bottom w:w="68" w:type="dxa"/>
              <w:end w:w="88" w:type="dxa"/>
            </w:tcMar>
          </w:tcPr>
          <w:p>
            <w:pPr>
              <w:jc w:val="right"/>
            </w:pPr>
            <w:r/>
            <w:r>
              <w:rPr>
                <w:rFonts w:ascii="Aptos" w:hAnsi="Aptos"/>
                <w:b w:val="0"/>
                <w:color w:val="1B1F20"/>
                <w:sz w:val="18"/>
              </w:rPr>
              <w:t>44,400 SF</w:t>
            </w:r>
          </w:p>
        </w:tc>
        <w:tc>
          <w:tcPr>
            <w:tcW w:type="dxa" w:w="2613"/>
            <w:vAlign w:val="center"/>
            <w:tcMar>
              <w:top w:w="68" w:type="dxa"/>
              <w:start w:w="88" w:type="dxa"/>
              <w:bottom w:w="68" w:type="dxa"/>
              <w:end w:w="88" w:type="dxa"/>
            </w:tcMar>
          </w:tcPr>
          <w:p>
            <w:pPr>
              <w:jc w:val="right"/>
            </w:pPr>
            <w:r/>
            <w:r>
              <w:rPr>
                <w:rFonts w:ascii="Aptos" w:hAnsi="Aptos"/>
                <w:b w:val="0"/>
                <w:color w:val="1B1F20"/>
                <w:sz w:val="18"/>
              </w:rPr>
              <w:t>$33.00/SF</w:t>
            </w:r>
          </w:p>
        </w:tc>
        <w:tc>
          <w:tcPr>
            <w:tcW w:type="dxa" w:w="2613"/>
            <w:vAlign w:val="center"/>
            <w:tcMar>
              <w:top w:w="68" w:type="dxa"/>
              <w:start w:w="88" w:type="dxa"/>
              <w:bottom w:w="68" w:type="dxa"/>
              <w:end w:w="88" w:type="dxa"/>
            </w:tcMar>
          </w:tcPr>
          <w:p>
            <w:pPr>
              <w:jc w:val="right"/>
            </w:pPr>
            <w:r/>
            <w:r>
              <w:rPr>
                <w:rFonts w:ascii="Aptos" w:hAnsi="Aptos"/>
                <w:b w:val="0"/>
                <w:color w:val="1B1F20"/>
                <w:sz w:val="18"/>
              </w:rPr>
              <w:t>$1,465,200</w:t>
            </w:r>
          </w:p>
        </w:tc>
      </w:tr>
      <w:tr>
        <w:tc>
          <w:tcPr>
            <w:tcW w:type="dxa" w:w="2613"/>
            <w:vAlign w:val="center"/>
            <w:tcMar>
              <w:top w:w="68" w:type="dxa"/>
              <w:start w:w="88" w:type="dxa"/>
              <w:bottom w:w="68" w:type="dxa"/>
              <w:end w:w="88" w:type="dxa"/>
            </w:tcMar>
          </w:tcPr>
          <w:p>
            <w:pPr>
              <w:jc w:val="left"/>
            </w:pPr>
            <w:r/>
            <w:r>
              <w:rPr>
                <w:rFonts w:ascii="Aptos" w:hAnsi="Aptos"/>
                <w:b w:val="0"/>
                <w:color w:val="1B1F20"/>
                <w:sz w:val="16"/>
              </w:rPr>
              <w:t>Ber Wilson installation, equipment, and crane</w:t>
            </w:r>
          </w:p>
        </w:tc>
        <w:tc>
          <w:tcPr>
            <w:tcW w:type="dxa" w:w="2613"/>
            <w:vAlign w:val="center"/>
            <w:tcMar>
              <w:top w:w="68" w:type="dxa"/>
              <w:start w:w="88" w:type="dxa"/>
              <w:bottom w:w="68" w:type="dxa"/>
              <w:end w:w="88" w:type="dxa"/>
            </w:tcMar>
          </w:tcPr>
          <w:p>
            <w:pPr>
              <w:jc w:val="right"/>
            </w:pPr>
            <w:r/>
            <w:r>
              <w:rPr>
                <w:rFonts w:ascii="Aptos" w:hAnsi="Aptos"/>
                <w:b w:val="0"/>
                <w:color w:val="1B1F20"/>
                <w:sz w:val="18"/>
              </w:rPr>
              <w:t>44,400 SF</w:t>
            </w:r>
          </w:p>
        </w:tc>
        <w:tc>
          <w:tcPr>
            <w:tcW w:type="dxa" w:w="2613"/>
            <w:vAlign w:val="center"/>
            <w:tcMar>
              <w:top w:w="68" w:type="dxa"/>
              <w:start w:w="88" w:type="dxa"/>
              <w:bottom w:w="68" w:type="dxa"/>
              <w:end w:w="88" w:type="dxa"/>
            </w:tcMar>
          </w:tcPr>
          <w:p>
            <w:pPr>
              <w:jc w:val="right"/>
            </w:pPr>
            <w:r/>
            <w:r>
              <w:rPr>
                <w:rFonts w:ascii="Aptos" w:hAnsi="Aptos"/>
                <w:b w:val="0"/>
                <w:color w:val="1B1F20"/>
                <w:sz w:val="18"/>
              </w:rPr>
              <w:t>$15.00/SF</w:t>
            </w:r>
          </w:p>
        </w:tc>
        <w:tc>
          <w:tcPr>
            <w:tcW w:type="dxa" w:w="2613"/>
            <w:vAlign w:val="center"/>
            <w:tcMar>
              <w:top w:w="68" w:type="dxa"/>
              <w:start w:w="88" w:type="dxa"/>
              <w:bottom w:w="68" w:type="dxa"/>
              <w:end w:w="88" w:type="dxa"/>
            </w:tcMar>
          </w:tcPr>
          <w:p>
            <w:pPr>
              <w:jc w:val="right"/>
            </w:pPr>
            <w:r/>
            <w:r>
              <w:rPr>
                <w:rFonts w:ascii="Aptos" w:hAnsi="Aptos"/>
                <w:b w:val="0"/>
                <w:color w:val="1B1F20"/>
                <w:sz w:val="18"/>
              </w:rPr>
              <w:t>$666,000</w:t>
            </w:r>
          </w:p>
        </w:tc>
      </w:tr>
      <w:tr>
        <w:tc>
          <w:tcPr>
            <w:tcW w:type="dxa" w:w="2613"/>
            <w:shd w:fill="EAF2ED"/>
            <w:vAlign w:val="center"/>
            <w:tcMar>
              <w:top w:w="68" w:type="dxa"/>
              <w:start w:w="88" w:type="dxa"/>
              <w:bottom w:w="68" w:type="dxa"/>
              <w:end w:w="88" w:type="dxa"/>
            </w:tcMar>
          </w:tcPr>
          <w:p>
            <w:pPr>
              <w:jc w:val="left"/>
            </w:pPr>
            <w:r/>
            <w:r>
              <w:rPr>
                <w:rFonts w:ascii="Aptos" w:hAnsi="Aptos"/>
                <w:b/>
                <w:color w:val="1B1F20"/>
                <w:sz w:val="16"/>
              </w:rPr>
              <w:t>TOTAL TURNKEY QUOTE</w:t>
            </w:r>
          </w:p>
        </w:tc>
        <w:tc>
          <w:tcPr>
            <w:tcW w:type="dxa" w:w="2613"/>
            <w:shd w:fill="EAF2ED"/>
            <w:vAlign w:val="center"/>
            <w:tcMar>
              <w:top w:w="68" w:type="dxa"/>
              <w:start w:w="88" w:type="dxa"/>
              <w:bottom w:w="68" w:type="dxa"/>
              <w:end w:w="88" w:type="dxa"/>
            </w:tcMar>
          </w:tcPr>
          <w:p>
            <w:pPr>
              <w:jc w:val="right"/>
            </w:pPr>
            <w:r/>
            <w:r>
              <w:rPr>
                <w:rFonts w:ascii="Aptos" w:hAnsi="Aptos"/>
                <w:b/>
                <w:color w:val="1B1F20"/>
                <w:sz w:val="18"/>
              </w:rPr>
              <w:t>44,400 SF</w:t>
            </w:r>
          </w:p>
        </w:tc>
        <w:tc>
          <w:tcPr>
            <w:tcW w:type="dxa" w:w="2613"/>
            <w:shd w:fill="EAF2ED"/>
            <w:vAlign w:val="center"/>
            <w:tcMar>
              <w:top w:w="68" w:type="dxa"/>
              <w:start w:w="88" w:type="dxa"/>
              <w:bottom w:w="68" w:type="dxa"/>
              <w:end w:w="88" w:type="dxa"/>
            </w:tcMar>
          </w:tcPr>
          <w:p>
            <w:pPr>
              <w:jc w:val="right"/>
            </w:pPr>
            <w:r/>
            <w:r>
              <w:rPr>
                <w:rFonts w:ascii="Aptos" w:hAnsi="Aptos"/>
                <w:b/>
                <w:color w:val="1B1F20"/>
                <w:sz w:val="18"/>
              </w:rPr>
              <w:t>$48.00/SF</w:t>
            </w:r>
          </w:p>
        </w:tc>
        <w:tc>
          <w:tcPr>
            <w:tcW w:type="dxa" w:w="2613"/>
            <w:shd w:fill="EAF2ED"/>
            <w:vAlign w:val="center"/>
            <w:tcMar>
              <w:top w:w="68" w:type="dxa"/>
              <w:start w:w="88" w:type="dxa"/>
              <w:bottom w:w="68" w:type="dxa"/>
              <w:end w:w="88" w:type="dxa"/>
            </w:tcMar>
          </w:tcPr>
          <w:p>
            <w:pPr>
              <w:jc w:val="right"/>
            </w:pPr>
            <w:r/>
            <w:r>
              <w:rPr>
                <w:rFonts w:ascii="Aptos" w:hAnsi="Aptos"/>
                <w:b/>
                <w:color w:val="1B1F20"/>
                <w:sz w:val="18"/>
              </w:rPr>
              <w:t>$2,131,200</w:t>
            </w:r>
          </w:p>
        </w:tc>
      </w:tr>
    </w:tbl>
    <w:p>
      <w:pPr>
        <w:pStyle w:val="Heading1"/>
      </w:pPr>
      <w:r>
        <w:t>Included in Turnkey Quote</w:t>
      </w:r>
    </w:p>
    <w:p>
      <w:pPr>
        <w:pStyle w:val="ListBullet"/>
        <w:spacing w:after="28"/>
        <w:ind w:left="288" w:hanging="173"/>
      </w:pPr>
      <w:r>
        <w:t>Engineering conversion of the existing wood-framed plans into an engineered cold-formed steel prefab panel system.</w:t>
      </w:r>
    </w:p>
    <w:p>
      <w:pPr>
        <w:pStyle w:val="ListBullet"/>
        <w:spacing w:after="28"/>
        <w:ind w:left="288" w:hanging="173"/>
      </w:pPr>
      <w:r>
        <w:t>Panel engineering, framing layouts, fabrication drawings, connection details, and coordinated panel schedules.</w:t>
      </w:r>
    </w:p>
    <w:p>
      <w:pPr>
        <w:pStyle w:val="ListBullet"/>
        <w:spacing w:after="28"/>
        <w:ind w:left="288" w:hanging="173"/>
      </w:pPr>
      <w:r>
        <w:t>MEP engineering and channeling integrated into the panels, including service chases, pathways, prepunched holes, sleeves, openings, inserts, and penetrations for MEP routing.</w:t>
      </w:r>
    </w:p>
    <w:p>
      <w:pPr>
        <w:pStyle w:val="ListBullet"/>
        <w:spacing w:after="28"/>
        <w:ind w:left="288" w:hanging="173"/>
      </w:pPr>
      <w:r>
        <w:t>Concrete-to-steel coordination for embeds, anchors, hold-downs, bearing points, and panel connections.</w:t>
      </w:r>
    </w:p>
    <w:p>
      <w:pPr>
        <w:pStyle w:val="ListBullet"/>
        <w:spacing w:after="28"/>
        <w:ind w:left="288" w:hanging="173"/>
      </w:pPr>
      <w:r>
        <w:t>Complete defined prefab steel framing material package for approved wall, floor, and roof panels, including tracks, clips, bridging, blocking, bracing, fasteners, and required accessories.</w:t>
      </w:r>
    </w:p>
    <w:p>
      <w:pPr>
        <w:pStyle w:val="ListBullet"/>
        <w:spacing w:after="28"/>
        <w:ind w:left="288" w:hanging="173"/>
      </w:pPr>
      <w:r>
        <w:t>Insulation furnished and installed within the prefab panel assemblies according to the approved panel schedule.</w:t>
      </w:r>
    </w:p>
    <w:p>
      <w:pPr>
        <w:pStyle w:val="ListBullet"/>
        <w:spacing w:after="28"/>
        <w:ind w:left="288" w:hanging="173"/>
      </w:pPr>
      <w:r>
        <w:t>Simpson Strong-Tie branded hold-downs, straps, anchors, fasteners, and structural connectors included in the approved framing scope.</w:t>
      </w:r>
    </w:p>
    <w:p>
      <w:pPr>
        <w:pStyle w:val="ListBullet"/>
        <w:spacing w:after="28"/>
        <w:ind w:left="288" w:hanging="173"/>
      </w:pPr>
      <w:r>
        <w:t>Builder’s risk included.</w:t>
      </w:r>
    </w:p>
    <w:p>
      <w:pPr>
        <w:pStyle w:val="ListBullet"/>
        <w:spacing w:after="28"/>
        <w:ind w:left="288" w:hanging="173"/>
      </w:pPr>
      <w:r>
        <w:t>Ber Wilson field installation at $15.00 per square foot, including framing-specific lifts, telehandlers, rigging, material handling, crane, operator, panel hoisting, assembly, bracing, fastening, and erection.</w:t>
      </w:r>
    </w:p>
    <w:tbl>
      <w:tblPr>
        <w:tblW w:type="auto" w:w="0"/>
        <w:tblLook w:firstColumn="1" w:firstRow="1" w:lastColumn="0" w:lastRow="0" w:noHBand="0" w:noVBand="1" w:val="04A0"/>
        <w:tblBorders>
          <w:top w:val="single" w:sz="5" w:color="D46E59"/>
          <w:left w:val="single" w:sz="5" w:color="D46E59"/>
          <w:bottom w:val="single" w:sz="5" w:color="D46E59"/>
          <w:right w:val="single" w:sz="5" w:color="D46E59"/>
          <w:insideH w:val="single" w:sz="5" w:color="D46E59"/>
          <w:insideV w:val="single" w:sz="5" w:color="D46E59"/>
        </w:tblBorders>
      </w:tblPr>
      <w:tblGrid>
        <w:gridCol w:w="10454"/>
      </w:tblGrid>
      <w:tr>
        <w:tc>
          <w:tcPr>
            <w:tcW w:type="dxa" w:w="10454"/>
            <w:shd w:fill="F3F4F2"/>
            <w:tcMar>
              <w:top w:w="112" w:type="dxa"/>
              <w:start w:w="132" w:type="dxa"/>
              <w:bottom w:w="112" w:type="dxa"/>
              <w:end w:w="132" w:type="dxa"/>
            </w:tcMar>
          </w:tcPr>
          <w:p>
            <w:r>
              <w:rPr>
                <w:b/>
                <w:color w:val="D46E59"/>
                <w:sz w:val="18"/>
              </w:rPr>
              <w:t>PANEL DELIVERY</w:t>
              <w:br/>
            </w:r>
            <w:r>
              <w:rPr>
                <w:color w:val="1B1F20"/>
                <w:sz w:val="18"/>
              </w:rPr>
              <w:t>Wall, floor, and roof framing will be fabricated and delivered as labeled, sequenced panels or panelized assemblies according to the approved fabrication package.</w:t>
            </w:r>
          </w:p>
        </w:tc>
      </w:tr>
    </w:tbl>
    <w:p>
      <w:pPr>
        <w:pStyle w:val="Heading1"/>
      </w:pPr>
      <w:r>
        <w:t>Schedule Comparison</w:t>
      </w:r>
    </w:p>
    <w:tbl>
      <w:tblPr>
        <w:tblW w:type="auto" w:w="0"/>
        <w:jc w:val="center"/>
        <w:tblLook w:firstColumn="1" w:firstRow="1" w:lastColumn="0" w:lastRow="0" w:noHBand="0" w:noVBand="1" w:val="04A0"/>
        <w:tblBorders>
          <w:top w:val="single" w:sz="4" w:color="C6CBCC"/>
          <w:left w:val="single" w:sz="4" w:color="C6CBCC"/>
          <w:bottom w:val="single" w:sz="4" w:color="C6CBCC"/>
          <w:right w:val="single" w:sz="4" w:color="C6CBCC"/>
          <w:insideH w:val="single" w:sz="4" w:color="C6CBCC"/>
          <w:insideV w:val="single" w:sz="4" w:color="C6CBCC"/>
        </w:tblBorders>
      </w:tblPr>
      <w:tblGrid>
        <w:gridCol w:w="2304"/>
        <w:gridCol w:w="3816"/>
        <w:gridCol w:w="3960"/>
      </w:tblGrid>
      <w:tr>
        <w:tc>
          <w:tcPr>
            <w:tcW w:type="dxa" w:w="3485"/>
            <w:shd w:fill="1B1F20"/>
            <w:vAlign w:val="center"/>
            <w:tcMar>
              <w:top w:w="68" w:type="dxa"/>
              <w:start w:w="88" w:type="dxa"/>
              <w:bottom w:w="68" w:type="dxa"/>
              <w:end w:w="88" w:type="dxa"/>
            </w:tcMar>
          </w:tcPr>
          <w:p>
            <w:r/>
            <w:r>
              <w:rPr>
                <w:rFonts w:ascii="Aptos" w:hAnsi="Aptos"/>
                <w:b/>
                <w:color w:val="FFFFFF"/>
                <w:sz w:val="16"/>
              </w:rPr>
              <w:t>Measure</w:t>
            </w:r>
          </w:p>
        </w:tc>
        <w:tc>
          <w:tcPr>
            <w:tcW w:type="dxa" w:w="3485"/>
            <w:shd w:fill="1B1F20"/>
            <w:vAlign w:val="center"/>
            <w:tcMar>
              <w:top w:w="68" w:type="dxa"/>
              <w:start w:w="88" w:type="dxa"/>
              <w:bottom w:w="68" w:type="dxa"/>
              <w:end w:w="88" w:type="dxa"/>
            </w:tcMar>
          </w:tcPr>
          <w:p>
            <w:r/>
            <w:r>
              <w:rPr>
                <w:rFonts w:ascii="Aptos" w:hAnsi="Aptos"/>
                <w:b/>
                <w:color w:val="FFFFFF"/>
                <w:sz w:val="16"/>
              </w:rPr>
              <w:t>Ber Wilson prefab installation</w:t>
            </w:r>
          </w:p>
        </w:tc>
        <w:tc>
          <w:tcPr>
            <w:tcW w:type="dxa" w:w="3485"/>
            <w:shd w:fill="1B1F20"/>
            <w:vAlign w:val="center"/>
            <w:tcMar>
              <w:top w:w="68" w:type="dxa"/>
              <w:start w:w="88" w:type="dxa"/>
              <w:bottom w:w="68" w:type="dxa"/>
              <w:end w:w="88" w:type="dxa"/>
            </w:tcMar>
          </w:tcPr>
          <w:p>
            <w:r/>
            <w:r>
              <w:rPr>
                <w:rFonts w:ascii="Aptos" w:hAnsi="Aptos"/>
                <w:b/>
                <w:color w:val="FFFFFF"/>
                <w:sz w:val="16"/>
              </w:rPr>
              <w:t>Standard wood framing</w:t>
            </w:r>
          </w:p>
        </w:tc>
      </w:tr>
      <w:tr>
        <w:tc>
          <w:tcPr>
            <w:tcW w:type="dxa" w:w="3485"/>
            <w:vAlign w:val="center"/>
            <w:tcMar>
              <w:top w:w="68" w:type="dxa"/>
              <w:start w:w="88" w:type="dxa"/>
              <w:bottom w:w="68" w:type="dxa"/>
              <w:end w:w="88" w:type="dxa"/>
            </w:tcMar>
          </w:tcPr>
          <w:p>
            <w:r/>
            <w:r>
              <w:rPr>
                <w:rFonts w:ascii="Aptos" w:hAnsi="Aptos"/>
                <w:b/>
                <w:color w:val="1B1F20"/>
                <w:sz w:val="16"/>
              </w:rPr>
              <w:t>Field framing duration</w:t>
            </w:r>
          </w:p>
        </w:tc>
        <w:tc>
          <w:tcPr>
            <w:tcW w:type="dxa" w:w="3485"/>
            <w:vAlign w:val="center"/>
            <w:tcMar>
              <w:top w:w="68" w:type="dxa"/>
              <w:start w:w="88" w:type="dxa"/>
              <w:bottom w:w="68" w:type="dxa"/>
              <w:end w:w="88" w:type="dxa"/>
            </w:tcMar>
          </w:tcPr>
          <w:p>
            <w:r/>
            <w:r>
              <w:rPr>
                <w:rFonts w:ascii="Aptos" w:hAnsi="Aptos"/>
                <w:b w:val="0"/>
                <w:color w:val="1B1F20"/>
                <w:sz w:val="16"/>
              </w:rPr>
              <w:t>4–6 weeks anticipated</w:t>
            </w:r>
          </w:p>
        </w:tc>
        <w:tc>
          <w:tcPr>
            <w:tcW w:type="dxa" w:w="3485"/>
            <w:vAlign w:val="center"/>
            <w:tcMar>
              <w:top w:w="68" w:type="dxa"/>
              <w:start w:w="88" w:type="dxa"/>
              <w:bottom w:w="68" w:type="dxa"/>
              <w:end w:w="88" w:type="dxa"/>
            </w:tcMar>
          </w:tcPr>
          <w:p>
            <w:r/>
            <w:r>
              <w:rPr>
                <w:rFonts w:ascii="Aptos" w:hAnsi="Aptos"/>
                <w:b w:val="0"/>
                <w:color w:val="1B1F20"/>
                <w:sz w:val="16"/>
              </w:rPr>
              <w:t>Approximately 4 months</w:t>
            </w:r>
          </w:p>
        </w:tc>
      </w:tr>
      <w:tr>
        <w:tc>
          <w:tcPr>
            <w:tcW w:type="dxa" w:w="3485"/>
            <w:shd w:fill="F7F7F6"/>
            <w:vAlign w:val="center"/>
            <w:tcMar>
              <w:top w:w="68" w:type="dxa"/>
              <w:start w:w="88" w:type="dxa"/>
              <w:bottom w:w="68" w:type="dxa"/>
              <w:end w:w="88" w:type="dxa"/>
            </w:tcMar>
          </w:tcPr>
          <w:p>
            <w:r/>
            <w:r>
              <w:rPr>
                <w:rFonts w:ascii="Aptos" w:hAnsi="Aptos"/>
                <w:b/>
                <w:color w:val="1B1F20"/>
                <w:sz w:val="16"/>
              </w:rPr>
              <w:t>Projected advantage</w:t>
            </w:r>
          </w:p>
        </w:tc>
        <w:tc>
          <w:tcPr>
            <w:tcW w:type="dxa" w:w="3485"/>
            <w:shd w:fill="F7F7F6"/>
            <w:vAlign w:val="center"/>
            <w:tcMar>
              <w:top w:w="68" w:type="dxa"/>
              <w:start w:w="88" w:type="dxa"/>
              <w:bottom w:w="68" w:type="dxa"/>
              <w:end w:w="88" w:type="dxa"/>
            </w:tcMar>
          </w:tcPr>
          <w:p>
            <w:r/>
            <w:r>
              <w:rPr>
                <w:rFonts w:ascii="Aptos" w:hAnsi="Aptos"/>
                <w:b w:val="0"/>
                <w:color w:val="1B1F20"/>
                <w:sz w:val="16"/>
              </w:rPr>
              <w:t>Approximately 2.5–3 months faster</w:t>
            </w:r>
          </w:p>
        </w:tc>
        <w:tc>
          <w:tcPr>
            <w:tcW w:type="dxa" w:w="3485"/>
            <w:shd w:fill="F7F7F6"/>
            <w:vAlign w:val="center"/>
            <w:tcMar>
              <w:top w:w="68" w:type="dxa"/>
              <w:start w:w="88" w:type="dxa"/>
              <w:bottom w:w="68" w:type="dxa"/>
              <w:end w:w="88" w:type="dxa"/>
            </w:tcMar>
          </w:tcPr>
          <w:p>
            <w:r/>
            <w:r>
              <w:rPr>
                <w:rFonts w:ascii="Aptos" w:hAnsi="Aptos"/>
                <w:b w:val="0"/>
                <w:color w:val="1B1F20"/>
                <w:sz w:val="16"/>
              </w:rPr>
              <w:t>Baseline</w:t>
            </w:r>
          </w:p>
        </w:tc>
      </w:tr>
      <w:tr>
        <w:tc>
          <w:tcPr>
            <w:tcW w:type="dxa" w:w="3485"/>
            <w:vAlign w:val="center"/>
            <w:tcMar>
              <w:top w:w="68" w:type="dxa"/>
              <w:start w:w="88" w:type="dxa"/>
              <w:bottom w:w="68" w:type="dxa"/>
              <w:end w:w="88" w:type="dxa"/>
            </w:tcMar>
          </w:tcPr>
          <w:p>
            <w:r/>
            <w:r>
              <w:rPr>
                <w:rFonts w:ascii="Aptos" w:hAnsi="Aptos"/>
                <w:b/>
                <w:color w:val="1B1F20"/>
                <w:sz w:val="16"/>
              </w:rPr>
              <w:t>MEP field time</w:t>
            </w:r>
          </w:p>
        </w:tc>
        <w:tc>
          <w:tcPr>
            <w:tcW w:type="dxa" w:w="3485"/>
            <w:vAlign w:val="center"/>
            <w:tcMar>
              <w:top w:w="68" w:type="dxa"/>
              <w:start w:w="88" w:type="dxa"/>
              <w:bottom w:w="68" w:type="dxa"/>
              <w:end w:w="88" w:type="dxa"/>
            </w:tcMar>
          </w:tcPr>
          <w:p>
            <w:r/>
            <w:r>
              <w:rPr>
                <w:rFonts w:ascii="Aptos" w:hAnsi="Aptos"/>
                <w:b w:val="0"/>
                <w:color w:val="1B1F20"/>
                <w:sz w:val="16"/>
              </w:rPr>
              <w:t>40%–50% projected reduction</w:t>
            </w:r>
          </w:p>
        </w:tc>
        <w:tc>
          <w:tcPr>
            <w:tcW w:type="dxa" w:w="3485"/>
            <w:vAlign w:val="center"/>
            <w:tcMar>
              <w:top w:w="68" w:type="dxa"/>
              <w:start w:w="88" w:type="dxa"/>
              <w:bottom w:w="68" w:type="dxa"/>
              <w:end w:w="88" w:type="dxa"/>
            </w:tcMar>
          </w:tcPr>
          <w:p>
            <w:r/>
            <w:r>
              <w:rPr>
                <w:rFonts w:ascii="Aptos" w:hAnsi="Aptos"/>
                <w:b w:val="0"/>
                <w:color w:val="1B1F20"/>
                <w:sz w:val="16"/>
              </w:rPr>
              <w:t>Field layout/cutting baseline</w:t>
            </w:r>
          </w:p>
        </w:tc>
      </w:tr>
      <w:tr>
        <w:tc>
          <w:tcPr>
            <w:tcW w:type="dxa" w:w="3485"/>
            <w:shd w:fill="F7F7F6"/>
            <w:vAlign w:val="center"/>
            <w:tcMar>
              <w:top w:w="68" w:type="dxa"/>
              <w:start w:w="88" w:type="dxa"/>
              <w:bottom w:w="68" w:type="dxa"/>
              <w:end w:w="88" w:type="dxa"/>
            </w:tcMar>
          </w:tcPr>
          <w:p>
            <w:r/>
            <w:r>
              <w:rPr>
                <w:rFonts w:ascii="Aptos" w:hAnsi="Aptos"/>
                <w:b/>
                <w:color w:val="1B1F20"/>
                <w:sz w:val="16"/>
              </w:rPr>
              <w:t>Site work</w:t>
            </w:r>
          </w:p>
        </w:tc>
        <w:tc>
          <w:tcPr>
            <w:tcW w:type="dxa" w:w="3485"/>
            <w:shd w:fill="F7F7F6"/>
            <w:vAlign w:val="center"/>
            <w:tcMar>
              <w:top w:w="68" w:type="dxa"/>
              <w:start w:w="88" w:type="dxa"/>
              <w:bottom w:w="68" w:type="dxa"/>
              <w:end w:w="88" w:type="dxa"/>
            </w:tcMar>
          </w:tcPr>
          <w:p>
            <w:r/>
            <w:r>
              <w:rPr>
                <w:rFonts w:ascii="Aptos" w:hAnsi="Aptos"/>
                <w:b w:val="0"/>
                <w:color w:val="1B1F20"/>
                <w:sz w:val="16"/>
              </w:rPr>
              <w:t>Panel setting and connections</w:t>
            </w:r>
          </w:p>
        </w:tc>
        <w:tc>
          <w:tcPr>
            <w:tcW w:type="dxa" w:w="3485"/>
            <w:shd w:fill="F7F7F6"/>
            <w:vAlign w:val="center"/>
            <w:tcMar>
              <w:top w:w="68" w:type="dxa"/>
              <w:start w:w="88" w:type="dxa"/>
              <w:bottom w:w="68" w:type="dxa"/>
              <w:end w:w="88" w:type="dxa"/>
            </w:tcMar>
          </w:tcPr>
          <w:p>
            <w:r/>
            <w:r>
              <w:rPr>
                <w:rFonts w:ascii="Aptos" w:hAnsi="Aptos"/>
                <w:b w:val="0"/>
                <w:color w:val="1B1F20"/>
                <w:sz w:val="16"/>
              </w:rPr>
              <w:t>Field measuring, cutting, and assembly</w:t>
            </w:r>
          </w:p>
        </w:tc>
      </w:tr>
    </w:tbl>
    <w:p>
      <w:pPr>
        <w:spacing w:before="0" w:after="0" w:line="20" w:lineRule="exact"/>
        <w:rPr>
          <w:sz w:val="2"/>
          <w:szCs w:val="2"/>
        </w:rPr>
      </w:pPr>
    </w:p>
    <w:tbl>
      <w:tblPr>
        <w:tblW w:type="auto" w:w="0"/>
        <w:tblLook w:firstColumn="1" w:firstRow="1" w:lastColumn="0" w:lastRow="0" w:noHBand="0" w:noVBand="1" w:val="04A0"/>
        <w:tblBorders>
          <w:top w:val="single" w:sz="5" w:color="D46E59"/>
          <w:left w:val="single" w:sz="5" w:color="D46E59"/>
          <w:bottom w:val="single" w:sz="5" w:color="D46E59"/>
          <w:right w:val="single" w:sz="5" w:color="D46E59"/>
          <w:insideH w:val="single" w:sz="5" w:color="D46E59"/>
          <w:insideV w:val="single" w:sz="5" w:color="D46E59"/>
        </w:tblBorders>
      </w:tblPr>
      <w:tblGrid>
        <w:gridCol w:w="10454"/>
      </w:tblGrid>
      <w:tr>
        <w:tc>
          <w:tcPr>
            <w:tcW w:type="dxa" w:w="10454"/>
            <w:shd w:fill="F3F4F2"/>
            <w:tcMar>
              <w:top w:w="112" w:type="dxa"/>
              <w:start w:w="132" w:type="dxa"/>
              <w:bottom w:w="112" w:type="dxa"/>
              <w:end w:w="132" w:type="dxa"/>
            </w:tcMar>
          </w:tcPr>
          <w:p>
            <w:r>
              <w:rPr>
                <w:b/>
                <w:color w:val="D46E59"/>
                <w:sz w:val="18"/>
              </w:rPr>
              <w:t>SCHEDULE BASIS</w:t>
              <w:br/>
            </w:r>
            <w:r>
              <w:rPr>
                <w:color w:val="1B1F20"/>
                <w:sz w:val="18"/>
              </w:rPr>
              <w:t>The 4–6 week timeframe applies when Ber Wilson performs installation and assumes approved drawings, timely material release, complete concrete work, clear crane access, sequenced deliveries, timely inspections, and uninterrupted work areas.</w:t>
            </w:r>
          </w:p>
        </w:tc>
      </w:tr>
    </w:tbl>
    <w:p>
      <w:r>
        <w:br w:type="page"/>
      </w:r>
    </w:p>
    <w:p>
      <w:pPr>
        <w:pStyle w:val="Heading1"/>
      </w:pPr>
      <w:r>
        <w:t>Delivery Options</w:t>
      </w:r>
    </w:p>
    <w:p>
      <w:r>
        <w:t>The prices below separate the turnkey Ber Wilson installation from the Owner-installed option. Materials with crew training are to be quoted after Ber Wilson reviews the Owner’s crew, equipment plan, schedule, supervision needs, and requested field support.</w:t>
      </w:r>
    </w:p>
    <w:tbl>
      <w:tblPr>
        <w:tblW w:type="auto" w:w="0"/>
        <w:jc w:val="center"/>
        <w:tblLook w:firstColumn="1" w:firstRow="1" w:lastColumn="0" w:lastRow="0" w:noHBand="0" w:noVBand="1" w:val="04A0"/>
        <w:tblBorders>
          <w:top w:val="single" w:sz="4" w:color="C6CBCC"/>
          <w:left w:val="single" w:sz="4" w:color="C6CBCC"/>
          <w:bottom w:val="single" w:sz="4" w:color="C6CBCC"/>
          <w:right w:val="single" w:sz="4" w:color="C6CBCC"/>
          <w:insideH w:val="single" w:sz="4" w:color="C6CBCC"/>
          <w:insideV w:val="single" w:sz="4" w:color="C6CBCC"/>
        </w:tblBorders>
      </w:tblPr>
      <w:tblGrid>
        <w:gridCol w:w="2376"/>
        <w:gridCol w:w="5760"/>
        <w:gridCol w:w="2088"/>
      </w:tblGrid>
      <w:tr>
        <w:tc>
          <w:tcPr>
            <w:tcW w:type="dxa" w:w="3485"/>
            <w:shd w:fill="1B1F20"/>
            <w:vAlign w:val="center"/>
            <w:tcMar>
              <w:top w:w="68" w:type="dxa"/>
              <w:start w:w="88" w:type="dxa"/>
              <w:bottom w:w="68" w:type="dxa"/>
              <w:end w:w="88" w:type="dxa"/>
            </w:tcMar>
          </w:tcPr>
          <w:p>
            <w:r/>
            <w:r>
              <w:rPr>
                <w:rFonts w:ascii="Aptos" w:hAnsi="Aptos"/>
                <w:b/>
                <w:color w:val="FFFFFF"/>
                <w:sz w:val="16"/>
              </w:rPr>
              <w:t>Option</w:t>
            </w:r>
          </w:p>
        </w:tc>
        <w:tc>
          <w:tcPr>
            <w:tcW w:type="dxa" w:w="3485"/>
            <w:shd w:fill="1B1F20"/>
            <w:vAlign w:val="center"/>
            <w:tcMar>
              <w:top w:w="68" w:type="dxa"/>
              <w:start w:w="88" w:type="dxa"/>
              <w:bottom w:w="68" w:type="dxa"/>
              <w:end w:w="88" w:type="dxa"/>
            </w:tcMar>
          </w:tcPr>
          <w:p>
            <w:r/>
            <w:r>
              <w:rPr>
                <w:rFonts w:ascii="Aptos" w:hAnsi="Aptos"/>
                <w:b/>
                <w:color w:val="FFFFFF"/>
                <w:sz w:val="16"/>
              </w:rPr>
              <w:t>Scope</w:t>
            </w:r>
          </w:p>
        </w:tc>
        <w:tc>
          <w:tcPr>
            <w:tcW w:type="dxa" w:w="3485"/>
            <w:shd w:fill="1B1F20"/>
            <w:vAlign w:val="center"/>
            <w:tcMar>
              <w:top w:w="68" w:type="dxa"/>
              <w:start w:w="88" w:type="dxa"/>
              <w:bottom w:w="68" w:type="dxa"/>
              <w:end w:w="88" w:type="dxa"/>
            </w:tcMar>
          </w:tcPr>
          <w:p>
            <w:r/>
            <w:r>
              <w:rPr>
                <w:rFonts w:ascii="Aptos" w:hAnsi="Aptos"/>
                <w:b/>
                <w:color w:val="FFFFFF"/>
                <w:sz w:val="16"/>
              </w:rPr>
              <w:t>Price</w:t>
            </w:r>
          </w:p>
        </w:tc>
      </w:tr>
      <w:tr>
        <w:tc>
          <w:tcPr>
            <w:tcW w:type="dxa" w:w="3485"/>
            <w:vAlign w:val="center"/>
            <w:tcMar>
              <w:top w:w="68" w:type="dxa"/>
              <w:start w:w="88" w:type="dxa"/>
              <w:bottom w:w="68" w:type="dxa"/>
              <w:end w:w="88" w:type="dxa"/>
            </w:tcMar>
          </w:tcPr>
          <w:p>
            <w:r/>
            <w:r>
              <w:rPr>
                <w:rFonts w:ascii="Aptos" w:hAnsi="Aptos"/>
                <w:b/>
                <w:color w:val="1B1F20"/>
                <w:sz w:val="16"/>
              </w:rPr>
              <w:t>A — Ber Wilson turnkey installation</w:t>
            </w:r>
          </w:p>
        </w:tc>
        <w:tc>
          <w:tcPr>
            <w:tcW w:type="dxa" w:w="3485"/>
            <w:vAlign w:val="center"/>
            <w:tcMar>
              <w:top w:w="68" w:type="dxa"/>
              <w:start w:w="88" w:type="dxa"/>
              <w:bottom w:w="68" w:type="dxa"/>
              <w:end w:w="88" w:type="dxa"/>
            </w:tcMar>
          </w:tcPr>
          <w:p>
            <w:r/>
            <w:r>
              <w:rPr>
                <w:rFonts w:ascii="Aptos" w:hAnsi="Aptos"/>
                <w:b w:val="0"/>
                <w:color w:val="1B1F20"/>
                <w:sz w:val="16"/>
              </w:rPr>
              <w:t>Engineering conversion, complete prefab panel materials, builder’s risk, equipment, crane, and Ber Wilson installation.</w:t>
            </w:r>
          </w:p>
        </w:tc>
        <w:tc>
          <w:tcPr>
            <w:tcW w:type="dxa" w:w="3485"/>
            <w:vAlign w:val="center"/>
            <w:tcMar>
              <w:top w:w="68" w:type="dxa"/>
              <w:start w:w="88" w:type="dxa"/>
              <w:bottom w:w="68" w:type="dxa"/>
              <w:end w:w="88" w:type="dxa"/>
            </w:tcMar>
          </w:tcPr>
          <w:p>
            <w:r/>
            <w:r>
              <w:rPr>
                <w:rFonts w:ascii="Aptos" w:hAnsi="Aptos"/>
                <w:b w:val="0"/>
                <w:color w:val="1B1F20"/>
                <w:sz w:val="16"/>
              </w:rPr>
              <w:t>$2,131,200</w:t>
            </w:r>
          </w:p>
        </w:tc>
      </w:tr>
      <w:tr>
        <w:tc>
          <w:tcPr>
            <w:tcW w:type="dxa" w:w="3485"/>
            <w:shd w:fill="F7F7F6"/>
            <w:vAlign w:val="center"/>
            <w:tcMar>
              <w:top w:w="68" w:type="dxa"/>
              <w:start w:w="88" w:type="dxa"/>
              <w:bottom w:w="68" w:type="dxa"/>
              <w:end w:w="88" w:type="dxa"/>
            </w:tcMar>
          </w:tcPr>
          <w:p>
            <w:r/>
            <w:r>
              <w:rPr>
                <w:rFonts w:ascii="Aptos" w:hAnsi="Aptos"/>
                <w:b/>
                <w:color w:val="1B1F20"/>
                <w:sz w:val="16"/>
              </w:rPr>
              <w:t>B — Materials + Owner-crew training</w:t>
            </w:r>
          </w:p>
        </w:tc>
        <w:tc>
          <w:tcPr>
            <w:tcW w:type="dxa" w:w="3485"/>
            <w:shd w:fill="F7F7F6"/>
            <w:vAlign w:val="center"/>
            <w:tcMar>
              <w:top w:w="68" w:type="dxa"/>
              <w:start w:w="88" w:type="dxa"/>
              <w:bottom w:w="68" w:type="dxa"/>
              <w:end w:w="88" w:type="dxa"/>
            </w:tcMar>
          </w:tcPr>
          <w:p>
            <w:r/>
            <w:r>
              <w:rPr>
                <w:rFonts w:ascii="Aptos" w:hAnsi="Aptos"/>
                <w:b w:val="0"/>
                <w:color w:val="1B1F20"/>
                <w:sz w:val="16"/>
              </w:rPr>
              <w:t>Engineering conversion, complete prefab panel materials, training, installation planning, and agreed field support so the Owner’s crew can install.</w:t>
            </w:r>
          </w:p>
        </w:tc>
        <w:tc>
          <w:tcPr>
            <w:tcW w:type="dxa" w:w="3485"/>
            <w:shd w:fill="F7F7F6"/>
            <w:vAlign w:val="center"/>
            <w:tcMar>
              <w:top w:w="68" w:type="dxa"/>
              <w:start w:w="88" w:type="dxa"/>
              <w:bottom w:w="68" w:type="dxa"/>
              <w:end w:w="88" w:type="dxa"/>
            </w:tcMar>
          </w:tcPr>
          <w:p>
            <w:r/>
            <w:r>
              <w:rPr>
                <w:rFonts w:ascii="Aptos" w:hAnsi="Aptos"/>
                <w:b w:val="0"/>
                <w:color w:val="1B1F20"/>
                <w:sz w:val="16"/>
              </w:rPr>
              <w:t>TBQ</w:t>
            </w:r>
          </w:p>
        </w:tc>
      </w:tr>
      <w:tr>
        <w:tc>
          <w:tcPr>
            <w:tcW w:type="dxa" w:w="3485"/>
            <w:vAlign w:val="center"/>
            <w:tcMar>
              <w:top w:w="68" w:type="dxa"/>
              <w:start w:w="88" w:type="dxa"/>
              <w:bottom w:w="68" w:type="dxa"/>
              <w:end w:w="88" w:type="dxa"/>
            </w:tcMar>
          </w:tcPr>
          <w:p>
            <w:r/>
            <w:r>
              <w:rPr>
                <w:rFonts w:ascii="Aptos" w:hAnsi="Aptos"/>
                <w:b/>
                <w:color w:val="1B1F20"/>
                <w:sz w:val="16"/>
              </w:rPr>
              <w:t>C — Separate Ber Wilson installation</w:t>
            </w:r>
          </w:p>
        </w:tc>
        <w:tc>
          <w:tcPr>
            <w:tcW w:type="dxa" w:w="3485"/>
            <w:vAlign w:val="center"/>
            <w:tcMar>
              <w:top w:w="68" w:type="dxa"/>
              <w:start w:w="88" w:type="dxa"/>
              <w:bottom w:w="68" w:type="dxa"/>
              <w:end w:w="88" w:type="dxa"/>
            </w:tcMar>
          </w:tcPr>
          <w:p>
            <w:r/>
            <w:r>
              <w:rPr>
                <w:rFonts w:ascii="Aptos" w:hAnsi="Aptos"/>
                <w:b w:val="0"/>
                <w:color w:val="1B1F20"/>
                <w:sz w:val="16"/>
              </w:rPr>
              <w:t>Installation requested separately from the material/training package; equipment and schedule confirmed at quote.</w:t>
            </w:r>
          </w:p>
        </w:tc>
        <w:tc>
          <w:tcPr>
            <w:tcW w:type="dxa" w:w="3485"/>
            <w:vAlign w:val="center"/>
            <w:tcMar>
              <w:top w:w="68" w:type="dxa"/>
              <w:start w:w="88" w:type="dxa"/>
              <w:bottom w:w="68" w:type="dxa"/>
              <w:end w:w="88" w:type="dxa"/>
            </w:tcMar>
          </w:tcPr>
          <w:p>
            <w:r/>
            <w:r>
              <w:rPr>
                <w:rFonts w:ascii="Aptos" w:hAnsi="Aptos"/>
                <w:b w:val="0"/>
                <w:color w:val="1B1F20"/>
                <w:sz w:val="16"/>
              </w:rPr>
              <w:t>$15.00/SF, subject to final scope</w:t>
            </w:r>
          </w:p>
        </w:tc>
      </w:tr>
      <w:tr>
        <w:tc>
          <w:tcPr>
            <w:tcW w:type="dxa" w:w="3485"/>
            <w:shd w:fill="F7F7F6"/>
            <w:vAlign w:val="center"/>
            <w:tcMar>
              <w:top w:w="68" w:type="dxa"/>
              <w:start w:w="88" w:type="dxa"/>
              <w:bottom w:w="68" w:type="dxa"/>
              <w:end w:w="88" w:type="dxa"/>
            </w:tcMar>
          </w:tcPr>
          <w:p>
            <w:r/>
            <w:r>
              <w:rPr>
                <w:rFonts w:ascii="Aptos" w:hAnsi="Aptos"/>
                <w:b/>
                <w:color w:val="1B1F20"/>
                <w:sz w:val="16"/>
              </w:rPr>
              <w:t>D — Wood-frame alternate</w:t>
            </w:r>
          </w:p>
        </w:tc>
        <w:tc>
          <w:tcPr>
            <w:tcW w:type="dxa" w:w="3485"/>
            <w:shd w:fill="F7F7F6"/>
            <w:vAlign w:val="center"/>
            <w:tcMar>
              <w:top w:w="68" w:type="dxa"/>
              <w:start w:w="88" w:type="dxa"/>
              <w:bottom w:w="68" w:type="dxa"/>
              <w:end w:w="88" w:type="dxa"/>
            </w:tcMar>
          </w:tcPr>
          <w:p>
            <w:r/>
            <w:r>
              <w:rPr>
                <w:rFonts w:ascii="Aptos" w:hAnsi="Aptos"/>
                <w:b w:val="0"/>
                <w:color w:val="1B1F20"/>
                <w:sz w:val="16"/>
              </w:rPr>
              <w:t>Separate wood-framing quotation for comparison.</w:t>
            </w:r>
          </w:p>
        </w:tc>
        <w:tc>
          <w:tcPr>
            <w:tcW w:type="dxa" w:w="3485"/>
            <w:shd w:fill="F7F7F6"/>
            <w:vAlign w:val="center"/>
            <w:tcMar>
              <w:top w:w="68" w:type="dxa"/>
              <w:start w:w="88" w:type="dxa"/>
              <w:bottom w:w="68" w:type="dxa"/>
              <w:end w:w="88" w:type="dxa"/>
            </w:tcMar>
          </w:tcPr>
          <w:p>
            <w:r/>
            <w:r>
              <w:rPr>
                <w:rFonts w:ascii="Aptos" w:hAnsi="Aptos"/>
                <w:b w:val="0"/>
                <w:color w:val="1B1F20"/>
                <w:sz w:val="16"/>
              </w:rPr>
              <w:t>TBQ</w:t>
            </w:r>
          </w:p>
        </w:tc>
      </w:tr>
    </w:tbl>
    <w:p>
      <w:pPr>
        <w:spacing w:before="0" w:after="0" w:line="20" w:lineRule="exact"/>
        <w:rPr>
          <w:sz w:val="2"/>
          <w:szCs w:val="2"/>
        </w:rPr>
      </w:pPr>
    </w:p>
    <w:tbl>
      <w:tblPr>
        <w:tblW w:type="auto" w:w="0"/>
        <w:tblLook w:firstColumn="1" w:firstRow="1" w:lastColumn="0" w:lastRow="0" w:noHBand="0" w:noVBand="1" w:val="04A0"/>
        <w:tblBorders>
          <w:top w:val="single" w:sz="5" w:color="D46E59"/>
          <w:left w:val="single" w:sz="5" w:color="D46E59"/>
          <w:bottom w:val="single" w:sz="5" w:color="D46E59"/>
          <w:right w:val="single" w:sz="5" w:color="D46E59"/>
          <w:insideH w:val="single" w:sz="5" w:color="D46E59"/>
          <w:insideV w:val="single" w:sz="5" w:color="D46E59"/>
        </w:tblBorders>
      </w:tblPr>
      <w:tblGrid>
        <w:gridCol w:w="10454"/>
      </w:tblGrid>
      <w:tr>
        <w:tc>
          <w:tcPr>
            <w:tcW w:type="dxa" w:w="10454"/>
            <w:shd w:fill="F3F4F2"/>
            <w:tcMar>
              <w:top w:w="112" w:type="dxa"/>
              <w:start w:w="132" w:type="dxa"/>
              <w:bottom w:w="112" w:type="dxa"/>
              <w:end w:w="132" w:type="dxa"/>
            </w:tcMar>
          </w:tcPr>
          <w:p>
            <w:r>
              <w:rPr>
                <w:b/>
                <w:color w:val="D46E59"/>
                <w:sz w:val="18"/>
              </w:rPr>
              <w:t>OWNER-CREW INSTALLATION — TBQ</w:t>
              <w:br/>
            </w:r>
            <w:r>
              <w:rPr>
                <w:color w:val="1B1F20"/>
                <w:sz w:val="18"/>
              </w:rPr>
              <w:t>The materials-and-training option is not priced in this quote. Ber Wilson will issue a separate TBQ proposal identifying the material package, training days, trainer count, on-site technical supervision, travel, crane/equipment responsibility, crew qualifications, installation schedule, and quality-control responsibilities.</w:t>
            </w:r>
          </w:p>
        </w:tc>
      </w:tr>
    </w:tbl>
    <w:p>
      <w:pPr>
        <w:spacing w:before="0" w:after="0" w:line="20" w:lineRule="exact"/>
        <w:rPr>
          <w:sz w:val="2"/>
          <w:szCs w:val="2"/>
        </w:rPr>
      </w:pPr>
    </w:p>
    <w:tbl>
      <w:tblPr>
        <w:tblW w:type="auto" w:w="0"/>
        <w:tblLook w:firstColumn="1" w:firstRow="1" w:lastColumn="0" w:lastRow="0" w:noHBand="0" w:noVBand="1" w:val="04A0"/>
        <w:tblBorders>
          <w:top w:val="single" w:sz="5" w:color="D46E59"/>
          <w:left w:val="single" w:sz="5" w:color="D46E59"/>
          <w:bottom w:val="single" w:sz="5" w:color="D46E59"/>
          <w:right w:val="single" w:sz="5" w:color="D46E59"/>
          <w:insideH w:val="single" w:sz="5" w:color="D46E59"/>
          <w:insideV w:val="single" w:sz="5" w:color="D46E59"/>
        </w:tblBorders>
      </w:tblPr>
      <w:tblGrid>
        <w:gridCol w:w="10454"/>
      </w:tblGrid>
      <w:tr>
        <w:tc>
          <w:tcPr>
            <w:tcW w:type="dxa" w:w="10454"/>
            <w:shd w:fill="F3F4F2"/>
            <w:tcMar>
              <w:top w:w="112" w:type="dxa"/>
              <w:start w:w="132" w:type="dxa"/>
              <w:bottom w:w="112" w:type="dxa"/>
              <w:end w:w="132" w:type="dxa"/>
            </w:tcMar>
          </w:tcPr>
          <w:p>
            <w:r>
              <w:rPr>
                <w:b/>
                <w:color w:val="D46E59"/>
                <w:sz w:val="18"/>
              </w:rPr>
              <w:t>BER WILSON INSTALLATION</w:t>
              <w:br/>
            </w:r>
            <w:r>
              <w:rPr>
                <w:color w:val="1B1F20"/>
                <w:sz w:val="18"/>
              </w:rPr>
              <w:t>If Ber Wilson installs, the rate is $15.00 per square foot, totaling $666,000 for 44,400 square feet. The price includes framing installation equipment and crane, with an anticipated 4–6 week prefab steel panel-installation timeframe.</w:t>
            </w:r>
          </w:p>
        </w:tc>
      </w:tr>
    </w:tbl>
    <w:p>
      <w:pPr>
        <w:pStyle w:val="Heading1"/>
      </w:pPr>
      <w:r>
        <w:t>Exclusions</w:t>
      </w:r>
    </w:p>
    <w:p>
      <w:pPr>
        <w:pStyle w:val="ListBullet"/>
        <w:spacing w:after="28"/>
        <w:ind w:left="288" w:hanging="173"/>
      </w:pPr>
      <w:r>
        <w:t>MEP equipment, fixtures, ductwork, piping, conduit, wiring, controls, rough-in, installation, testing, balancing, and commissioning. MEP engineering and panel channeling are included; MEP construction is excluded.</w:t>
      </w:r>
    </w:p>
    <w:p>
      <w:pPr>
        <w:pStyle w:val="ListBullet"/>
        <w:spacing w:after="28"/>
        <w:ind w:left="288" w:hanging="173"/>
      </w:pPr>
      <w:r>
        <w:t>Concrete materials, reinforcement, formwork, placement, finishing, foundations, slabs, walls, and concrete labor. Concrete interface coordination is included.</w:t>
      </w:r>
    </w:p>
    <w:p>
      <w:pPr>
        <w:pStyle w:val="ListBullet"/>
        <w:spacing w:after="28"/>
        <w:ind w:left="288" w:hanging="173"/>
      </w:pPr>
      <w:r>
        <w:t>Exterior cladding and finishes, including siding, masonry veneer, stucco, exterior metal panels, rainscreen, trim, flashings, and coatings.</w:t>
      </w:r>
    </w:p>
    <w:p>
      <w:pPr>
        <w:pStyle w:val="ListBullet"/>
        <w:spacing w:after="28"/>
        <w:ind w:left="288" w:hanging="173"/>
      </w:pPr>
      <w:r>
        <w:t>Drywall, gypsum board, taping, mudding, sanding, texture, painting, and interior finishes. These may be quoted separately.</w:t>
      </w:r>
    </w:p>
    <w:p>
      <w:pPr>
        <w:pStyle w:val="ListBullet"/>
        <w:spacing w:after="28"/>
        <w:ind w:left="288" w:hanging="173"/>
      </w:pPr>
      <w:r>
        <w:t>Roofing, waterproofing, weather-resistive barriers, glazing, windows, doors, storefront, sealants, and firestopping unless specifically listed.</w:t>
      </w:r>
    </w:p>
    <w:p>
      <w:pPr>
        <w:pStyle w:val="ListBullet"/>
        <w:spacing w:after="28"/>
        <w:ind w:left="288" w:hanging="173"/>
      </w:pPr>
      <w:r>
        <w:t>Sitework, demolition, excavation, utilities, paving, landscaping, stairs, rails, canopies, finish carpentry, and structural steel outside the prefab package.</w:t>
      </w:r>
    </w:p>
    <w:p>
      <w:pPr>
        <w:pStyle w:val="ListBullet"/>
        <w:spacing w:after="28"/>
        <w:ind w:left="288" w:hanging="173"/>
      </w:pPr>
      <w:r>
        <w:t>Insulation outside the prefab panels, permits, fees, taxes, bonds, testing, special inspections, project-wide temporary services, extraordinary crane access, and abnormal site conditions.</w:t>
      </w:r>
    </w:p>
    <w:p>
      <w:r>
        <w:br w:type="page"/>
      </w:r>
    </w:p>
    <w:p>
      <w:pPr>
        <w:pStyle w:val="Heading1"/>
      </w:pPr>
      <w:r>
        <w:t>Payment Terms</w:t>
      </w:r>
    </w:p>
    <w:tbl>
      <w:tblPr>
        <w:tblW w:type="auto" w:w="0"/>
        <w:tblLook w:firstColumn="1" w:firstRow="1" w:lastColumn="0" w:lastRow="0" w:noHBand="0" w:noVBand="1" w:val="04A0"/>
        <w:tblBorders>
          <w:top w:val="single" w:sz="5" w:color="7FA59E"/>
          <w:left w:val="single" w:sz="5" w:color="7FA59E"/>
          <w:bottom w:val="single" w:sz="5" w:color="7FA59E"/>
          <w:right w:val="single" w:sz="5" w:color="7FA59E"/>
          <w:insideH w:val="single" w:sz="5" w:color="7FA59E"/>
          <w:insideV w:val="single" w:sz="5" w:color="7FA59E"/>
        </w:tblBorders>
      </w:tblPr>
      <w:tblGrid>
        <w:gridCol w:w="10454"/>
      </w:tblGrid>
      <w:tr>
        <w:tc>
          <w:tcPr>
            <w:tcW w:type="dxa" w:w="10454"/>
            <w:shd w:fill="EAF2ED"/>
            <w:tcMar>
              <w:top w:w="112" w:type="dxa"/>
              <w:start w:w="132" w:type="dxa"/>
              <w:bottom w:w="112" w:type="dxa"/>
              <w:end w:w="132" w:type="dxa"/>
            </w:tcMar>
          </w:tcPr>
          <w:p>
            <w:r>
              <w:rPr>
                <w:b/>
                <w:color w:val="7FA59E"/>
                <w:sz w:val="18"/>
              </w:rPr>
              <w:t>PREFAB MATERIALS</w:t>
              <w:br/>
            </w:r>
            <w:r>
              <w:rPr>
                <w:color w:val="1B1F20"/>
                <w:sz w:val="18"/>
              </w:rPr>
              <w:t>100% of the prefab material amount is due upon receipt of invoice and before fabrication or material release. Fabrication begins after cleared funds and approved production documents.</w:t>
            </w:r>
          </w:p>
        </w:tc>
      </w:tr>
    </w:tbl>
    <w:p>
      <w:pPr>
        <w:spacing w:before="0" w:after="0" w:line="20" w:lineRule="exact"/>
        <w:rPr>
          <w:sz w:val="2"/>
          <w:szCs w:val="2"/>
        </w:rPr>
      </w:pPr>
    </w:p>
    <w:tbl>
      <w:tblPr>
        <w:tblW w:type="auto" w:w="0"/>
        <w:jc w:val="center"/>
        <w:tblLook w:firstColumn="1" w:firstRow="1" w:lastColumn="0" w:lastRow="0" w:noHBand="0" w:noVBand="1" w:val="04A0"/>
        <w:tblBorders>
          <w:top w:val="single" w:sz="4" w:color="C6CBCC"/>
          <w:left w:val="single" w:sz="4" w:color="C6CBCC"/>
          <w:bottom w:val="single" w:sz="4" w:color="C6CBCC"/>
          <w:right w:val="single" w:sz="4" w:color="C6CBCC"/>
          <w:insideH w:val="single" w:sz="4" w:color="C6CBCC"/>
          <w:insideV w:val="single" w:sz="4" w:color="C6CBCC"/>
        </w:tblBorders>
      </w:tblPr>
      <w:tblGrid>
        <w:gridCol w:w="5400"/>
        <w:gridCol w:w="1584"/>
        <w:gridCol w:w="2160"/>
      </w:tblGrid>
      <w:tr>
        <w:tc>
          <w:tcPr>
            <w:tcW w:type="dxa" w:w="3485"/>
            <w:shd w:fill="1B1F20"/>
            <w:vAlign w:val="center"/>
            <w:tcMar>
              <w:top w:w="68" w:type="dxa"/>
              <w:start w:w="88" w:type="dxa"/>
              <w:bottom w:w="68" w:type="dxa"/>
              <w:end w:w="88" w:type="dxa"/>
            </w:tcMar>
          </w:tcPr>
          <w:p>
            <w:r/>
            <w:r>
              <w:rPr>
                <w:rFonts w:ascii="Aptos" w:hAnsi="Aptos"/>
                <w:b/>
                <w:color w:val="FFFFFF"/>
                <w:sz w:val="16"/>
              </w:rPr>
              <w:t>Ber Wilson installation milestone</w:t>
            </w:r>
          </w:p>
        </w:tc>
        <w:tc>
          <w:tcPr>
            <w:tcW w:type="dxa" w:w="3485"/>
            <w:shd w:fill="1B1F20"/>
            <w:vAlign w:val="center"/>
            <w:tcMar>
              <w:top w:w="68" w:type="dxa"/>
              <w:start w:w="88" w:type="dxa"/>
              <w:bottom w:w="68" w:type="dxa"/>
              <w:end w:w="88" w:type="dxa"/>
            </w:tcMar>
          </w:tcPr>
          <w:p>
            <w:r/>
            <w:r>
              <w:rPr>
                <w:rFonts w:ascii="Aptos" w:hAnsi="Aptos"/>
                <w:b/>
                <w:color w:val="FFFFFF"/>
                <w:sz w:val="16"/>
              </w:rPr>
              <w:t>Percent</w:t>
            </w:r>
          </w:p>
        </w:tc>
        <w:tc>
          <w:tcPr>
            <w:tcW w:type="dxa" w:w="3485"/>
            <w:shd w:fill="1B1F20"/>
            <w:vAlign w:val="center"/>
            <w:tcMar>
              <w:top w:w="68" w:type="dxa"/>
              <w:start w:w="88" w:type="dxa"/>
              <w:bottom w:w="68" w:type="dxa"/>
              <w:end w:w="88" w:type="dxa"/>
            </w:tcMar>
          </w:tcPr>
          <w:p>
            <w:r/>
            <w:r>
              <w:rPr>
                <w:rFonts w:ascii="Aptos" w:hAnsi="Aptos"/>
                <w:b/>
                <w:color w:val="FFFFFF"/>
                <w:sz w:val="16"/>
              </w:rPr>
              <w:t>Amount</w:t>
            </w:r>
          </w:p>
        </w:tc>
      </w:tr>
      <w:tr>
        <w:tc>
          <w:tcPr>
            <w:tcW w:type="dxa" w:w="3485"/>
            <w:vAlign w:val="center"/>
            <w:tcMar>
              <w:top w:w="68" w:type="dxa"/>
              <w:start w:w="88" w:type="dxa"/>
              <w:bottom w:w="68" w:type="dxa"/>
              <w:end w:w="88" w:type="dxa"/>
            </w:tcMar>
          </w:tcPr>
          <w:p>
            <w:r/>
            <w:r>
              <w:rPr>
                <w:rFonts w:ascii="Aptos" w:hAnsi="Aptos"/>
                <w:b/>
                <w:color w:val="1B1F20"/>
                <w:sz w:val="16"/>
              </w:rPr>
              <w:t>Contract execution / mobilization</w:t>
            </w:r>
          </w:p>
        </w:tc>
        <w:tc>
          <w:tcPr>
            <w:tcW w:type="dxa" w:w="3485"/>
            <w:vAlign w:val="center"/>
            <w:tcMar>
              <w:top w:w="68" w:type="dxa"/>
              <w:start w:w="88" w:type="dxa"/>
              <w:bottom w:w="68" w:type="dxa"/>
              <w:end w:w="88" w:type="dxa"/>
            </w:tcMar>
          </w:tcPr>
          <w:p>
            <w:r/>
            <w:r>
              <w:rPr>
                <w:rFonts w:ascii="Aptos" w:hAnsi="Aptos"/>
                <w:b w:val="0"/>
                <w:color w:val="1B1F20"/>
                <w:sz w:val="16"/>
              </w:rPr>
              <w:t>50%</w:t>
            </w:r>
          </w:p>
        </w:tc>
        <w:tc>
          <w:tcPr>
            <w:tcW w:type="dxa" w:w="3485"/>
            <w:vAlign w:val="center"/>
            <w:tcMar>
              <w:top w:w="68" w:type="dxa"/>
              <w:start w:w="88" w:type="dxa"/>
              <w:bottom w:w="68" w:type="dxa"/>
              <w:end w:w="88" w:type="dxa"/>
            </w:tcMar>
          </w:tcPr>
          <w:p>
            <w:r/>
            <w:r>
              <w:rPr>
                <w:rFonts w:ascii="Aptos" w:hAnsi="Aptos"/>
                <w:b w:val="0"/>
                <w:color w:val="1B1F20"/>
                <w:sz w:val="16"/>
              </w:rPr>
              <w:t>$333,000</w:t>
            </w:r>
          </w:p>
        </w:tc>
      </w:tr>
      <w:tr>
        <w:tc>
          <w:tcPr>
            <w:tcW w:type="dxa" w:w="3485"/>
            <w:shd w:fill="F7F7F6"/>
            <w:vAlign w:val="center"/>
            <w:tcMar>
              <w:top w:w="68" w:type="dxa"/>
              <w:start w:w="88" w:type="dxa"/>
              <w:bottom w:w="68" w:type="dxa"/>
              <w:end w:w="88" w:type="dxa"/>
            </w:tcMar>
          </w:tcPr>
          <w:p>
            <w:r/>
            <w:r>
              <w:rPr>
                <w:rFonts w:ascii="Aptos" w:hAnsi="Aptos"/>
                <w:b/>
                <w:color w:val="1B1F20"/>
                <w:sz w:val="16"/>
              </w:rPr>
              <w:t>50% framing completion</w:t>
            </w:r>
          </w:p>
        </w:tc>
        <w:tc>
          <w:tcPr>
            <w:tcW w:type="dxa" w:w="3485"/>
            <w:shd w:fill="F7F7F6"/>
            <w:vAlign w:val="center"/>
            <w:tcMar>
              <w:top w:w="68" w:type="dxa"/>
              <w:start w:w="88" w:type="dxa"/>
              <w:bottom w:w="68" w:type="dxa"/>
              <w:end w:w="88" w:type="dxa"/>
            </w:tcMar>
          </w:tcPr>
          <w:p>
            <w:r/>
            <w:r>
              <w:rPr>
                <w:rFonts w:ascii="Aptos" w:hAnsi="Aptos"/>
                <w:b w:val="0"/>
                <w:color w:val="1B1F20"/>
                <w:sz w:val="16"/>
              </w:rPr>
              <w:t>25%</w:t>
            </w:r>
          </w:p>
        </w:tc>
        <w:tc>
          <w:tcPr>
            <w:tcW w:type="dxa" w:w="3485"/>
            <w:shd w:fill="F7F7F6"/>
            <w:vAlign w:val="center"/>
            <w:tcMar>
              <w:top w:w="68" w:type="dxa"/>
              <w:start w:w="88" w:type="dxa"/>
              <w:bottom w:w="68" w:type="dxa"/>
              <w:end w:w="88" w:type="dxa"/>
            </w:tcMar>
          </w:tcPr>
          <w:p>
            <w:r/>
            <w:r>
              <w:rPr>
                <w:rFonts w:ascii="Aptos" w:hAnsi="Aptos"/>
                <w:b w:val="0"/>
                <w:color w:val="1B1F20"/>
                <w:sz w:val="16"/>
              </w:rPr>
              <w:t>$166,500</w:t>
            </w:r>
          </w:p>
        </w:tc>
      </w:tr>
      <w:tr>
        <w:tc>
          <w:tcPr>
            <w:tcW w:type="dxa" w:w="3485"/>
            <w:vAlign w:val="center"/>
            <w:tcMar>
              <w:top w:w="68" w:type="dxa"/>
              <w:start w:w="88" w:type="dxa"/>
              <w:bottom w:w="68" w:type="dxa"/>
              <w:end w:w="88" w:type="dxa"/>
            </w:tcMar>
          </w:tcPr>
          <w:p>
            <w:r/>
            <w:r>
              <w:rPr>
                <w:rFonts w:ascii="Aptos" w:hAnsi="Aptos"/>
                <w:b/>
                <w:color w:val="1B1F20"/>
                <w:sz w:val="16"/>
              </w:rPr>
              <w:t>90% framing completion</w:t>
            </w:r>
          </w:p>
        </w:tc>
        <w:tc>
          <w:tcPr>
            <w:tcW w:type="dxa" w:w="3485"/>
            <w:vAlign w:val="center"/>
            <w:tcMar>
              <w:top w:w="68" w:type="dxa"/>
              <w:start w:w="88" w:type="dxa"/>
              <w:bottom w:w="68" w:type="dxa"/>
              <w:end w:w="88" w:type="dxa"/>
            </w:tcMar>
          </w:tcPr>
          <w:p>
            <w:r/>
            <w:r>
              <w:rPr>
                <w:rFonts w:ascii="Aptos" w:hAnsi="Aptos"/>
                <w:b w:val="0"/>
                <w:color w:val="1B1F20"/>
                <w:sz w:val="16"/>
              </w:rPr>
              <w:t>20%</w:t>
            </w:r>
          </w:p>
        </w:tc>
        <w:tc>
          <w:tcPr>
            <w:tcW w:type="dxa" w:w="3485"/>
            <w:vAlign w:val="center"/>
            <w:tcMar>
              <w:top w:w="68" w:type="dxa"/>
              <w:start w:w="88" w:type="dxa"/>
              <w:bottom w:w="68" w:type="dxa"/>
              <w:end w:w="88" w:type="dxa"/>
            </w:tcMar>
          </w:tcPr>
          <w:p>
            <w:r/>
            <w:r>
              <w:rPr>
                <w:rFonts w:ascii="Aptos" w:hAnsi="Aptos"/>
                <w:b w:val="0"/>
                <w:color w:val="1B1F20"/>
                <w:sz w:val="16"/>
              </w:rPr>
              <w:t>$133,200</w:t>
            </w:r>
          </w:p>
        </w:tc>
      </w:tr>
      <w:tr>
        <w:tc>
          <w:tcPr>
            <w:tcW w:type="dxa" w:w="3485"/>
            <w:shd w:fill="F7F7F6"/>
            <w:vAlign w:val="center"/>
            <w:tcMar>
              <w:top w:w="68" w:type="dxa"/>
              <w:start w:w="88" w:type="dxa"/>
              <w:bottom w:w="68" w:type="dxa"/>
              <w:end w:w="88" w:type="dxa"/>
            </w:tcMar>
          </w:tcPr>
          <w:p>
            <w:r/>
            <w:r>
              <w:rPr>
                <w:rFonts w:ascii="Aptos" w:hAnsi="Aptos"/>
                <w:b/>
                <w:color w:val="1B1F20"/>
                <w:sz w:val="16"/>
              </w:rPr>
              <w:t>Successful completion and framing inspection</w:t>
            </w:r>
          </w:p>
        </w:tc>
        <w:tc>
          <w:tcPr>
            <w:tcW w:type="dxa" w:w="3485"/>
            <w:shd w:fill="F7F7F6"/>
            <w:vAlign w:val="center"/>
            <w:tcMar>
              <w:top w:w="68" w:type="dxa"/>
              <w:start w:w="88" w:type="dxa"/>
              <w:bottom w:w="68" w:type="dxa"/>
              <w:end w:w="88" w:type="dxa"/>
            </w:tcMar>
          </w:tcPr>
          <w:p>
            <w:r/>
            <w:r>
              <w:rPr>
                <w:rFonts w:ascii="Aptos" w:hAnsi="Aptos"/>
                <w:b w:val="0"/>
                <w:color w:val="1B1F20"/>
                <w:sz w:val="16"/>
              </w:rPr>
              <w:t>5%</w:t>
            </w:r>
          </w:p>
        </w:tc>
        <w:tc>
          <w:tcPr>
            <w:tcW w:type="dxa" w:w="3485"/>
            <w:shd w:fill="F7F7F6"/>
            <w:vAlign w:val="center"/>
            <w:tcMar>
              <w:top w:w="68" w:type="dxa"/>
              <w:start w:w="88" w:type="dxa"/>
              <w:bottom w:w="68" w:type="dxa"/>
              <w:end w:w="88" w:type="dxa"/>
            </w:tcMar>
          </w:tcPr>
          <w:p>
            <w:r/>
            <w:r>
              <w:rPr>
                <w:rFonts w:ascii="Aptos" w:hAnsi="Aptos"/>
                <w:b w:val="0"/>
                <w:color w:val="1B1F20"/>
                <w:sz w:val="16"/>
              </w:rPr>
              <w:t>$33,300</w:t>
            </w:r>
          </w:p>
        </w:tc>
      </w:tr>
      <w:tr>
        <w:tc>
          <w:tcPr>
            <w:tcW w:type="dxa" w:w="3485"/>
            <w:shd w:fill="EAF2ED"/>
            <w:vAlign w:val="center"/>
            <w:tcMar>
              <w:top w:w="68" w:type="dxa"/>
              <w:start w:w="88" w:type="dxa"/>
              <w:bottom w:w="68" w:type="dxa"/>
              <w:end w:w="88" w:type="dxa"/>
            </w:tcMar>
          </w:tcPr>
          <w:p>
            <w:r/>
            <w:r>
              <w:rPr>
                <w:rFonts w:ascii="Aptos" w:hAnsi="Aptos"/>
                <w:b/>
                <w:color w:val="1B1F20"/>
                <w:sz w:val="16"/>
              </w:rPr>
              <w:t>TOTAL INSTALLATION</w:t>
            </w:r>
          </w:p>
        </w:tc>
        <w:tc>
          <w:tcPr>
            <w:tcW w:type="dxa" w:w="3485"/>
            <w:shd w:fill="EAF2ED"/>
            <w:vAlign w:val="center"/>
            <w:tcMar>
              <w:top w:w="68" w:type="dxa"/>
              <w:start w:w="88" w:type="dxa"/>
              <w:bottom w:w="68" w:type="dxa"/>
              <w:end w:w="88" w:type="dxa"/>
            </w:tcMar>
          </w:tcPr>
          <w:p>
            <w:r/>
            <w:r>
              <w:rPr>
                <w:rFonts w:ascii="Aptos" w:hAnsi="Aptos"/>
                <w:b/>
                <w:color w:val="1B1F20"/>
                <w:sz w:val="16"/>
              </w:rPr>
              <w:t>100%</w:t>
            </w:r>
          </w:p>
        </w:tc>
        <w:tc>
          <w:tcPr>
            <w:tcW w:type="dxa" w:w="3485"/>
            <w:shd w:fill="EAF2ED"/>
            <w:vAlign w:val="center"/>
            <w:tcMar>
              <w:top w:w="68" w:type="dxa"/>
              <w:start w:w="88" w:type="dxa"/>
              <w:bottom w:w="68" w:type="dxa"/>
              <w:end w:w="88" w:type="dxa"/>
            </w:tcMar>
          </w:tcPr>
          <w:p>
            <w:r/>
            <w:r>
              <w:rPr>
                <w:rFonts w:ascii="Aptos" w:hAnsi="Aptos"/>
                <w:b/>
                <w:color w:val="1B1F20"/>
                <w:sz w:val="16"/>
              </w:rPr>
              <w:t>$666,000</w:t>
            </w:r>
          </w:p>
        </w:tc>
      </w:tr>
    </w:tbl>
    <w:p>
      <w:r>
        <w:t>The materials-and-training option will have separate payment terms in the TBQ proposal.</w:t>
      </w:r>
    </w:p>
    <w:p>
      <w:pPr>
        <w:pStyle w:val="Heading1"/>
      </w:pPr>
      <w:r>
        <w:t>Quote Terms</w:t>
      </w:r>
    </w:p>
    <w:p>
      <w:pPr>
        <w:pStyle w:val="ListBullet"/>
        <w:spacing w:after="28"/>
        <w:ind w:left="288" w:hanging="173"/>
      </w:pPr>
      <w:r>
        <w:t>Quote valid for 30 calendar days and subject to final plans, approved engineering conversion, final takeoff, schedule, site review, and executed agreement.</w:t>
      </w:r>
    </w:p>
    <w:p>
      <w:pPr>
        <w:pStyle w:val="ListBullet"/>
        <w:spacing w:after="28"/>
        <w:ind w:left="288" w:hanging="173"/>
      </w:pPr>
      <w:r>
        <w:t>Changes, concealed conditions, incomplete concrete, inaccurate anchors, restricted access, abnormal weather, overtime, trade interference, or remobilization may adjust price and schedule.</w:t>
      </w:r>
    </w:p>
    <w:p>
      <w:pPr>
        <w:pStyle w:val="ListBullet"/>
        <w:spacing w:after="28"/>
        <w:ind w:left="288" w:hanging="173"/>
      </w:pPr>
      <w:r>
        <w:t>Fabrication begins after required approvals, production documents, and material payment are received.</w:t>
      </w:r>
    </w:p>
    <w:p>
      <w:pPr>
        <w:pStyle w:val="ListBullet"/>
        <w:spacing w:after="28"/>
        <w:ind w:left="288" w:hanging="173"/>
      </w:pPr>
      <w:r>
        <w:t>Materials with Owner-crew training, drywall, cladding, MEP construction, concrete construction, and wood framing require separate written quotes.</w:t>
      </w:r>
    </w:p>
    <w:p>
      <w:pPr>
        <w:pStyle w:val="Heading1"/>
      </w:pPr>
      <w:r>
        <w:t>Acceptance</w:t>
      </w:r>
    </w:p>
    <w:tbl>
      <w:tblPr>
        <w:tblW w:type="auto" w:w="0"/>
        <w:tblLook w:firstColumn="1" w:firstRow="1" w:lastColumn="0" w:lastRow="0" w:noHBand="0" w:noVBand="1" w:val="04A0"/>
        <w:tblBorders>
          <w:top w:val="single" w:sz="5" w:color="7FA59E"/>
          <w:left w:val="single" w:sz="5" w:color="7FA59E"/>
          <w:bottom w:val="single" w:sz="5" w:color="7FA59E"/>
          <w:right w:val="single" w:sz="5" w:color="7FA59E"/>
          <w:insideH w:val="single" w:sz="5" w:color="7FA59E"/>
          <w:insideV w:val="single" w:sz="5" w:color="7FA59E"/>
        </w:tblBorders>
      </w:tblPr>
      <w:tblGrid>
        <w:gridCol w:w="10454"/>
      </w:tblGrid>
      <w:tr>
        <w:tc>
          <w:tcPr>
            <w:tcW w:type="dxa" w:w="10454"/>
            <w:shd w:fill="EAF2ED"/>
            <w:tcMar>
              <w:top w:w="112" w:type="dxa"/>
              <w:start w:w="132" w:type="dxa"/>
              <w:bottom w:w="112" w:type="dxa"/>
              <w:end w:w="132" w:type="dxa"/>
            </w:tcMar>
          </w:tcPr>
          <w:p>
            <w:r>
              <w:rPr>
                <w:b/>
                <w:color w:val="7FA59E"/>
                <w:sz w:val="18"/>
              </w:rPr>
              <w:t>TOTAL BER WILSON TURNKEY QUOTE</w:t>
              <w:br/>
            </w:r>
            <w:r>
              <w:rPr>
                <w:color w:val="1B1F20"/>
                <w:sz w:val="18"/>
              </w:rPr>
              <w:t>$2,131,200</w:t>
            </w:r>
          </w:p>
        </w:tc>
      </w:tr>
    </w:tbl>
    <w:p>
      <w:pPr>
        <w:spacing w:before="0" w:after="0" w:line="20" w:lineRule="exact"/>
        <w:rPr>
          <w:sz w:val="2"/>
          <w:szCs w:val="2"/>
        </w:rPr>
      </w:pPr>
    </w:p>
    <w:tbl>
      <w:tblPr>
        <w:tblW w:type="auto" w:w="0"/>
        <w:jc w:val="center"/>
        <w:tblLook w:firstColumn="1" w:firstRow="1" w:lastColumn="0" w:lastRow="0" w:noHBand="0" w:noVBand="1" w:val="04A0"/>
        <w:tblBorders>
          <w:top w:val="single" w:sz="4" w:color="C6CBCC"/>
          <w:left w:val="single" w:sz="4" w:color="C6CBCC"/>
          <w:bottom w:val="single" w:sz="4" w:color="C6CBCC"/>
          <w:right w:val="single" w:sz="4" w:color="C6CBCC"/>
          <w:insideH w:val="single" w:sz="4" w:color="C6CBCC"/>
          <w:insideV w:val="single" w:sz="4" w:color="C6CBCC"/>
        </w:tblBorders>
      </w:tblPr>
      <w:tblGrid>
        <w:gridCol w:w="4968"/>
        <w:gridCol w:w="4968"/>
      </w:tblGrid>
      <w:tr>
        <w:tc>
          <w:tcPr>
            <w:tcW w:type="dxa" w:w="5227"/>
            <w:shd w:fill="1B1F20"/>
            <w:vAlign w:val="center"/>
            <w:tcMar>
              <w:top w:w="68" w:type="dxa"/>
              <w:start w:w="88" w:type="dxa"/>
              <w:bottom w:w="68" w:type="dxa"/>
              <w:end w:w="88" w:type="dxa"/>
            </w:tcMar>
          </w:tcPr>
          <w:p>
            <w:r/>
            <w:r>
              <w:rPr>
                <w:rFonts w:ascii="Aptos" w:hAnsi="Aptos"/>
                <w:b/>
                <w:color w:val="FFFFFF"/>
                <w:sz w:val="16"/>
              </w:rPr>
              <w:t>CLIENT ACCEPTANCE</w:t>
            </w:r>
          </w:p>
        </w:tc>
        <w:tc>
          <w:tcPr>
            <w:tcW w:type="dxa" w:w="5227"/>
            <w:shd w:fill="1B1F20"/>
            <w:vAlign w:val="center"/>
            <w:tcMar>
              <w:top w:w="68" w:type="dxa"/>
              <w:start w:w="88" w:type="dxa"/>
              <w:bottom w:w="68" w:type="dxa"/>
              <w:end w:w="88" w:type="dxa"/>
            </w:tcMar>
          </w:tcPr>
          <w:p>
            <w:r/>
            <w:r>
              <w:rPr>
                <w:rFonts w:ascii="Aptos" w:hAnsi="Aptos"/>
                <w:b/>
                <w:color w:val="FFFFFF"/>
                <w:sz w:val="16"/>
              </w:rPr>
              <w:t>BER WILSON</w:t>
            </w:r>
          </w:p>
        </w:tc>
      </w:tr>
      <w:tr>
        <w:tc>
          <w:tcPr>
            <w:tcW w:type="dxa" w:w="5227"/>
            <w:vAlign w:val="center"/>
            <w:tcMar>
              <w:top w:w="68" w:type="dxa"/>
              <w:start w:w="88" w:type="dxa"/>
              <w:bottom w:w="68" w:type="dxa"/>
              <w:end w:w="88" w:type="dxa"/>
            </w:tcMar>
          </w:tcPr>
          <w:p>
            <w:r/>
            <w:r>
              <w:rPr>
                <w:rFonts w:ascii="Aptos" w:hAnsi="Aptos"/>
                <w:b/>
                <w:color w:val="1B1F20"/>
                <w:sz w:val="16"/>
              </w:rPr>
              <w:t>Company: Four Amigos Development, LLC</w:t>
            </w:r>
          </w:p>
        </w:tc>
        <w:tc>
          <w:tcPr>
            <w:tcW w:type="dxa" w:w="5227"/>
            <w:vAlign w:val="center"/>
            <w:tcMar>
              <w:top w:w="68" w:type="dxa"/>
              <w:start w:w="88" w:type="dxa"/>
              <w:bottom w:w="68" w:type="dxa"/>
              <w:end w:w="88" w:type="dxa"/>
            </w:tcMar>
          </w:tcPr>
          <w:p>
            <w:r/>
            <w:r>
              <w:rPr>
                <w:rFonts w:ascii="Aptos" w:hAnsi="Aptos"/>
                <w:b w:val="0"/>
                <w:color w:val="1B1F20"/>
                <w:sz w:val="16"/>
              </w:rPr>
              <w:t>Estimator: Ericson Tua’one</w:t>
            </w:r>
          </w:p>
        </w:tc>
      </w:tr>
      <w:tr>
        <w:tc>
          <w:tcPr>
            <w:tcW w:type="dxa" w:w="5227"/>
            <w:shd w:fill="F7F7F6"/>
            <w:vAlign w:val="center"/>
            <w:tcMar>
              <w:top w:w="68" w:type="dxa"/>
              <w:start w:w="88" w:type="dxa"/>
              <w:bottom w:w="68" w:type="dxa"/>
              <w:end w:w="88" w:type="dxa"/>
            </w:tcMar>
          </w:tcPr>
          <w:p>
            <w:r/>
            <w:r>
              <w:rPr>
                <w:rFonts w:ascii="Aptos" w:hAnsi="Aptos"/>
                <w:b/>
                <w:color w:val="1B1F20"/>
                <w:sz w:val="16"/>
              </w:rPr>
              <w:t>Name: ______________________________</w:t>
            </w:r>
          </w:p>
        </w:tc>
        <w:tc>
          <w:tcPr>
            <w:tcW w:type="dxa" w:w="5227"/>
            <w:shd w:fill="F7F7F6"/>
            <w:vAlign w:val="center"/>
            <w:tcMar>
              <w:top w:w="68" w:type="dxa"/>
              <w:start w:w="88" w:type="dxa"/>
              <w:bottom w:w="68" w:type="dxa"/>
              <w:end w:w="88" w:type="dxa"/>
            </w:tcMar>
          </w:tcPr>
          <w:p>
            <w:r/>
            <w:r>
              <w:rPr>
                <w:rFonts w:ascii="Aptos" w:hAnsi="Aptos"/>
                <w:b w:val="0"/>
                <w:color w:val="1B1F20"/>
                <w:sz w:val="16"/>
              </w:rPr>
              <w:t>Email: info@berwilson.com</w:t>
            </w:r>
          </w:p>
        </w:tc>
      </w:tr>
      <w:tr>
        <w:tc>
          <w:tcPr>
            <w:tcW w:type="dxa" w:w="5227"/>
            <w:vAlign w:val="center"/>
            <w:tcMar>
              <w:top w:w="68" w:type="dxa"/>
              <w:start w:w="88" w:type="dxa"/>
              <w:bottom w:w="68" w:type="dxa"/>
              <w:end w:w="88" w:type="dxa"/>
            </w:tcMar>
          </w:tcPr>
          <w:p>
            <w:r/>
            <w:r>
              <w:rPr>
                <w:rFonts w:ascii="Aptos" w:hAnsi="Aptos"/>
                <w:b/>
                <w:color w:val="1B1F20"/>
                <w:sz w:val="16"/>
              </w:rPr>
              <w:t>Title: _______________________________</w:t>
            </w:r>
          </w:p>
        </w:tc>
        <w:tc>
          <w:tcPr>
            <w:tcW w:type="dxa" w:w="5227"/>
            <w:vAlign w:val="center"/>
            <w:tcMar>
              <w:top w:w="68" w:type="dxa"/>
              <w:start w:w="88" w:type="dxa"/>
              <w:bottom w:w="68" w:type="dxa"/>
              <w:end w:w="88" w:type="dxa"/>
            </w:tcMar>
          </w:tcPr>
          <w:p>
            <w:r/>
            <w:r>
              <w:rPr>
                <w:rFonts w:ascii="Aptos" w:hAnsi="Aptos"/>
                <w:b w:val="0"/>
                <w:color w:val="1B1F20"/>
                <w:sz w:val="16"/>
              </w:rPr>
              <w:t>Phone: 385-436-5507</w:t>
            </w:r>
          </w:p>
        </w:tc>
      </w:tr>
      <w:tr>
        <w:tc>
          <w:tcPr>
            <w:tcW w:type="dxa" w:w="5227"/>
            <w:shd w:fill="F7F7F6"/>
            <w:vAlign w:val="center"/>
            <w:tcMar>
              <w:top w:w="68" w:type="dxa"/>
              <w:start w:w="88" w:type="dxa"/>
              <w:bottom w:w="68" w:type="dxa"/>
              <w:end w:w="88" w:type="dxa"/>
            </w:tcMar>
          </w:tcPr>
          <w:p>
            <w:r/>
            <w:r>
              <w:rPr>
                <w:rFonts w:ascii="Aptos" w:hAnsi="Aptos"/>
                <w:b/>
                <w:color w:val="1B1F20"/>
                <w:sz w:val="16"/>
              </w:rPr>
              <w:t>Signature: ___________________________</w:t>
            </w:r>
          </w:p>
        </w:tc>
        <w:tc>
          <w:tcPr>
            <w:tcW w:type="dxa" w:w="5227"/>
            <w:shd w:fill="F7F7F6"/>
            <w:vAlign w:val="center"/>
            <w:tcMar>
              <w:top w:w="68" w:type="dxa"/>
              <w:start w:w="88" w:type="dxa"/>
              <w:bottom w:w="68" w:type="dxa"/>
              <w:end w:w="88" w:type="dxa"/>
            </w:tcMar>
          </w:tcPr>
          <w:p>
            <w:r/>
            <w:r>
              <w:rPr>
                <w:rFonts w:ascii="Aptos" w:hAnsi="Aptos"/>
                <w:b w:val="0"/>
                <w:color w:val="1B1F20"/>
                <w:sz w:val="16"/>
              </w:rPr>
              <w:t>Signature: ___________________________</w:t>
            </w:r>
          </w:p>
        </w:tc>
      </w:tr>
      <w:tr>
        <w:tc>
          <w:tcPr>
            <w:tcW w:type="dxa" w:w="5227"/>
            <w:vAlign w:val="center"/>
            <w:tcMar>
              <w:top w:w="68" w:type="dxa"/>
              <w:start w:w="88" w:type="dxa"/>
              <w:bottom w:w="68" w:type="dxa"/>
              <w:end w:w="88" w:type="dxa"/>
            </w:tcMar>
          </w:tcPr>
          <w:p>
            <w:r/>
            <w:r>
              <w:rPr>
                <w:rFonts w:ascii="Aptos" w:hAnsi="Aptos"/>
                <w:b/>
                <w:color w:val="1B1F20"/>
                <w:sz w:val="16"/>
              </w:rPr>
              <w:t>Date: _______________________________</w:t>
            </w:r>
          </w:p>
        </w:tc>
        <w:tc>
          <w:tcPr>
            <w:tcW w:type="dxa" w:w="5227"/>
            <w:vAlign w:val="center"/>
            <w:tcMar>
              <w:top w:w="68" w:type="dxa"/>
              <w:start w:w="88" w:type="dxa"/>
              <w:bottom w:w="68" w:type="dxa"/>
              <w:end w:w="88" w:type="dxa"/>
            </w:tcMar>
          </w:tcPr>
          <w:p>
            <w:r/>
            <w:r>
              <w:rPr>
                <w:rFonts w:ascii="Aptos" w:hAnsi="Aptos"/>
                <w:b w:val="0"/>
                <w:color w:val="1B1F20"/>
                <w:sz w:val="16"/>
              </w:rPr>
              <w:t>Date: _______________________________</w:t>
            </w:r>
          </w:p>
        </w:tc>
      </w:tr>
    </w:tbl>
    <w:p>
      <w:pPr>
        <w:spacing w:before="140"/>
      </w:pPr>
      <w:r>
        <w:rPr>
          <w:b/>
        </w:rPr>
        <w:t xml:space="preserve">Requested option:  </w:t>
      </w:r>
      <w:r>
        <w:t>☐ Ber Wilson turnkey installation   ☐ Materials + crew training (TBQ)   ☐ Wood-frame alternate (TBQ)</w:t>
      </w:r>
    </w:p>
    <w:p>
      <w:pPr>
        <w:spacing w:after="140"/>
        <w:jc w:val="center"/>
      </w:pPr>
      <w:r>
        <w:drawing>
          <wp:inline xmlns:a="http://schemas.openxmlformats.org/drawingml/2006/main" xmlns:pic="http://schemas.openxmlformats.org/drawingml/2006/picture">
            <wp:extent cx="3200400" cy="1317812"/>
            <wp:docPr id="2" name="Picture 2"/>
            <wp:cNvGraphicFramePr>
              <a:graphicFrameLocks noChangeAspect="1"/>
            </wp:cNvGraphicFramePr>
            <a:graphic>
              <a:graphicData uri="http://schemas.openxmlformats.org/drawingml/2006/picture">
                <pic:pic>
                  <pic:nvPicPr>
                    <pic:cNvPr id="0" name="ber-logo-clean.png"/>
                    <pic:cNvPicPr/>
                  </pic:nvPicPr>
                  <pic:blipFill>
                    <a:blip r:embed="rId10"/>
                    <a:stretch>
                      <a:fillRect/>
                    </a:stretch>
                  </pic:blipFill>
                  <pic:spPr>
                    <a:xfrm>
                      <a:off x="0" y="0"/>
                      <a:ext cx="3200400" cy="1317812"/>
                    </a:xfrm>
                    <a:prstGeom prst="rect"/>
                  </pic:spPr>
                </pic:pic>
              </a:graphicData>
            </a:graphic>
          </wp:inline>
        </w:drawing>
      </w:r>
    </w:p>
    <w:sectPr w:rsidR="00FC693F" w:rsidRPr="0006063C" w:rsidSect="00034616">
      <w:footerReference w:type="default" r:id="rId9"/>
      <w:pgSz w:w="12240" w:h="15840"/>
      <w:pgMar w:top="605" w:right="893" w:bottom="691" w:left="893" w:header="720"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687078"/>
        <w:sz w:val="14"/>
      </w:rPr>
      <w:t xml:space="preserve">BER WILSON  |  BUILDING FUTURES  |  info@berwilson.com  |  385-436-5507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B1F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B1F2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D46E5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 Vista Prefab Steel Framing Quote — TBQ Training Option</dc:title>
  <dc:subject>Turnkey installation at $15/SF and materials-plus-training TBQ</dc:subject>
  <dc:creator>Ber Wilson — Ericson Tua’one, Estimator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