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80"/>
      </w:pPr>
      <w:r>
        <w:t xml:space="preserve"/>
      </w:r>
    </w:p>
    <w:p>
      <w:pPr>
        <w:spacing w:before="0" w:after="40"/>
        <w:jc w:val="center"/>
      </w:pPr>
      <w:r>
        <w:rPr>
          <w:rFonts w:ascii="Arial" w:cs="Arial" w:eastAsia="Arial" w:hAnsi="Arial"/>
          <w:b/>
          <w:bCs/>
          <w:color w:val="1A1A2E"/>
          <w:sz w:val="100"/>
          <w:szCs w:val="100"/>
        </w:rPr>
        <w:t xml:space="preserve">TROV</w:t>
      </w:r>
    </w:p>
    <w:p>
      <w:pPr>
        <w:spacing w:before="0" w:after="120"/>
        <w:jc w:val="center"/>
      </w:pPr>
      <w:r>
        <w:rPr>
          <w:rFonts w:ascii="Arial" w:cs="Arial" w:eastAsia="Arial" w:hAnsi="Arial"/>
          <w:i/>
          <w:iCs/>
          <w:color w:val="555555"/>
          <w:sz w:val="28"/>
          <w:szCs w:val="28"/>
        </w:rPr>
        <w:t xml:space="preserve">Internal Financial &amp; Strategy Brief</w:t>
      </w:r>
    </w:p>
    <w:p>
      <w:pPr>
        <w:pBdr>
          <w:bottom w:val="single" w:color="8B0000" w:sz="8" w:space="1"/>
        </w:pBdr>
        <w:spacing w:before="0" w:after="0"/>
      </w:pPr>
      <w:r>
        <w:t xml:space="preserve"/>
      </w:r>
    </w:p>
    <w:p>
      <w:pPr>
        <w:spacing w:before="80" w:after="80"/>
      </w:pPr>
      <w:r>
        <w:t xml:space="preserve"/>
      </w:r>
    </w:p>
    <w:p>
      <w:pPr>
        <w:spacing w:before="0" w:after="60"/>
        <w:jc w:val="center"/>
      </w:pPr>
      <w:r>
        <w:rPr>
          <w:rFonts w:ascii="Arial" w:cs="Arial" w:eastAsia="Arial" w:hAnsi="Arial"/>
          <w:b/>
          <w:bCs/>
          <w:color w:val="8B0000"/>
          <w:sz w:val="26"/>
          <w:szCs w:val="26"/>
        </w:rPr>
        <w:t xml:space="preserve">⛔  CONFIDENTIAL — NOT FOR CLIENT DISTRIBUTION  ⛔</w:t>
      </w:r>
    </w:p>
    <w:p>
      <w:pPr>
        <w:spacing w:before="60" w:after="80"/>
      </w:pPr>
      <w:r>
        <w:t xml:space="preserve"/>
      </w:r>
    </w:p>
    <w:p>
      <w:pPr>
        <w:spacing w:before="0" w:after="60"/>
        <w:jc w:val="center"/>
      </w:pPr>
      <w:r>
        <w:rPr>
          <w:rFonts w:ascii="Arial" w:cs="Arial" w:eastAsia="Arial" w:hAnsi="Arial"/>
          <w:color w:val="555555"/>
          <w:sz w:val="22"/>
          <w:szCs w:val="22"/>
        </w:rPr>
        <w:t xml:space="preserve">Antidote Group Internal Use Only  ·  Beryl + Partners</w:t>
      </w:r>
    </w:p>
    <w:p>
      <w:pPr>
        <w:spacing w:before="0" w:after="60"/>
        <w:jc w:val="center"/>
      </w:pPr>
      <w:r>
        <w:rPr>
          <w:rFonts w:ascii="Arial" w:cs="Arial" w:eastAsia="Arial" w:hAnsi="Arial"/>
          <w:color w:val="999999"/>
          <w:sz w:val="22"/>
          <w:szCs w:val="22"/>
        </w:rPr>
        <w:t xml:space="preserve">March 2026</w:t>
      </w:r>
    </w:p>
    <w:p>
      <w:pPr>
        <w:spacing w:before="280" w:after="80"/>
      </w:pPr>
      <w:r>
        <w:t xml:space="preserve"/>
      </w:r>
    </w:p>
    <w:p>
      <w:pPr>
        <w:pBdr>
          <w:bottom w:val="single" w:color="8B0000" w:sz="8" w:space="1"/>
        </w:pBdr>
        <w:spacing w:before="0" w:after="0"/>
      </w:pPr>
      <w:r>
        <w:t xml:space="preserve"/>
      </w:r>
    </w:p>
    <w:p>
      <w:pPr>
        <w:spacing w:before="80" w:after="80"/>
      </w:pPr>
      <w:r>
        <w:t xml:space="preserve"/>
      </w:r>
    </w:p>
    <w:tbl>
      <w:tblPr>
        <w:tblW w:type="dxa" w:w="9360"/>
        <w:tblBorders>
          <w:top w:val="none" w:color="FFFFFF" w:sz="0"/>
          <w:left w:val="single" w:color="auto" w:sz="4"/>
          <w:bottom w:val="none" w:color="FFFFFF" w:sz="0"/>
          <w:right w:val="single" w:color="auto" w:sz="4"/>
          <w:insideH w:val="single" w:color="auto" w:sz="4"/>
          <w:insideV w:val="single" w:color="auto" w:sz="4"/>
        </w:tblBorders>
      </w:tblPr>
      <w:tblGrid>
        <w:gridCol w:w="9360"/>
      </w:tblGrid>
      <w:tr>
        <w:tc>
          <w:tcPr>
            <w:tcW w:type="dxa" w:w="9360"/>
            <w:tcBorders>
              <w:top w:val="single" w:color="8B0000" w:sz="8"/>
              <w:left w:val="single" w:color="8B0000" w:sz="8"/>
              <w:bottom w:val="single" w:color="8B0000" w:sz="8"/>
              <w:right w:val="single" w:color="8B0000" w:sz="8"/>
            </w:tcBorders>
            <w:shd w:fill="FFF0F0" w:val="clear"/>
            <w:tcMar>
              <w:top w:type="dxa" w:w="160"/>
              <w:left w:type="dxa" w:w="220"/>
              <w:bottom w:type="dxa" w:w="160"/>
              <w:right w:type="dxa" w:w="220"/>
            </w:tcMar>
          </w:tcPr>
          <w:p>
            <w:pPr>
              <w:spacing w:before="0" w:after="40"/>
            </w:pPr>
            <w:r>
              <w:rPr>
                <w:rFonts w:ascii="Arial" w:cs="Arial" w:eastAsia="Arial" w:hAnsi="Arial"/>
                <w:b/>
                <w:bCs/>
                <w:color w:val="8B0000"/>
                <w:sz w:val="22"/>
                <w:szCs w:val="22"/>
              </w:rPr>
              <w:t xml:space="preserve">What This Document Is For</w:t>
            </w:r>
          </w:p>
          <w:p>
            <w:pPr>
              <w:spacing w:before="0" w:after="0"/>
            </w:pPr>
            <w:r>
              <w:rPr>
                <w:rFonts w:ascii="Arial" w:cs="Arial" w:eastAsia="Arial" w:hAnsi="Arial"/>
                <w:color w:val="2C2C2C"/>
                <w:sz w:val="21"/>
                <w:szCs w:val="21"/>
              </w:rPr>
              <w:t xml:space="preserve">This is the internal version of the TROV proposal. It contains our real cost assumptions, actual dev spend estimates, time commitment analysis, margin thinking, and risk flags we would never show a client. Use this to align internally before any client conversation. The client-facing doc is a separate file.</w:t>
            </w:r>
          </w:p>
        </w:tc>
      </w:tr>
    </w:tbl>
    <w:p>
      <w:r>
        <w:br w:type="page"/>
      </w:r>
    </w:p>
    <w:p>
      <w:pPr>
        <w:pStyle w:val="Heading1"/>
        <w:pBdr>
          <w:bottom w:val="single" w:color="1A1A2E" w:sz="6" w:space="4"/>
        </w:pBdr>
        <w:spacing w:before="440" w:after="120"/>
      </w:pPr>
      <w:r>
        <w:rPr>
          <w:rFonts w:ascii="Arial" w:cs="Arial" w:eastAsia="Arial" w:hAnsi="Arial"/>
          <w:b/>
          <w:bCs/>
          <w:color w:val="1A1A2E"/>
          <w:sz w:val="38"/>
          <w:szCs w:val="38"/>
        </w:rPr>
        <w:t xml:space="preserve">What This Actually Costs Us</w:t>
      </w:r>
    </w:p>
    <w:p>
      <w:pPr>
        <w:spacing w:before="60" w:after="60"/>
      </w:pPr>
      <w:r>
        <w:rPr>
          <w:rFonts w:ascii="Arial" w:cs="Arial" w:eastAsia="Arial" w:hAnsi="Arial"/>
          <w:b w:val="false"/>
          <w:bCs w:val="false"/>
          <w:color w:val="2C2C2C"/>
          <w:sz w:val="22"/>
          <w:szCs w:val="22"/>
        </w:rPr>
        <w:t xml:space="preserve">Before we talk about what we charge, here is the honest breakdown of what TROV costs to deliver — in dollars, in time, and in attention. This is the foundation for every pricing decision.</w:t>
      </w:r>
    </w:p>
    <w:p>
      <w:pPr>
        <w:spacing w:before="80" w:after="80"/>
      </w:pPr>
      <w:r>
        <w:t xml:space="preserve"/>
      </w:r>
    </w:p>
    <w:p>
      <w:pPr>
        <w:pStyle w:val="Heading2"/>
        <w:spacing w:before="280" w:after="80"/>
      </w:pPr>
      <w:r>
        <w:rPr>
          <w:rFonts w:ascii="Arial" w:cs="Arial" w:eastAsia="Arial" w:hAnsi="Arial"/>
          <w:b/>
          <w:bCs/>
          <w:color w:val="1B3A6B"/>
          <w:sz w:val="28"/>
          <w:szCs w:val="28"/>
        </w:rPr>
        <w:t xml:space="preserve">Our Actual Costs — Package A (Lean Launch)</w:t>
      </w:r>
    </w:p>
    <w:tbl>
      <w:tblPr>
        <w:tblW w:type="dxa" w:w="9360"/>
        <w:tblBorders>
          <w:top w:val="none" w:color="FFFFFF" w:sz="0"/>
          <w:left w:val="single" w:color="auto" w:sz="4"/>
          <w:bottom w:val="none" w:color="FFFFFF" w:sz="0"/>
          <w:right w:val="single" w:color="auto" w:sz="4"/>
          <w:insideH w:val="single" w:color="auto" w:sz="4"/>
          <w:insideV w:val="single" w:color="auto" w:sz="4"/>
        </w:tblBorders>
      </w:tblPr>
      <w:tblGrid>
        <w:gridCol w:w="4400"/>
        <w:gridCol w:w="1760"/>
        <w:gridCol w:w="1760"/>
        <w:gridCol w:w="1440"/>
      </w:tblGrid>
      <w:tr>
        <w:tc>
          <w:tcPr>
            <w:tcW w:type="dxa" w:w="440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Cost Item</w:t>
            </w:r>
          </w:p>
        </w:tc>
        <w:tc>
          <w:tcPr>
            <w:tcW w:type="dxa" w:w="176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Low</w:t>
            </w:r>
          </w:p>
        </w:tc>
        <w:tc>
          <w:tcPr>
            <w:tcW w:type="dxa" w:w="176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High</w:t>
            </w:r>
          </w:p>
        </w:tc>
        <w:tc>
          <w:tcPr>
            <w:tcW w:type="dxa" w:w="144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4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Claude Code API usage (build phase)</w:t>
            </w:r>
          </w:p>
        </w:tc>
        <w:tc>
          <w:tcPr>
            <w:tcW w:type="dxa" w:w="1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1A5C2E"/>
                <w:sz w:val="20"/>
                <w:szCs w:val="20"/>
              </w:rPr>
              <w:t xml:space="preserve">$80</w:t>
            </w:r>
          </w:p>
        </w:tc>
        <w:tc>
          <w:tcPr>
            <w:tcW w:type="dxa" w:w="1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1A5C2E"/>
                <w:sz w:val="20"/>
                <w:szCs w:val="20"/>
              </w:rPr>
              <w:t xml:space="preserve">$200</w:t>
            </w:r>
          </w:p>
        </w:tc>
        <w:tc>
          <w:tcPr>
            <w:tcW w:type="dxa" w:w="14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6-8 wk active build</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Contract dev — final mile (App Store + cleanup)</w:t>
            </w:r>
          </w:p>
        </w:tc>
        <w:tc>
          <w:tcPr>
            <w:tcW w:type="dxa" w:w="1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color w:val="2C2C2C"/>
                <w:sz w:val="20"/>
                <w:szCs w:val="20"/>
              </w:rPr>
              <w:t xml:space="preserve">$2,500</w:t>
            </w:r>
          </w:p>
        </w:tc>
        <w:tc>
          <w:tcPr>
            <w:tcW w:type="dxa" w:w="1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color w:val="2C2C2C"/>
                <w:sz w:val="20"/>
                <w:szCs w:val="20"/>
              </w:rPr>
              <w:t xml:space="preserve">$4,500</w:t>
            </w:r>
          </w:p>
        </w:tc>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25-45 hrs @ $80-100/hr</w:t>
            </w:r>
          </w:p>
        </w:tc>
      </w:tr>
      <w:tr>
        <w:tc>
          <w:tcPr>
            <w:tcW w:type="dxa" w:w="4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Apple Developer Program</w:t>
            </w:r>
          </w:p>
        </w:tc>
        <w:tc>
          <w:tcPr>
            <w:tcW w:type="dxa" w:w="1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$99</w:t>
            </w:r>
          </w:p>
        </w:tc>
        <w:tc>
          <w:tcPr>
            <w:tcW w:type="dxa" w:w="1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$99</w:t>
            </w:r>
          </w:p>
        </w:tc>
        <w:tc>
          <w:tcPr>
            <w:tcW w:type="dxa" w:w="14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Annual</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Supabase Pro (during build)</w:t>
            </w:r>
          </w:p>
        </w:tc>
        <w:tc>
          <w:tcPr>
            <w:tcW w:type="dxa" w:w="1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$50</w:t>
            </w:r>
          </w:p>
        </w:tc>
        <w:tc>
          <w:tcPr>
            <w:tcW w:type="dxa" w:w="1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$100</w:t>
            </w:r>
          </w:p>
        </w:tc>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2 months build</w:t>
            </w:r>
          </w:p>
        </w:tc>
      </w:tr>
      <w:tr>
        <w:tc>
          <w:tcPr>
            <w:tcW w:type="dxa" w:w="4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EAS Build, Maps API (build phase)</w:t>
            </w:r>
          </w:p>
        </w:tc>
        <w:tc>
          <w:tcPr>
            <w:tcW w:type="dxa" w:w="1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$0</w:t>
            </w:r>
          </w:p>
        </w:tc>
        <w:tc>
          <w:tcPr>
            <w:tcW w:type="dxa" w:w="1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$80</w:t>
            </w:r>
          </w:p>
        </w:tc>
        <w:tc>
          <w:tcPr>
            <w:tcW w:type="dxa" w:w="14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Free tiers cover MVP</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Beryl time — owner build hours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color w:val="8B0000"/>
                <w:sz w:val="20"/>
                <w:szCs w:val="20"/>
              </w:rPr>
              <w:t xml:space="preserve">50 hrs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color w:val="8B0000"/>
                <w:sz w:val="20"/>
                <w:szCs w:val="20"/>
              </w:rPr>
              <w:t xml:space="preserve">80 hrs</w:t>
            </w:r>
          </w:p>
        </w:tc>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NOT billed but real cost</w:t>
            </w:r>
          </w:p>
        </w:tc>
      </w:tr>
      <w:tr>
        <w:tc>
          <w:tcPr>
            <w:tcW w:type="dxa" w:w="4400"/>
            <w:tcBorders>
              <w:top w:val="single" w:color="DDDDDD" w:sz="1"/>
              <w:left w:val="single" w:color="DDDDDD" w:sz="1"/>
              <w:bottom w:val="single" w:color="DDDDDD" w:sz="1"/>
              <w:right w:val="single" w:color="DDDDDD" w:sz="1"/>
            </w:tcBorders>
            <w:shd w:fill="F0F5FF" w:val="clear"/>
            <w:tcMar>
              <w:top w:type="dxa" w:w="80"/>
              <w:left w:type="dxa" w:w="140"/>
              <w:bottom w:type="dxa" w:w="80"/>
              <w:right w:type="dxa" w:w="140"/>
            </w:tcMar>
          </w:tcPr>
          <w:p>
            <w:pPr>
              <w:jc w:val="left"/>
            </w:pPr>
            <w:r>
              <w:rPr>
                <w:rFonts w:ascii="Arial" w:cs="Arial" w:eastAsia="Arial" w:hAnsi="Arial"/>
                <w:b/>
                <w:bCs/>
                <w:color w:val="1B3A6B"/>
                <w:sz w:val="20"/>
                <w:szCs w:val="20"/>
              </w:rPr>
              <w:t xml:space="preserve">TOTAL HARD CASH COST (excl. owner time)</w:t>
            </w:r>
          </w:p>
        </w:tc>
        <w:tc>
          <w:tcPr>
            <w:tcW w:type="dxa" w:w="1760"/>
            <w:tcBorders>
              <w:top w:val="single" w:color="DDDDDD" w:sz="1"/>
              <w:left w:val="single" w:color="DDDDDD" w:sz="1"/>
              <w:bottom w:val="single" w:color="DDDDDD" w:sz="1"/>
              <w:right w:val="single" w:color="DDDDDD" w:sz="1"/>
            </w:tcBorders>
            <w:shd w:fill="F0F5FF" w:val="clear"/>
            <w:tcMar>
              <w:top w:type="dxa" w:w="80"/>
              <w:left w:type="dxa" w:w="140"/>
              <w:bottom w:type="dxa" w:w="80"/>
              <w:right w:type="dxa" w:w="140"/>
            </w:tcMar>
          </w:tcPr>
          <w:p>
            <w:pPr>
              <w:jc w:val="left"/>
            </w:pPr>
            <w:r>
              <w:rPr>
                <w:rFonts w:ascii="Arial" w:cs="Arial" w:eastAsia="Arial" w:hAnsi="Arial"/>
                <w:b/>
                <w:bCs/>
                <w:color w:val="1B3A6B"/>
                <w:sz w:val="20"/>
                <w:szCs w:val="20"/>
              </w:rPr>
              <w:t xml:space="preserve">~$2,730</w:t>
            </w:r>
          </w:p>
        </w:tc>
        <w:tc>
          <w:tcPr>
            <w:tcW w:type="dxa" w:w="1760"/>
            <w:tcBorders>
              <w:top w:val="single" w:color="DDDDDD" w:sz="1"/>
              <w:left w:val="single" w:color="DDDDDD" w:sz="1"/>
              <w:bottom w:val="single" w:color="DDDDDD" w:sz="1"/>
              <w:right w:val="single" w:color="DDDDDD" w:sz="1"/>
            </w:tcBorders>
            <w:shd w:fill="F0F5FF" w:val="clear"/>
            <w:tcMar>
              <w:top w:type="dxa" w:w="80"/>
              <w:left w:type="dxa" w:w="140"/>
              <w:bottom w:type="dxa" w:w="80"/>
              <w:right w:type="dxa" w:w="140"/>
            </w:tcMar>
          </w:tcPr>
          <w:p>
            <w:pPr>
              <w:jc w:val="left"/>
            </w:pPr>
            <w:r>
              <w:rPr>
                <w:rFonts w:ascii="Arial" w:cs="Arial" w:eastAsia="Arial" w:hAnsi="Arial"/>
                <w:b/>
                <w:bCs/>
                <w:color w:val="1B3A6B"/>
                <w:sz w:val="20"/>
                <w:szCs w:val="20"/>
              </w:rPr>
              <w:t xml:space="preserve">~$4,980</w:t>
            </w:r>
          </w:p>
        </w:tc>
        <w:tc>
          <w:tcPr>
            <w:tcW w:type="dxa" w:w="1440"/>
            <w:tcBorders>
              <w:top w:val="single" w:color="DDDDDD" w:sz="1"/>
              <w:left w:val="single" w:color="DDDDDD" w:sz="1"/>
              <w:bottom w:val="single" w:color="DDDDDD" w:sz="1"/>
              <w:right w:val="single" w:color="DDDDDD" w:sz="1"/>
            </w:tcBorders>
            <w:shd w:fill="F0F5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
            </w:r>
          </w:p>
        </w:tc>
      </w:tr>
    </w:tbl>
    <w:p>
      <w:pPr>
        <w:spacing w:before="80" w:after="80"/>
      </w:pPr>
      <w:r>
        <w:t xml:space="preserve"/>
      </w:r>
    </w:p>
    <w:tbl>
      <w:tblPr>
        <w:tblW w:type="dxa" w:w="9360"/>
        <w:tblBorders>
          <w:top w:val="none" w:color="FFFFFF" w:sz="0"/>
          <w:left w:val="single" w:color="auto" w:sz="4"/>
          <w:bottom w:val="none" w:color="FFFFFF" w:sz="0"/>
          <w:right w:val="single" w:color="auto" w:sz="4"/>
          <w:insideH w:val="single" w:color="auto" w:sz="4"/>
          <w:insideV w:val="single" w:color="auto" w:sz="4"/>
        </w:tblBorders>
      </w:tblPr>
      <w:tblGrid>
        <w:gridCol w:w="9360"/>
      </w:tblGrid>
      <w:tr>
        <w:tc>
          <w:tcPr>
            <w:tcW w:type="dxa" w:w="9360"/>
            <w:tcBorders>
              <w:top w:val="single" w:color="1B3A6B" w:sz="8"/>
              <w:left w:val="single" w:color="1B3A6B" w:sz="8"/>
              <w:bottom w:val="single" w:color="1B3A6B" w:sz="8"/>
              <w:right w:val="single" w:color="1B3A6B" w:sz="8"/>
            </w:tcBorders>
            <w:shd w:fill="F0F5FF" w:val="clear"/>
            <w:tcMar>
              <w:top w:type="dxa" w:w="160"/>
              <w:left w:type="dxa" w:w="220"/>
              <w:bottom w:type="dxa" w:w="160"/>
              <w:right w:type="dxa" w:w="220"/>
            </w:tcMar>
          </w:tcPr>
          <w:p>
            <w:pPr>
              <w:spacing w:before="0" w:after="40"/>
            </w:pPr>
            <w:r>
              <w:rPr>
                <w:rFonts w:ascii="Arial" w:cs="Arial" w:eastAsia="Arial" w:hAnsi="Arial"/>
                <w:b/>
                <w:bCs/>
                <w:color w:val="1B3A6B"/>
                <w:sz w:val="22"/>
                <w:szCs w:val="22"/>
              </w:rPr>
              <w:t xml:space="preserve">Margin on Package A Build</w:t>
            </w:r>
          </w:p>
          <w:p>
            <w:pPr>
              <w:spacing w:before="0" w:after="0"/>
            </w:pPr>
            <w:r>
              <w:rPr>
                <w:rFonts w:ascii="Arial" w:cs="Arial" w:eastAsia="Arial" w:hAnsi="Arial"/>
                <w:color w:val="2C2C2C"/>
                <w:sz w:val="21"/>
                <w:szCs w:val="21"/>
              </w:rPr>
              <w:t xml:space="preserve">We charge $10,000. Our hard cash cost is $2,730–$4,980. That's $5,000–$7,270 gross margin on the build alone — before we value Beryl's 50-80 hours. If we price Beryl's time at $150/hr (conservative for this work), that's $7,500-$12,000 in time cost, which means the build is roughly break-even to slight loss on a full-cost basis. The margin is in the ongoing retainer.</w:t>
            </w:r>
          </w:p>
        </w:tc>
      </w:tr>
    </w:tbl>
    <w:p>
      <w:pPr>
        <w:spacing w:before="120" w:after="80"/>
      </w:pPr>
      <w:r>
        <w:t xml:space="preserve"/>
      </w:r>
    </w:p>
    <w:p>
      <w:pPr>
        <w:pStyle w:val="Heading2"/>
        <w:spacing w:before="280" w:after="80"/>
      </w:pPr>
      <w:r>
        <w:rPr>
          <w:rFonts w:ascii="Arial" w:cs="Arial" w:eastAsia="Arial" w:hAnsi="Arial"/>
          <w:b/>
          <w:bCs/>
          <w:color w:val="1B3A6B"/>
          <w:sz w:val="28"/>
          <w:szCs w:val="28"/>
        </w:rPr>
        <w:t xml:space="preserve">Our Actual Costs — Package B (Full Partnership)</w:t>
      </w:r>
    </w:p>
    <w:tbl>
      <w:tblPr>
        <w:tblW w:type="dxa" w:w="9360"/>
        <w:tblBorders>
          <w:top w:val="none" w:color="FFFFFF" w:sz="0"/>
          <w:left w:val="single" w:color="auto" w:sz="4"/>
          <w:bottom w:val="none" w:color="FFFFFF" w:sz="0"/>
          <w:right w:val="single" w:color="auto" w:sz="4"/>
          <w:insideH w:val="single" w:color="auto" w:sz="4"/>
          <w:insideV w:val="single" w:color="auto" w:sz="4"/>
        </w:tblBorders>
      </w:tblPr>
      <w:tblGrid>
        <w:gridCol w:w="4400"/>
        <w:gridCol w:w="1760"/>
        <w:gridCol w:w="1760"/>
        <w:gridCol w:w="1440"/>
      </w:tblGrid>
      <w:tr>
        <w:tc>
          <w:tcPr>
            <w:tcW w:type="dxa" w:w="440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Cost Item</w:t>
            </w:r>
          </w:p>
        </w:tc>
        <w:tc>
          <w:tcPr>
            <w:tcW w:type="dxa" w:w="176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Low</w:t>
            </w:r>
          </w:p>
        </w:tc>
        <w:tc>
          <w:tcPr>
            <w:tcW w:type="dxa" w:w="176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High</w:t>
            </w:r>
          </w:p>
        </w:tc>
        <w:tc>
          <w:tcPr>
            <w:tcW w:type="dxa" w:w="144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4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Dev team — LatAm via Lemon.io (3 month build)</w:t>
            </w:r>
          </w:p>
        </w:tc>
        <w:tc>
          <w:tcPr>
            <w:tcW w:type="dxa" w:w="1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2C2C2C"/>
                <w:sz w:val="20"/>
                <w:szCs w:val="20"/>
              </w:rPr>
              <w:t xml:space="preserve">$6,000</w:t>
            </w:r>
          </w:p>
        </w:tc>
        <w:tc>
          <w:tcPr>
            <w:tcW w:type="dxa" w:w="1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2C2C2C"/>
                <w:sz w:val="20"/>
                <w:szCs w:val="20"/>
              </w:rPr>
              <w:t xml:space="preserve">$12,000</w:t>
            </w:r>
          </w:p>
        </w:tc>
        <w:tc>
          <w:tcPr>
            <w:tcW w:type="dxa" w:w="14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Lead + junior, vetted</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Dev team — US boutique agency (alternative)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color w:val="2C2C2C"/>
                <w:sz w:val="20"/>
                <w:szCs w:val="20"/>
              </w:rPr>
              <w:t xml:space="preserve">$14,000</w:t>
            </w:r>
          </w:p>
        </w:tc>
        <w:tc>
          <w:tcPr>
            <w:tcW w:type="dxa" w:w="1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color w:val="2C2C2C"/>
                <w:sz w:val="20"/>
                <w:szCs w:val="20"/>
              </w:rPr>
              <w:t xml:space="preserve">$22,000</w:t>
            </w:r>
          </w:p>
        </w:tc>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Higher confidence, higher cost</w:t>
            </w:r>
          </w:p>
        </w:tc>
      </w:tr>
      <w:tr>
        <w:tc>
          <w:tcPr>
            <w:tcW w:type="dxa" w:w="4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Claude Code + API (spec generation, QA assist)</w:t>
            </w:r>
          </w:p>
        </w:tc>
        <w:tc>
          <w:tcPr>
            <w:tcW w:type="dxa" w:w="1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1A5C2E"/>
                <w:sz w:val="20"/>
                <w:szCs w:val="20"/>
              </w:rPr>
              <w:t xml:space="preserve">$80</w:t>
            </w:r>
          </w:p>
        </w:tc>
        <w:tc>
          <w:tcPr>
            <w:tcW w:type="dxa" w:w="1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1A5C2E"/>
                <w:sz w:val="20"/>
                <w:szCs w:val="20"/>
              </w:rPr>
              <w:t xml:space="preserve">$150</w:t>
            </w:r>
          </w:p>
        </w:tc>
        <w:tc>
          <w:tcPr>
            <w:tcW w:type="dxa" w:w="14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Spec sprint + reviews</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Apple Developer Program</w:t>
            </w:r>
          </w:p>
        </w:tc>
        <w:tc>
          <w:tcPr>
            <w:tcW w:type="dxa" w:w="1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$99</w:t>
            </w:r>
          </w:p>
        </w:tc>
        <w:tc>
          <w:tcPr>
            <w:tcW w:type="dxa" w:w="1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$99</w:t>
            </w:r>
          </w:p>
        </w:tc>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Annual</w:t>
            </w:r>
          </w:p>
        </w:tc>
      </w:tr>
      <w:tr>
        <w:tc>
          <w:tcPr>
            <w:tcW w:type="dxa" w:w="4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Supabase Pro + Maps + EAS (3 months)</w:t>
            </w:r>
          </w:p>
        </w:tc>
        <w:tc>
          <w:tcPr>
            <w:tcW w:type="dxa" w:w="1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$400</w:t>
            </w:r>
          </w:p>
        </w:tc>
        <w:tc>
          <w:tcPr>
            <w:tcW w:type="dxa" w:w="1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$600</w:t>
            </w:r>
          </w:p>
        </w:tc>
        <w:tc>
          <w:tcPr>
            <w:tcW w:type="dxa" w:w="14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~$150-200/mo</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Beryl time — product direction + QA</w:t>
            </w:r>
          </w:p>
        </w:tc>
        <w:tc>
          <w:tcPr>
            <w:tcW w:type="dxa" w:w="1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color w:val="1A5C2E"/>
                <w:sz w:val="20"/>
                <w:szCs w:val="20"/>
              </w:rPr>
              <w:t xml:space="preserve">15 hrs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color w:val="1A5C2E"/>
                <w:sz w:val="20"/>
                <w:szCs w:val="20"/>
              </w:rPr>
              <w:t xml:space="preserve">25 hrs</w:t>
            </w:r>
          </w:p>
        </w:tc>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Director role, not builder</w:t>
            </w:r>
          </w:p>
        </w:tc>
      </w:tr>
      <w:tr>
        <w:tc>
          <w:tcPr>
            <w:tcW w:type="dxa" w:w="4400"/>
            <w:tcBorders>
              <w:top w:val="single" w:color="DDDDDD" w:sz="1"/>
              <w:left w:val="single" w:color="DDDDDD" w:sz="1"/>
              <w:bottom w:val="single" w:color="DDDDDD" w:sz="1"/>
              <w:right w:val="single" w:color="DDDDDD" w:sz="1"/>
            </w:tcBorders>
            <w:shd w:fill="F0F5FF" w:val="clear"/>
            <w:tcMar>
              <w:top w:type="dxa" w:w="80"/>
              <w:left w:type="dxa" w:w="140"/>
              <w:bottom w:type="dxa" w:w="80"/>
              <w:right w:type="dxa" w:w="140"/>
            </w:tcMar>
          </w:tcPr>
          <w:p>
            <w:pPr>
              <w:jc w:val="left"/>
            </w:pPr>
            <w:r>
              <w:rPr>
                <w:rFonts w:ascii="Arial" w:cs="Arial" w:eastAsia="Arial" w:hAnsi="Arial"/>
                <w:b/>
                <w:bCs/>
                <w:color w:val="1B3A6B"/>
                <w:sz w:val="20"/>
                <w:szCs w:val="20"/>
              </w:rPr>
              <w:t xml:space="preserve">TOTAL HARD CASH (LatAm team)</w:t>
            </w:r>
          </w:p>
        </w:tc>
        <w:tc>
          <w:tcPr>
            <w:tcW w:type="dxa" w:w="1760"/>
            <w:tcBorders>
              <w:top w:val="single" w:color="DDDDDD" w:sz="1"/>
              <w:left w:val="single" w:color="DDDDDD" w:sz="1"/>
              <w:bottom w:val="single" w:color="DDDDDD" w:sz="1"/>
              <w:right w:val="single" w:color="DDDDDD" w:sz="1"/>
            </w:tcBorders>
            <w:shd w:fill="F0F5FF" w:val="clear"/>
            <w:tcMar>
              <w:top w:type="dxa" w:w="80"/>
              <w:left w:type="dxa" w:w="140"/>
              <w:bottom w:type="dxa" w:w="80"/>
              <w:right w:type="dxa" w:w="140"/>
            </w:tcMar>
          </w:tcPr>
          <w:p>
            <w:pPr>
              <w:jc w:val="left"/>
            </w:pPr>
            <w:r>
              <w:rPr>
                <w:rFonts w:ascii="Arial" w:cs="Arial" w:eastAsia="Arial" w:hAnsi="Arial"/>
                <w:b/>
                <w:bCs/>
                <w:color w:val="1B3A6B"/>
                <w:sz w:val="20"/>
                <w:szCs w:val="20"/>
              </w:rPr>
              <w:t xml:space="preserve">~$6,600</w:t>
            </w:r>
          </w:p>
        </w:tc>
        <w:tc>
          <w:tcPr>
            <w:tcW w:type="dxa" w:w="1760"/>
            <w:tcBorders>
              <w:top w:val="single" w:color="DDDDDD" w:sz="1"/>
              <w:left w:val="single" w:color="DDDDDD" w:sz="1"/>
              <w:bottom w:val="single" w:color="DDDDDD" w:sz="1"/>
              <w:right w:val="single" w:color="DDDDDD" w:sz="1"/>
            </w:tcBorders>
            <w:shd w:fill="F0F5FF" w:val="clear"/>
            <w:tcMar>
              <w:top w:type="dxa" w:w="80"/>
              <w:left w:type="dxa" w:w="140"/>
              <w:bottom w:type="dxa" w:w="80"/>
              <w:right w:type="dxa" w:w="140"/>
            </w:tcMar>
          </w:tcPr>
          <w:p>
            <w:pPr>
              <w:jc w:val="left"/>
            </w:pPr>
            <w:r>
              <w:rPr>
                <w:rFonts w:ascii="Arial" w:cs="Arial" w:eastAsia="Arial" w:hAnsi="Arial"/>
                <w:b/>
                <w:bCs/>
                <w:color w:val="1B3A6B"/>
                <w:sz w:val="20"/>
                <w:szCs w:val="20"/>
              </w:rPr>
              <w:t xml:space="preserve">~$13,000</w:t>
            </w:r>
          </w:p>
        </w:tc>
        <w:tc>
          <w:tcPr>
            <w:tcW w:type="dxa" w:w="1440"/>
            <w:tcBorders>
              <w:top w:val="single" w:color="DDDDDD" w:sz="1"/>
              <w:left w:val="single" w:color="DDDDDD" w:sz="1"/>
              <w:bottom w:val="single" w:color="DDDDDD" w:sz="1"/>
              <w:right w:val="single" w:color="DDDDDD" w:sz="1"/>
            </w:tcBorders>
            <w:shd w:fill="F0F5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LatAm</w:t>
            </w:r>
          </w:p>
        </w:tc>
      </w:tr>
      <w:tr>
        <w:tc>
          <w:tcPr>
            <w:tcW w:type="dxa" w:w="4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555555"/>
                <w:sz w:val="20"/>
                <w:szCs w:val="20"/>
              </w:rPr>
              <w:t xml:space="preserve">TOTAL HARD CASH (US team)</w:t>
            </w:r>
          </w:p>
        </w:tc>
        <w:tc>
          <w:tcPr>
            <w:tcW w:type="dxa" w:w="1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555555"/>
                <w:sz w:val="20"/>
                <w:szCs w:val="20"/>
              </w:rPr>
              <w:t xml:space="preserve">~$14,600</w:t>
            </w:r>
          </w:p>
        </w:tc>
        <w:tc>
          <w:tcPr>
            <w:tcW w:type="dxa" w:w="1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555555"/>
                <w:sz w:val="20"/>
                <w:szCs w:val="20"/>
              </w:rPr>
              <w:t xml:space="preserve">~$22,900</w:t>
            </w:r>
          </w:p>
        </w:tc>
        <w:tc>
          <w:tcPr>
            <w:tcW w:type="dxa" w:w="14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US agency</w:t>
            </w:r>
          </w:p>
        </w:tc>
      </w:tr>
    </w:tbl>
    <w:p>
      <w:pPr>
        <w:spacing w:before="80" w:after="80"/>
      </w:pPr>
      <w:r>
        <w:t xml:space="preserve"/>
      </w:r>
    </w:p>
    <w:tbl>
      <w:tblPr>
        <w:tblW w:type="dxa" w:w="9360"/>
        <w:tblBorders>
          <w:top w:val="none" w:color="FFFFFF" w:sz="0"/>
          <w:left w:val="single" w:color="auto" w:sz="4"/>
          <w:bottom w:val="none" w:color="FFFFFF" w:sz="0"/>
          <w:right w:val="single" w:color="auto" w:sz="4"/>
          <w:insideH w:val="single" w:color="auto" w:sz="4"/>
          <w:insideV w:val="single" w:color="auto" w:sz="4"/>
        </w:tblBorders>
      </w:tblPr>
      <w:tblGrid>
        <w:gridCol w:w="9360"/>
      </w:tblGrid>
      <w:tr>
        <w:tc>
          <w:tcPr>
            <w:tcW w:type="dxa" w:w="9360"/>
            <w:tcBorders>
              <w:top w:val="single" w:color="1B3A6B" w:sz="8"/>
              <w:left w:val="single" w:color="1B3A6B" w:sz="8"/>
              <w:bottom w:val="single" w:color="1B3A6B" w:sz="8"/>
              <w:right w:val="single" w:color="1B3A6B" w:sz="8"/>
            </w:tcBorders>
            <w:shd w:fill="F0F5FF" w:val="clear"/>
            <w:tcMar>
              <w:top w:type="dxa" w:w="160"/>
              <w:left w:type="dxa" w:w="220"/>
              <w:bottom w:type="dxa" w:w="160"/>
              <w:right w:type="dxa" w:w="220"/>
            </w:tcMar>
          </w:tcPr>
          <w:p>
            <w:pPr>
              <w:spacing w:before="0" w:after="40"/>
            </w:pPr>
            <w:r>
              <w:rPr>
                <w:rFonts w:ascii="Arial" w:cs="Arial" w:eastAsia="Arial" w:hAnsi="Arial"/>
                <w:b/>
                <w:bCs/>
                <w:color w:val="1B3A6B"/>
                <w:sz w:val="22"/>
                <w:szCs w:val="22"/>
              </w:rPr>
              <w:t xml:space="preserve">Margin on Package B Build</w:t>
            </w:r>
          </w:p>
          <w:p>
            <w:pPr>
              <w:spacing w:before="0" w:after="0"/>
            </w:pPr>
            <w:r>
              <w:rPr>
                <w:rFonts w:ascii="Arial" w:cs="Arial" w:eastAsia="Arial" w:hAnsi="Arial"/>
                <w:color w:val="2C2C2C"/>
                <w:sz w:val="21"/>
                <w:szCs w:val="21"/>
              </w:rPr>
              <w:t xml:space="preserve">We charge $30,000-39,000 over 3 months. With a LatAm team our hard cost is $6,600-$13,000 — leaving $17,000-$32,000 gross margin. With a US team: $14,600-$22,900 cost on $30,000-$39,000 billed = $7,000-$24,000 margin. The LatAm path is the high-margin play IF we can find a team that executes. This is where our AI-generated spec document is the difference-maker — a tight spec means less back-and-forth and less cost overrun on our side.</w:t>
            </w:r>
          </w:p>
        </w:tc>
      </w:tr>
    </w:tbl>
    <w:p>
      <w:r>
        <w:br w:type="page"/>
      </w:r>
    </w:p>
    <w:p>
      <w:pPr>
        <w:pStyle w:val="Heading1"/>
        <w:pBdr>
          <w:bottom w:val="single" w:color="1A1A2E" w:sz="6" w:space="4"/>
        </w:pBdr>
        <w:spacing w:before="440" w:after="120"/>
      </w:pPr>
      <w:r>
        <w:rPr>
          <w:rFonts w:ascii="Arial" w:cs="Arial" w:eastAsia="Arial" w:hAnsi="Arial"/>
          <w:b/>
          <w:bCs/>
          <w:color w:val="1A1A2E"/>
          <w:sz w:val="38"/>
          <w:szCs w:val="38"/>
        </w:rPr>
        <w:t xml:space="preserve">Ongoing — What It Actually Costs vs. What We Charge</w:t>
      </w:r>
    </w:p>
    <w:p>
      <w:pPr>
        <w:spacing w:before="60" w:after="60"/>
      </w:pPr>
      <w:r>
        <w:rPr>
          <w:rFonts w:ascii="Arial" w:cs="Arial" w:eastAsia="Arial" w:hAnsi="Arial"/>
          <w:b w:val="false"/>
          <w:bCs w:val="false"/>
          <w:color w:val="2C2C2C"/>
          <w:sz w:val="22"/>
          <w:szCs w:val="22"/>
        </w:rPr>
        <w:t xml:space="preserve">The retainer is where the real business is. Here is what $2,500/month actually costs to deliver, and what the margin looks like across both packages.</w:t>
      </w:r>
    </w:p>
    <w:p>
      <w:pPr>
        <w:spacing w:before="80" w:after="80"/>
      </w:pPr>
      <w:r>
        <w:t xml:space="preserve"/>
      </w:r>
    </w:p>
    <w:p>
      <w:pPr>
        <w:pStyle w:val="Heading2"/>
        <w:spacing w:before="280" w:after="80"/>
      </w:pPr>
      <w:r>
        <w:rPr>
          <w:rFonts w:ascii="Arial" w:cs="Arial" w:eastAsia="Arial" w:hAnsi="Arial"/>
          <w:b/>
          <w:bCs/>
          <w:color w:val="2C2C2C"/>
          <w:sz w:val="28"/>
          <w:szCs w:val="28"/>
        </w:rPr>
        <w:t xml:space="preserve">Real Monthly Cost — $2,500/mo Retainer</w:t>
      </w:r>
    </w:p>
    <w:tbl>
      <w:tblPr>
        <w:tblW w:type="dxa" w:w="9360"/>
        <w:tblBorders>
          <w:top w:val="none" w:color="FFFFFF" w:sz="0"/>
          <w:left w:val="single" w:color="auto" w:sz="4"/>
          <w:bottom w:val="none" w:color="FFFFFF" w:sz="0"/>
          <w:right w:val="single" w:color="auto" w:sz="4"/>
          <w:insideH w:val="single" w:color="auto" w:sz="4"/>
          <w:insideV w:val="single" w:color="auto" w:sz="4"/>
        </w:tblBorders>
      </w:tblPr>
      <w:tblGrid>
        <w:gridCol w:w="4400"/>
        <w:gridCol w:w="1760"/>
        <w:gridCol w:w="1760"/>
        <w:gridCol w:w="1440"/>
      </w:tblGrid>
      <w:tr>
        <w:tc>
          <w:tcPr>
            <w:tcW w:type="dxa" w:w="440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Cost Item</w:t>
            </w:r>
          </w:p>
        </w:tc>
        <w:tc>
          <w:tcPr>
            <w:tcW w:type="dxa" w:w="176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Low</w:t>
            </w:r>
          </w:p>
        </w:tc>
        <w:tc>
          <w:tcPr>
            <w:tcW w:type="dxa" w:w="176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High</w:t>
            </w:r>
          </w:p>
        </w:tc>
        <w:tc>
          <w:tcPr>
            <w:tcW w:type="dxa" w:w="144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4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Dev hours for bugs + light features</w:t>
            </w:r>
          </w:p>
        </w:tc>
        <w:tc>
          <w:tcPr>
            <w:tcW w:type="dxa" w:w="1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2C2C2C"/>
                <w:sz w:val="20"/>
                <w:szCs w:val="20"/>
              </w:rPr>
              <w:t xml:space="preserve">$600</w:t>
            </w:r>
          </w:p>
        </w:tc>
        <w:tc>
          <w:tcPr>
            <w:tcW w:type="dxa" w:w="1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2C2C2C"/>
                <w:sz w:val="20"/>
                <w:szCs w:val="20"/>
              </w:rPr>
              <w:t xml:space="preserve">$1,200</w:t>
            </w:r>
          </w:p>
        </w:tc>
        <w:tc>
          <w:tcPr>
            <w:tcW w:type="dxa" w:w="14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6-10 hrs @ $80-120/hr</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Supabase Pro</w:t>
            </w:r>
          </w:p>
        </w:tc>
        <w:tc>
          <w:tcPr>
            <w:tcW w:type="dxa" w:w="1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$25</w:t>
            </w:r>
          </w:p>
        </w:tc>
        <w:tc>
          <w:tcPr>
            <w:tcW w:type="dxa" w:w="1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$25</w:t>
            </w:r>
          </w:p>
        </w:tc>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Monthly</w:t>
            </w:r>
          </w:p>
        </w:tc>
      </w:tr>
      <w:tr>
        <w:tc>
          <w:tcPr>
            <w:tcW w:type="dxa" w:w="4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Maps API (post-launch traffic)</w:t>
            </w:r>
          </w:p>
        </w:tc>
        <w:tc>
          <w:tcPr>
            <w:tcW w:type="dxa" w:w="1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$0</w:t>
            </w:r>
          </w:p>
        </w:tc>
        <w:tc>
          <w:tcPr>
            <w:tcW w:type="dxa" w:w="1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$50</w:t>
            </w:r>
          </w:p>
        </w:tc>
        <w:tc>
          <w:tcPr>
            <w:tcW w:type="dxa" w:w="14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Scales with usage</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EAS Build credits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$0</w:t>
            </w:r>
          </w:p>
        </w:tc>
        <w:tc>
          <w:tcPr>
            <w:tcW w:type="dxa" w:w="1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$29</w:t>
            </w:r>
          </w:p>
        </w:tc>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Per build cycle</w:t>
            </w:r>
          </w:p>
        </w:tc>
      </w:tr>
      <w:tr>
        <w:tc>
          <w:tcPr>
            <w:tcW w:type="dxa" w:w="4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Claude Code (QA assist, spec updates)</w:t>
            </w:r>
          </w:p>
        </w:tc>
        <w:tc>
          <w:tcPr>
            <w:tcW w:type="dxa" w:w="1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1A5C2E"/>
                <w:sz w:val="20"/>
                <w:szCs w:val="20"/>
              </w:rPr>
              <w:t xml:space="preserve">$10</w:t>
            </w:r>
          </w:p>
        </w:tc>
        <w:tc>
          <w:tcPr>
            <w:tcW w:type="dxa" w:w="1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1A5C2E"/>
                <w:sz w:val="20"/>
                <w:szCs w:val="20"/>
              </w:rPr>
              <w:t xml:space="preserve">$30</w:t>
            </w:r>
          </w:p>
        </w:tc>
        <w:tc>
          <w:tcPr>
            <w:tcW w:type="dxa" w:w="14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Ongoing usage</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Beryl oversight time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color w:val="1A5C2E"/>
                <w:sz w:val="20"/>
                <w:szCs w:val="20"/>
              </w:rPr>
              <w:t xml:space="preserve">2 hrs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color w:val="1A5C2E"/>
                <w:sz w:val="20"/>
                <w:szCs w:val="20"/>
              </w:rPr>
              <w:t xml:space="preserve">4 hrs</w:t>
            </w:r>
          </w:p>
        </w:tc>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Review + direction</w:t>
            </w:r>
          </w:p>
        </w:tc>
      </w:tr>
      <w:tr>
        <w:tc>
          <w:tcPr>
            <w:tcW w:type="dxa" w:w="4400"/>
            <w:tcBorders>
              <w:top w:val="single" w:color="DDDDDD" w:sz="1"/>
              <w:left w:val="single" w:color="DDDDDD" w:sz="1"/>
              <w:bottom w:val="single" w:color="DDDDDD" w:sz="1"/>
              <w:right w:val="single" w:color="DDDDDD" w:sz="1"/>
            </w:tcBorders>
            <w:shd w:fill="F0F5FF" w:val="clear"/>
            <w:tcMar>
              <w:top w:type="dxa" w:w="80"/>
              <w:left w:type="dxa" w:w="140"/>
              <w:bottom w:type="dxa" w:w="80"/>
              <w:right w:type="dxa" w:w="140"/>
            </w:tcMar>
          </w:tcPr>
          <w:p>
            <w:pPr>
              <w:jc w:val="left"/>
            </w:pPr>
            <w:r>
              <w:rPr>
                <w:rFonts w:ascii="Arial" w:cs="Arial" w:eastAsia="Arial" w:hAnsi="Arial"/>
                <w:b/>
                <w:bCs/>
                <w:color w:val="1B3A6B"/>
                <w:sz w:val="20"/>
                <w:szCs w:val="20"/>
              </w:rPr>
              <w:t xml:space="preserve">TOTAL MONTHLY HARD COST</w:t>
            </w:r>
          </w:p>
        </w:tc>
        <w:tc>
          <w:tcPr>
            <w:tcW w:type="dxa" w:w="1760"/>
            <w:tcBorders>
              <w:top w:val="single" w:color="DDDDDD" w:sz="1"/>
              <w:left w:val="single" w:color="DDDDDD" w:sz="1"/>
              <w:bottom w:val="single" w:color="DDDDDD" w:sz="1"/>
              <w:right w:val="single" w:color="DDDDDD" w:sz="1"/>
            </w:tcBorders>
            <w:shd w:fill="F0F5FF" w:val="clear"/>
            <w:tcMar>
              <w:top w:type="dxa" w:w="80"/>
              <w:left w:type="dxa" w:w="140"/>
              <w:bottom w:type="dxa" w:w="80"/>
              <w:right w:type="dxa" w:w="140"/>
            </w:tcMar>
          </w:tcPr>
          <w:p>
            <w:pPr>
              <w:jc w:val="left"/>
            </w:pPr>
            <w:r>
              <w:rPr>
                <w:rFonts w:ascii="Arial" w:cs="Arial" w:eastAsia="Arial" w:hAnsi="Arial"/>
                <w:b/>
                <w:bCs/>
                <w:color w:val="1B3A6B"/>
                <w:sz w:val="20"/>
                <w:szCs w:val="20"/>
              </w:rPr>
              <w:t xml:space="preserve">~$635</w:t>
            </w:r>
          </w:p>
        </w:tc>
        <w:tc>
          <w:tcPr>
            <w:tcW w:type="dxa" w:w="1760"/>
            <w:tcBorders>
              <w:top w:val="single" w:color="DDDDDD" w:sz="1"/>
              <w:left w:val="single" w:color="DDDDDD" w:sz="1"/>
              <w:bottom w:val="single" w:color="DDDDDD" w:sz="1"/>
              <w:right w:val="single" w:color="DDDDDD" w:sz="1"/>
            </w:tcBorders>
            <w:shd w:fill="F0F5FF" w:val="clear"/>
            <w:tcMar>
              <w:top w:type="dxa" w:w="80"/>
              <w:left w:type="dxa" w:w="140"/>
              <w:bottom w:type="dxa" w:w="80"/>
              <w:right w:type="dxa" w:w="140"/>
            </w:tcMar>
          </w:tcPr>
          <w:p>
            <w:pPr>
              <w:jc w:val="left"/>
            </w:pPr>
            <w:r>
              <w:rPr>
                <w:rFonts w:ascii="Arial" w:cs="Arial" w:eastAsia="Arial" w:hAnsi="Arial"/>
                <w:b/>
                <w:bCs/>
                <w:color w:val="1B3A6B"/>
                <w:sz w:val="20"/>
                <w:szCs w:val="20"/>
              </w:rPr>
              <w:t xml:space="preserve">~$1,334</w:t>
            </w:r>
          </w:p>
        </w:tc>
        <w:tc>
          <w:tcPr>
            <w:tcW w:type="dxa" w:w="1440"/>
            <w:tcBorders>
              <w:top w:val="single" w:color="DDDDDD" w:sz="1"/>
              <w:left w:val="single" w:color="DDDDDD" w:sz="1"/>
              <w:bottom w:val="single" w:color="DDDDDD" w:sz="1"/>
              <w:right w:val="single" w:color="DDDDDD" w:sz="1"/>
            </w:tcBorders>
            <w:shd w:fill="F0F5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
            </w:r>
          </w:p>
        </w:tc>
      </w:tr>
      <w:tr>
        <w:tc>
          <w:tcPr>
            <w:tcW w:type="dxa" w:w="4400"/>
            <w:tcBorders>
              <w:top w:val="single" w:color="DDDDDD" w:sz="1"/>
              <w:left w:val="single" w:color="DDDDDD" w:sz="1"/>
              <w:bottom w:val="single" w:color="DDDDDD" w:sz="1"/>
              <w:right w:val="single" w:color="DDDDDD" w:sz="1"/>
            </w:tcBorders>
            <w:shd w:fill="F0FFF4" w:val="clear"/>
            <w:tcMar>
              <w:top w:type="dxa" w:w="80"/>
              <w:left w:type="dxa" w:w="140"/>
              <w:bottom w:type="dxa" w:w="80"/>
              <w:right w:type="dxa" w:w="140"/>
            </w:tcMar>
          </w:tcPr>
          <w:p>
            <w:pPr>
              <w:jc w:val="left"/>
            </w:pPr>
            <w:r>
              <w:rPr>
                <w:rFonts w:ascii="Arial" w:cs="Arial" w:eastAsia="Arial" w:hAnsi="Arial"/>
                <w:b/>
                <w:bCs/>
                <w:color w:val="1A5C2E"/>
                <w:sz w:val="20"/>
                <w:szCs w:val="20"/>
              </w:rPr>
              <w:t xml:space="preserve">MARGIN on $2,500 retainer</w:t>
            </w:r>
          </w:p>
        </w:tc>
        <w:tc>
          <w:tcPr>
            <w:tcW w:type="dxa" w:w="1760"/>
            <w:tcBorders>
              <w:top w:val="single" w:color="DDDDDD" w:sz="1"/>
              <w:left w:val="single" w:color="DDDDDD" w:sz="1"/>
              <w:bottom w:val="single" w:color="DDDDDD" w:sz="1"/>
              <w:right w:val="single" w:color="DDDDDD" w:sz="1"/>
            </w:tcBorders>
            <w:shd w:fill="F0FFF4" w:val="clear"/>
            <w:tcMar>
              <w:top w:type="dxa" w:w="80"/>
              <w:left w:type="dxa" w:w="140"/>
              <w:bottom w:type="dxa" w:w="80"/>
              <w:right w:type="dxa" w:w="140"/>
            </w:tcMar>
          </w:tcPr>
          <w:p>
            <w:pPr>
              <w:jc w:val="left"/>
            </w:pPr>
            <w:r>
              <w:rPr>
                <w:rFonts w:ascii="Arial" w:cs="Arial" w:eastAsia="Arial" w:hAnsi="Arial"/>
                <w:b/>
                <w:bCs/>
                <w:color w:val="1A5C2E"/>
                <w:sz w:val="20"/>
                <w:szCs w:val="20"/>
              </w:rPr>
              <w:t xml:space="preserve">$1,166</w:t>
            </w:r>
          </w:p>
        </w:tc>
        <w:tc>
          <w:tcPr>
            <w:tcW w:type="dxa" w:w="1760"/>
            <w:tcBorders>
              <w:top w:val="single" w:color="DDDDDD" w:sz="1"/>
              <w:left w:val="single" w:color="DDDDDD" w:sz="1"/>
              <w:bottom w:val="single" w:color="DDDDDD" w:sz="1"/>
              <w:right w:val="single" w:color="DDDDDD" w:sz="1"/>
            </w:tcBorders>
            <w:shd w:fill="F0FFF4" w:val="clear"/>
            <w:tcMar>
              <w:top w:type="dxa" w:w="80"/>
              <w:left w:type="dxa" w:w="140"/>
              <w:bottom w:type="dxa" w:w="80"/>
              <w:right w:type="dxa" w:w="140"/>
            </w:tcMar>
          </w:tcPr>
          <w:p>
            <w:pPr>
              <w:jc w:val="left"/>
            </w:pPr>
            <w:r>
              <w:rPr>
                <w:rFonts w:ascii="Arial" w:cs="Arial" w:eastAsia="Arial" w:hAnsi="Arial"/>
                <w:b/>
                <w:bCs/>
                <w:color w:val="1A5C2E"/>
                <w:sz w:val="20"/>
                <w:szCs w:val="20"/>
              </w:rPr>
              <w:t xml:space="preserve">$1,865</w:t>
            </w:r>
          </w:p>
        </w:tc>
        <w:tc>
          <w:tcPr>
            <w:tcW w:type="dxa" w:w="1440"/>
            <w:tcBorders>
              <w:top w:val="single" w:color="DDDDDD" w:sz="1"/>
              <w:left w:val="single" w:color="DDDDDD" w:sz="1"/>
              <w:bottom w:val="single" w:color="DDDDDD" w:sz="1"/>
              <w:right w:val="single" w:color="DDDDDD" w:sz="1"/>
            </w:tcBorders>
            <w:shd w:fill="F0FFF4" w:val="clear"/>
            <w:tcMar>
              <w:top w:type="dxa" w:w="80"/>
              <w:left w:type="dxa" w:w="140"/>
              <w:bottom w:type="dxa" w:w="80"/>
              <w:right w:type="dxa" w:w="140"/>
            </w:tcMar>
          </w:tcPr>
          <w:p>
            <w:pPr>
              <w:jc w:val="left"/>
            </w:pPr>
            <w:r>
              <w:rPr>
                <w:rFonts w:ascii="Arial" w:cs="Arial" w:eastAsia="Arial" w:hAnsi="Arial"/>
                <w:b/>
                <w:bCs/>
                <w:color w:val="1A5C2E"/>
                <w:sz w:val="20"/>
                <w:szCs w:val="20"/>
              </w:rPr>
              <w:t xml:space="preserve">47-75% margin</w:t>
            </w:r>
          </w:p>
        </w:tc>
      </w:tr>
    </w:tbl>
    <w:p>
      <w:pPr>
        <w:spacing w:before="80" w:after="80"/>
      </w:pPr>
      <w:r>
        <w:t xml:space="preserve"/>
      </w:r>
    </w:p>
    <w:tbl>
      <w:tblPr>
        <w:tblW w:type="dxa" w:w="9360"/>
        <w:tblBorders>
          <w:top w:val="none" w:color="FFFFFF" w:sz="0"/>
          <w:left w:val="single" w:color="auto" w:sz="4"/>
          <w:bottom w:val="none" w:color="FFFFFF" w:sz="0"/>
          <w:right w:val="single" w:color="auto" w:sz="4"/>
          <w:insideH w:val="single" w:color="auto" w:sz="4"/>
          <w:insideV w:val="single" w:color="auto" w:sz="4"/>
        </w:tblBorders>
      </w:tblPr>
      <w:tblGrid>
        <w:gridCol w:w="9360"/>
      </w:tblGrid>
      <w:tr>
        <w:tc>
          <w:tcPr>
            <w:tcW w:type="dxa" w:w="9360"/>
            <w:tcBorders>
              <w:top w:val="single" w:color="1A5C2E" w:sz="8"/>
              <w:left w:val="single" w:color="1A5C2E" w:sz="8"/>
              <w:bottom w:val="single" w:color="1A5C2E" w:sz="8"/>
              <w:right w:val="single" w:color="1A5C2E" w:sz="8"/>
            </w:tcBorders>
            <w:shd w:fill="F0FFF4" w:val="clear"/>
            <w:tcMar>
              <w:top w:type="dxa" w:w="160"/>
              <w:left w:type="dxa" w:w="220"/>
              <w:bottom w:type="dxa" w:w="160"/>
              <w:right w:type="dxa" w:w="220"/>
            </w:tcMar>
          </w:tcPr>
          <w:p>
            <w:pPr>
              <w:spacing w:before="0" w:after="40"/>
            </w:pPr>
            <w:r>
              <w:rPr>
                <w:rFonts w:ascii="Arial" w:cs="Arial" w:eastAsia="Arial" w:hAnsi="Arial"/>
                <w:b/>
                <w:bCs/>
                <w:color w:val="1A5C2E"/>
                <w:sz w:val="22"/>
                <w:szCs w:val="22"/>
              </w:rPr>
              <w:t xml:space="preserve">Key Insight on Retainer</w:t>
            </w:r>
          </w:p>
          <w:p>
            <w:pPr>
              <w:spacing w:before="0" w:after="0"/>
            </w:pPr>
            <w:r>
              <w:rPr>
                <w:rFonts w:ascii="Arial" w:cs="Arial" w:eastAsia="Arial" w:hAnsi="Arial"/>
                <w:color w:val="2C2C2C"/>
                <w:sz w:val="21"/>
                <w:szCs w:val="21"/>
              </w:rPr>
              <w:t xml:space="preserve">The retainer is the healthiest part of this engagement. $2,500/month with $600-$1,300 in real costs is a 47-75% margin business once the app is live. The goal is to get to launch and lock in a 3-month minimum. Every month after that is high-margin recurring revenue. This is why we don't discount the retainer — it's the asset.</w:t>
            </w:r>
          </w:p>
        </w:tc>
      </w:tr>
    </w:tbl>
    <w:p>
      <w:pPr>
        <w:spacing w:before="80" w:after="80"/>
      </w:pPr>
      <w:r>
        <w:t xml:space="preserve"/>
      </w:r>
    </w:p>
    <w:p>
      <w:pPr>
        <w:pStyle w:val="Heading2"/>
        <w:spacing w:before="280" w:after="80"/>
      </w:pPr>
      <w:r>
        <w:rPr>
          <w:rFonts w:ascii="Arial" w:cs="Arial" w:eastAsia="Arial" w:hAnsi="Arial"/>
          <w:b/>
          <w:bCs/>
          <w:color w:val="2C2C2C"/>
          <w:sz w:val="28"/>
          <w:szCs w:val="28"/>
        </w:rPr>
        <w:t xml:space="preserve">$5,000/mo Growth Retainer Margins</w:t>
      </w:r>
    </w:p>
    <w:tbl>
      <w:tblPr>
        <w:tblW w:type="dxa" w:w="9360"/>
        <w:tblBorders>
          <w:top w:val="none" w:color="FFFFFF" w:sz="0"/>
          <w:left w:val="single" w:color="auto" w:sz="4"/>
          <w:bottom w:val="none" w:color="FFFFFF" w:sz="0"/>
          <w:right w:val="single" w:color="auto" w:sz="4"/>
          <w:insideH w:val="single" w:color="auto" w:sz="4"/>
          <w:insideV w:val="single" w:color="auto" w:sz="4"/>
        </w:tblBorders>
      </w:tblPr>
      <w:tblGrid>
        <w:gridCol w:w="4400"/>
        <w:gridCol w:w="1760"/>
        <w:gridCol w:w="1760"/>
        <w:gridCol w:w="1440"/>
      </w:tblGrid>
      <w:tr>
        <w:tc>
          <w:tcPr>
            <w:tcW w:type="dxa" w:w="440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Cost Item</w:t>
            </w:r>
          </w:p>
        </w:tc>
        <w:tc>
          <w:tcPr>
            <w:tcW w:type="dxa" w:w="176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Low</w:t>
            </w:r>
          </w:p>
        </w:tc>
        <w:tc>
          <w:tcPr>
            <w:tcW w:type="dxa" w:w="176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High</w:t>
            </w:r>
          </w:p>
        </w:tc>
        <w:tc>
          <w:tcPr>
            <w:tcW w:type="dxa" w:w="144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4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Dev hours (bugs + 1 feature sprint)</w:t>
            </w:r>
          </w:p>
        </w:tc>
        <w:tc>
          <w:tcPr>
            <w:tcW w:type="dxa" w:w="1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2C2C2C"/>
                <w:sz w:val="20"/>
                <w:szCs w:val="20"/>
              </w:rPr>
              <w:t xml:space="preserve">$1,600</w:t>
            </w:r>
          </w:p>
        </w:tc>
        <w:tc>
          <w:tcPr>
            <w:tcW w:type="dxa" w:w="1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2C2C2C"/>
                <w:sz w:val="20"/>
                <w:szCs w:val="20"/>
              </w:rPr>
              <w:t xml:space="preserve">$3,000</w:t>
            </w:r>
          </w:p>
        </w:tc>
        <w:tc>
          <w:tcPr>
            <w:tcW w:type="dxa" w:w="14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20-30 hrs @ $80-100/hr</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Infra (Supabase, Maps, EAS)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$75</w:t>
            </w:r>
          </w:p>
        </w:tc>
        <w:tc>
          <w:tcPr>
            <w:tcW w:type="dxa" w:w="1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$150</w:t>
            </w:r>
          </w:p>
        </w:tc>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Scales with users</w:t>
            </w:r>
          </w:p>
        </w:tc>
      </w:tr>
      <w:tr>
        <w:tc>
          <w:tcPr>
            <w:tcW w:type="dxa" w:w="4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Claude Code + Beryl time</w:t>
            </w:r>
          </w:p>
        </w:tc>
        <w:tc>
          <w:tcPr>
            <w:tcW w:type="dxa" w:w="1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$50</w:t>
            </w:r>
          </w:p>
        </w:tc>
        <w:tc>
          <w:tcPr>
            <w:tcW w:type="dxa" w:w="1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$100</w:t>
            </w:r>
          </w:p>
        </w:tc>
        <w:tc>
          <w:tcPr>
            <w:tcW w:type="dxa" w:w="14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4-6 hrs direction</w:t>
            </w:r>
          </w:p>
        </w:tc>
      </w:tr>
      <w:tr>
        <w:tc>
          <w:tcPr>
            <w:tcW w:type="dxa" w:w="4400"/>
            <w:tcBorders>
              <w:top w:val="single" w:color="DDDDDD" w:sz="1"/>
              <w:left w:val="single" w:color="DDDDDD" w:sz="1"/>
              <w:bottom w:val="single" w:color="DDDDDD" w:sz="1"/>
              <w:right w:val="single" w:color="DDDDDD" w:sz="1"/>
            </w:tcBorders>
            <w:shd w:fill="F0F5FF" w:val="clear"/>
            <w:tcMar>
              <w:top w:type="dxa" w:w="80"/>
              <w:left w:type="dxa" w:w="140"/>
              <w:bottom w:type="dxa" w:w="80"/>
              <w:right w:type="dxa" w:w="140"/>
            </w:tcMar>
          </w:tcPr>
          <w:p>
            <w:pPr>
              <w:jc w:val="left"/>
            </w:pPr>
            <w:r>
              <w:rPr>
                <w:rFonts w:ascii="Arial" w:cs="Arial" w:eastAsia="Arial" w:hAnsi="Arial"/>
                <w:b/>
                <w:bCs/>
                <w:color w:val="1B3A6B"/>
                <w:sz w:val="20"/>
                <w:szCs w:val="20"/>
              </w:rPr>
              <w:t xml:space="preserve">TOTAL MONTHLY COST</w:t>
            </w:r>
          </w:p>
        </w:tc>
        <w:tc>
          <w:tcPr>
            <w:tcW w:type="dxa" w:w="1760"/>
            <w:tcBorders>
              <w:top w:val="single" w:color="DDDDDD" w:sz="1"/>
              <w:left w:val="single" w:color="DDDDDD" w:sz="1"/>
              <w:bottom w:val="single" w:color="DDDDDD" w:sz="1"/>
              <w:right w:val="single" w:color="DDDDDD" w:sz="1"/>
            </w:tcBorders>
            <w:shd w:fill="F0F5FF" w:val="clear"/>
            <w:tcMar>
              <w:top w:type="dxa" w:w="80"/>
              <w:left w:type="dxa" w:w="140"/>
              <w:bottom w:type="dxa" w:w="80"/>
              <w:right w:type="dxa" w:w="140"/>
            </w:tcMar>
          </w:tcPr>
          <w:p>
            <w:pPr>
              <w:jc w:val="left"/>
            </w:pPr>
            <w:r>
              <w:rPr>
                <w:rFonts w:ascii="Arial" w:cs="Arial" w:eastAsia="Arial" w:hAnsi="Arial"/>
                <w:b/>
                <w:bCs/>
                <w:color w:val="1B3A6B"/>
                <w:sz w:val="20"/>
                <w:szCs w:val="20"/>
              </w:rPr>
              <w:t xml:space="preserve">~$1,725</w:t>
            </w:r>
          </w:p>
        </w:tc>
        <w:tc>
          <w:tcPr>
            <w:tcW w:type="dxa" w:w="1760"/>
            <w:tcBorders>
              <w:top w:val="single" w:color="DDDDDD" w:sz="1"/>
              <w:left w:val="single" w:color="DDDDDD" w:sz="1"/>
              <w:bottom w:val="single" w:color="DDDDDD" w:sz="1"/>
              <w:right w:val="single" w:color="DDDDDD" w:sz="1"/>
            </w:tcBorders>
            <w:shd w:fill="F0F5FF" w:val="clear"/>
            <w:tcMar>
              <w:top w:type="dxa" w:w="80"/>
              <w:left w:type="dxa" w:w="140"/>
              <w:bottom w:type="dxa" w:w="80"/>
              <w:right w:type="dxa" w:w="140"/>
            </w:tcMar>
          </w:tcPr>
          <w:p>
            <w:pPr>
              <w:jc w:val="left"/>
            </w:pPr>
            <w:r>
              <w:rPr>
                <w:rFonts w:ascii="Arial" w:cs="Arial" w:eastAsia="Arial" w:hAnsi="Arial"/>
                <w:b/>
                <w:bCs/>
                <w:color w:val="1B3A6B"/>
                <w:sz w:val="20"/>
                <w:szCs w:val="20"/>
              </w:rPr>
              <w:t xml:space="preserve">~$3,250</w:t>
            </w:r>
          </w:p>
        </w:tc>
        <w:tc>
          <w:tcPr>
            <w:tcW w:type="dxa" w:w="1440"/>
            <w:tcBorders>
              <w:top w:val="single" w:color="DDDDDD" w:sz="1"/>
              <w:left w:val="single" w:color="DDDDDD" w:sz="1"/>
              <w:bottom w:val="single" w:color="DDDDDD" w:sz="1"/>
              <w:right w:val="single" w:color="DDDDDD" w:sz="1"/>
            </w:tcBorders>
            <w:shd w:fill="F0F5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
            </w:r>
          </w:p>
        </w:tc>
      </w:tr>
      <w:tr>
        <w:tc>
          <w:tcPr>
            <w:tcW w:type="dxa" w:w="4400"/>
            <w:tcBorders>
              <w:top w:val="single" w:color="DDDDDD" w:sz="1"/>
              <w:left w:val="single" w:color="DDDDDD" w:sz="1"/>
              <w:bottom w:val="single" w:color="DDDDDD" w:sz="1"/>
              <w:right w:val="single" w:color="DDDDDD" w:sz="1"/>
            </w:tcBorders>
            <w:shd w:fill="F0FFF4" w:val="clear"/>
            <w:tcMar>
              <w:top w:type="dxa" w:w="80"/>
              <w:left w:type="dxa" w:w="140"/>
              <w:bottom w:type="dxa" w:w="80"/>
              <w:right w:type="dxa" w:w="140"/>
            </w:tcMar>
          </w:tcPr>
          <w:p>
            <w:pPr>
              <w:jc w:val="left"/>
            </w:pPr>
            <w:r>
              <w:rPr>
                <w:rFonts w:ascii="Arial" w:cs="Arial" w:eastAsia="Arial" w:hAnsi="Arial"/>
                <w:b/>
                <w:bCs/>
                <w:color w:val="1A5C2E"/>
                <w:sz w:val="20"/>
                <w:szCs w:val="20"/>
              </w:rPr>
              <w:t xml:space="preserve">MARGIN on $5,000 retainer</w:t>
            </w:r>
          </w:p>
        </w:tc>
        <w:tc>
          <w:tcPr>
            <w:tcW w:type="dxa" w:w="1760"/>
            <w:tcBorders>
              <w:top w:val="single" w:color="DDDDDD" w:sz="1"/>
              <w:left w:val="single" w:color="DDDDDD" w:sz="1"/>
              <w:bottom w:val="single" w:color="DDDDDD" w:sz="1"/>
              <w:right w:val="single" w:color="DDDDDD" w:sz="1"/>
            </w:tcBorders>
            <w:shd w:fill="F0FFF4" w:val="clear"/>
            <w:tcMar>
              <w:top w:type="dxa" w:w="80"/>
              <w:left w:type="dxa" w:w="140"/>
              <w:bottom w:type="dxa" w:w="80"/>
              <w:right w:type="dxa" w:w="140"/>
            </w:tcMar>
          </w:tcPr>
          <w:p>
            <w:pPr>
              <w:jc w:val="left"/>
            </w:pPr>
            <w:r>
              <w:rPr>
                <w:rFonts w:ascii="Arial" w:cs="Arial" w:eastAsia="Arial" w:hAnsi="Arial"/>
                <w:b/>
                <w:bCs/>
                <w:color w:val="1A5C2E"/>
                <w:sz w:val="20"/>
                <w:szCs w:val="20"/>
              </w:rPr>
              <w:t xml:space="preserve">$1,750</w:t>
            </w:r>
          </w:p>
        </w:tc>
        <w:tc>
          <w:tcPr>
            <w:tcW w:type="dxa" w:w="1760"/>
            <w:tcBorders>
              <w:top w:val="single" w:color="DDDDDD" w:sz="1"/>
              <w:left w:val="single" w:color="DDDDDD" w:sz="1"/>
              <w:bottom w:val="single" w:color="DDDDDD" w:sz="1"/>
              <w:right w:val="single" w:color="DDDDDD" w:sz="1"/>
            </w:tcBorders>
            <w:shd w:fill="F0FFF4" w:val="clear"/>
            <w:tcMar>
              <w:top w:type="dxa" w:w="80"/>
              <w:left w:type="dxa" w:w="140"/>
              <w:bottom w:type="dxa" w:w="80"/>
              <w:right w:type="dxa" w:w="140"/>
            </w:tcMar>
          </w:tcPr>
          <w:p>
            <w:pPr>
              <w:jc w:val="left"/>
            </w:pPr>
            <w:r>
              <w:rPr>
                <w:rFonts w:ascii="Arial" w:cs="Arial" w:eastAsia="Arial" w:hAnsi="Arial"/>
                <w:b/>
                <w:bCs/>
                <w:color w:val="1A5C2E"/>
                <w:sz w:val="20"/>
                <w:szCs w:val="20"/>
              </w:rPr>
              <w:t xml:space="preserve">$3,275</w:t>
            </w:r>
          </w:p>
        </w:tc>
        <w:tc>
          <w:tcPr>
            <w:tcW w:type="dxa" w:w="1440"/>
            <w:tcBorders>
              <w:top w:val="single" w:color="DDDDDD" w:sz="1"/>
              <w:left w:val="single" w:color="DDDDDD" w:sz="1"/>
              <w:bottom w:val="single" w:color="DDDDDD" w:sz="1"/>
              <w:right w:val="single" w:color="DDDDDD" w:sz="1"/>
            </w:tcBorders>
            <w:shd w:fill="F0FFF4" w:val="clear"/>
            <w:tcMar>
              <w:top w:type="dxa" w:w="80"/>
              <w:left w:type="dxa" w:w="140"/>
              <w:bottom w:type="dxa" w:w="80"/>
              <w:right w:type="dxa" w:w="140"/>
            </w:tcMar>
          </w:tcPr>
          <w:p>
            <w:pPr>
              <w:jc w:val="left"/>
            </w:pPr>
            <w:r>
              <w:rPr>
                <w:rFonts w:ascii="Arial" w:cs="Arial" w:eastAsia="Arial" w:hAnsi="Arial"/>
                <w:b/>
                <w:bCs/>
                <w:color w:val="1A5C2E"/>
                <w:sz w:val="20"/>
                <w:szCs w:val="20"/>
              </w:rPr>
              <w:t xml:space="preserve">35-65% margin</w:t>
            </w:r>
          </w:p>
        </w:tc>
      </w:tr>
    </w:tbl>
    <w:p>
      <w:r>
        <w:br w:type="page"/>
      </w:r>
    </w:p>
    <w:p>
      <w:pPr>
        <w:pStyle w:val="Heading1"/>
        <w:pBdr>
          <w:bottom w:val="single" w:color="1A1A2E" w:sz="6" w:space="4"/>
        </w:pBdr>
        <w:spacing w:before="440" w:after="120"/>
      </w:pPr>
      <w:r>
        <w:rPr>
          <w:rFonts w:ascii="Arial" w:cs="Arial" w:eastAsia="Arial" w:hAnsi="Arial"/>
          <w:b/>
          <w:bCs/>
          <w:color w:val="1A1A2E"/>
          <w:sz w:val="38"/>
          <w:szCs w:val="38"/>
        </w:rPr>
        <w:t xml:space="preserve">Beryl's Real Time Commitment</w:t>
      </w:r>
    </w:p>
    <w:p>
      <w:pPr>
        <w:spacing w:before="60" w:after="60"/>
      </w:pPr>
      <w:r>
        <w:rPr>
          <w:rFonts w:ascii="Arial" w:cs="Arial" w:eastAsia="Arial" w:hAnsi="Arial"/>
          <w:b w:val="false"/>
          <w:bCs w:val="false"/>
          <w:color w:val="2C2C2C"/>
          <w:sz w:val="22"/>
          <w:szCs w:val="22"/>
        </w:rPr>
        <w:t xml:space="preserve">This is the honest accounting of what this engagement requires from Beryl personally — not what we tell the client, but what we need to plan around given Tu.Be, ZYVA, SGNL, Nordcom, MOZAIK, and the other active ventures.</w:t>
      </w:r>
    </w:p>
    <w:p>
      <w:pPr>
        <w:spacing w:before="80" w:after="80"/>
      </w:pPr>
      <w:r>
        <w:t xml:space="preserve"/>
      </w:r>
    </w:p>
    <w:p>
      <w:pPr>
        <w:pStyle w:val="Heading2"/>
        <w:spacing w:before="280" w:after="80"/>
      </w:pPr>
      <w:r>
        <w:rPr>
          <w:rFonts w:ascii="Arial" w:cs="Arial" w:eastAsia="Arial" w:hAnsi="Arial"/>
          <w:b/>
          <w:bCs/>
          <w:color w:val="2C2C2C"/>
          <w:sz w:val="28"/>
          <w:szCs w:val="28"/>
        </w:rPr>
        <w:t xml:space="preserve">Package A — Owner Build Hours by Phase</w:t>
      </w:r>
    </w:p>
    <w:tbl>
      <w:tblPr>
        <w:tblW w:type="dxa" w:w="9360"/>
        <w:tblBorders>
          <w:top w:val="none" w:color="FFFFFF" w:sz="0"/>
          <w:left w:val="single" w:color="auto" w:sz="4"/>
          <w:bottom w:val="none" w:color="FFFFFF" w:sz="0"/>
          <w:right w:val="single" w:color="auto" w:sz="4"/>
          <w:insideH w:val="single" w:color="auto" w:sz="4"/>
          <w:insideV w:val="single" w:color="auto" w:sz="4"/>
        </w:tblBorders>
      </w:tblPr>
      <w:tblGrid>
        <w:gridCol w:w="2200"/>
        <w:gridCol w:w="1600"/>
        <w:gridCol w:w="1800"/>
        <w:gridCol w:w="3760"/>
      </w:tblGrid>
      <w:tr>
        <w:tc>
          <w:tcPr>
            <w:tcW w:type="dxa" w:w="220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160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Weeks</w:t>
            </w:r>
          </w:p>
        </w:tc>
        <w:tc>
          <w:tcPr>
            <w:tcW w:type="dxa" w:w="180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Beryl Hours</w:t>
            </w:r>
          </w:p>
        </w:tc>
        <w:tc>
          <w:tcPr>
            <w:tcW w:type="dxa" w:w="376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What You're Actually Doing</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Spec Sprint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1-2</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8B0000"/>
                <w:sz w:val="20"/>
                <w:szCs w:val="20"/>
              </w:rPr>
              <w:t xml:space="preserve">10-15 hrs</w:t>
            </w:r>
          </w:p>
        </w:tc>
        <w:tc>
          <w:tcPr>
            <w:tcW w:type="dxa" w:w="3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Feeding Cowork project, reviewing spec output, setting Supabase schema, writing acceptance criteria</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Core Screen Build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3-6</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color w:val="8B0000"/>
                <w:sz w:val="20"/>
                <w:szCs w:val="20"/>
              </w:rPr>
              <w:t xml:space="preserve">20-35 hrs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Active Claude Code sessions: 2-4 hrs/day during build weeks. This is the heavy phase.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Features + Polish</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7-9</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7B4F00"/>
                <w:sz w:val="20"/>
                <w:szCs w:val="20"/>
              </w:rPr>
              <w:t xml:space="preserve">10-15 hrs</w:t>
            </w:r>
          </w:p>
        </w:tc>
        <w:tc>
          <w:tcPr>
            <w:tcW w:type="dxa" w:w="3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Push notifications, edge cases, internal TestFlight testing on your own device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Contract Dev Handoff</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10-12</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color w:val="7B4F00"/>
                <w:sz w:val="20"/>
                <w:szCs w:val="20"/>
              </w:rPr>
              <w:t xml:space="preserve">8-12 hrs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Onboarding contract dev, code review, App Store assets, metadata, screenshots</w:t>
            </w:r>
          </w:p>
        </w:tc>
      </w:tr>
      <w:tr>
        <w:tc>
          <w:tcPr>
            <w:tcW w:type="dxa" w:w="2200"/>
            <w:tcBorders>
              <w:top w:val="single" w:color="DDDDDD" w:sz="1"/>
              <w:left w:val="single" w:color="DDDDDD" w:sz="1"/>
              <w:bottom w:val="single" w:color="DDDDDD" w:sz="1"/>
              <w:right w:val="single" w:color="DDDDDD" w:sz="1"/>
            </w:tcBorders>
            <w:shd w:fill="FFF0F0" w:val="clear"/>
            <w:tcMar>
              <w:top w:type="dxa" w:w="80"/>
              <w:left w:type="dxa" w:w="140"/>
              <w:bottom w:type="dxa" w:w="80"/>
              <w:right w:type="dxa" w:w="140"/>
            </w:tcMar>
          </w:tcPr>
          <w:p>
            <w:pPr>
              <w:jc w:val="left"/>
            </w:pPr>
            <w:r>
              <w:rPr>
                <w:rFonts w:ascii="Arial" w:cs="Arial" w:eastAsia="Arial" w:hAnsi="Arial"/>
                <w:b/>
                <w:bCs/>
                <w:color w:val="8B0000"/>
                <w:sz w:val="20"/>
                <w:szCs w:val="20"/>
              </w:rPr>
              <w:t xml:space="preserve">TOTAL BUILD HOURS</w:t>
            </w:r>
          </w:p>
        </w:tc>
        <w:tc>
          <w:tcPr>
            <w:tcW w:type="dxa" w:w="1600"/>
            <w:tcBorders>
              <w:top w:val="single" w:color="DDDDDD" w:sz="1"/>
              <w:left w:val="single" w:color="DDDDDD" w:sz="1"/>
              <w:bottom w:val="single" w:color="DDDDDD" w:sz="1"/>
              <w:right w:val="single" w:color="DDDDDD" w:sz="1"/>
            </w:tcBorders>
            <w:shd w:fill="FFF0F0"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~12 wks</w:t>
            </w:r>
          </w:p>
        </w:tc>
        <w:tc>
          <w:tcPr>
            <w:tcW w:type="dxa" w:w="1800"/>
            <w:tcBorders>
              <w:top w:val="single" w:color="DDDDDD" w:sz="1"/>
              <w:left w:val="single" w:color="DDDDDD" w:sz="1"/>
              <w:bottom w:val="single" w:color="DDDDDD" w:sz="1"/>
              <w:right w:val="single" w:color="DDDDDD" w:sz="1"/>
            </w:tcBorders>
            <w:shd w:fill="FFF0F0" w:val="clear"/>
            <w:tcMar>
              <w:top w:type="dxa" w:w="80"/>
              <w:left w:type="dxa" w:w="140"/>
              <w:bottom w:type="dxa" w:w="80"/>
              <w:right w:type="dxa" w:w="140"/>
            </w:tcMar>
          </w:tcPr>
          <w:p>
            <w:pPr>
              <w:jc w:val="left"/>
            </w:pPr>
            <w:r>
              <w:rPr>
                <w:rFonts w:ascii="Arial" w:cs="Arial" w:eastAsia="Arial" w:hAnsi="Arial"/>
                <w:b/>
                <w:bCs/>
                <w:color w:val="8B0000"/>
                <w:sz w:val="20"/>
                <w:szCs w:val="20"/>
              </w:rPr>
              <w:t xml:space="preserve">48-77 hrs</w:t>
            </w:r>
          </w:p>
        </w:tc>
        <w:tc>
          <w:tcPr>
            <w:tcW w:type="dxa" w:w="3760"/>
            <w:tcBorders>
              <w:top w:val="single" w:color="DDDDDD" w:sz="1"/>
              <w:left w:val="single" w:color="DDDDDD" w:sz="1"/>
              <w:bottom w:val="single" w:color="DDDDDD" w:sz="1"/>
              <w:right w:val="single" w:color="DDDDDD" w:sz="1"/>
            </w:tcBorders>
            <w:shd w:fill="FFF0F0"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~4-6 hrs/week average. Peak weeks (core build) will hit 10-15 hrs/week.</w:t>
            </w:r>
          </w:p>
        </w:tc>
      </w:tr>
    </w:tbl>
    <w:p>
      <w:pPr>
        <w:spacing w:before="80" w:after="80"/>
      </w:pPr>
      <w:r>
        <w:t xml:space="preserve"/>
      </w:r>
    </w:p>
    <w:tbl>
      <w:tblPr>
        <w:tblW w:type="dxa" w:w="9360"/>
        <w:tblBorders>
          <w:top w:val="none" w:color="FFFFFF" w:sz="0"/>
          <w:left w:val="single" w:color="auto" w:sz="4"/>
          <w:bottom w:val="none" w:color="FFFFFF" w:sz="0"/>
          <w:right w:val="single" w:color="auto" w:sz="4"/>
          <w:insideH w:val="single" w:color="auto" w:sz="4"/>
          <w:insideV w:val="single" w:color="auto" w:sz="4"/>
        </w:tblBorders>
      </w:tblPr>
      <w:tblGrid>
        <w:gridCol w:w="9360"/>
      </w:tblGrid>
      <w:tr>
        <w:tc>
          <w:tcPr>
            <w:tcW w:type="dxa" w:w="9360"/>
            <w:tcBorders>
              <w:top w:val="single" w:color="8B0000" w:sz="8"/>
              <w:left w:val="single" w:color="8B0000" w:sz="8"/>
              <w:bottom w:val="single" w:color="8B0000" w:sz="8"/>
              <w:right w:val="single" w:color="8B0000" w:sz="8"/>
            </w:tcBorders>
            <w:shd w:fill="FFF0F0" w:val="clear"/>
            <w:tcMar>
              <w:top w:type="dxa" w:w="160"/>
              <w:left w:type="dxa" w:w="220"/>
              <w:bottom w:type="dxa" w:w="160"/>
              <w:right w:type="dxa" w:w="220"/>
            </w:tcMar>
          </w:tcPr>
          <w:p>
            <w:pPr>
              <w:spacing w:before="0" w:after="40"/>
            </w:pPr>
            <w:r>
              <w:rPr>
                <w:rFonts w:ascii="Arial" w:cs="Arial" w:eastAsia="Arial" w:hAnsi="Arial"/>
                <w:b/>
                <w:bCs/>
                <w:color w:val="8B0000"/>
                <w:sz w:val="22"/>
                <w:szCs w:val="22"/>
              </w:rPr>
              <w:t xml:space="preserve">Honest Assessment — Package A Time Risk</w:t>
            </w:r>
          </w:p>
          <w:p>
            <w:pPr>
              <w:spacing w:before="0" w:after="0"/>
            </w:pPr>
            <w:r>
              <w:rPr>
                <w:rFonts w:ascii="Arial" w:cs="Arial" w:eastAsia="Arial" w:hAnsi="Arial"/>
                <w:color w:val="2C2C2C"/>
                <w:sz w:val="21"/>
                <w:szCs w:val="21"/>
              </w:rPr>
              <w:t xml:space="preserve">4-6 hrs/week is manageable IF the other ventures are in maintenance mode. If Tu.Be Studios is in active build phase, or SGNL is doing live trading reviews, or a ZYVA launch is happening simultaneously — Package A becomes a real squeeze. The decision gate at Week 7 (May 16) exists for this reason. If you're behind, flip to Package B immediately. Don't grind.</w:t>
            </w:r>
          </w:p>
        </w:tc>
      </w:tr>
    </w:tbl>
    <w:p>
      <w:pPr>
        <w:spacing w:before="120" w:after="80"/>
      </w:pPr>
      <w:r>
        <w:t xml:space="preserve"/>
      </w:r>
    </w:p>
    <w:p>
      <w:pPr>
        <w:pStyle w:val="Heading2"/>
        <w:spacing w:before="280" w:after="80"/>
      </w:pPr>
      <w:r>
        <w:rPr>
          <w:rFonts w:ascii="Arial" w:cs="Arial" w:eastAsia="Arial" w:hAnsi="Arial"/>
          <w:b/>
          <w:bCs/>
          <w:color w:val="2C2C2C"/>
          <w:sz w:val="28"/>
          <w:szCs w:val="28"/>
        </w:rPr>
        <w:t xml:space="preserve">Package B — Director Hours by Phase</w:t>
      </w:r>
    </w:p>
    <w:tbl>
      <w:tblPr>
        <w:tblW w:type="dxa" w:w="9360"/>
        <w:tblBorders>
          <w:top w:val="none" w:color="FFFFFF" w:sz="0"/>
          <w:left w:val="single" w:color="auto" w:sz="4"/>
          <w:bottom w:val="none" w:color="FFFFFF" w:sz="0"/>
          <w:right w:val="single" w:color="auto" w:sz="4"/>
          <w:insideH w:val="single" w:color="auto" w:sz="4"/>
          <w:insideV w:val="single" w:color="auto" w:sz="4"/>
        </w:tblBorders>
      </w:tblPr>
      <w:tblGrid>
        <w:gridCol w:w="2200"/>
        <w:gridCol w:w="1600"/>
        <w:gridCol w:w="1800"/>
        <w:gridCol w:w="3760"/>
      </w:tblGrid>
      <w:tr>
        <w:tc>
          <w:tcPr>
            <w:tcW w:type="dxa" w:w="220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160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Weeks</w:t>
            </w:r>
          </w:p>
        </w:tc>
        <w:tc>
          <w:tcPr>
            <w:tcW w:type="dxa" w:w="180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Beryl Hours</w:t>
            </w:r>
          </w:p>
        </w:tc>
        <w:tc>
          <w:tcPr>
            <w:tcW w:type="dxa" w:w="376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What You're Actually Doing</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Spec Sprint + Hiring</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1-2</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7B4F00"/>
                <w:sz w:val="20"/>
                <w:szCs w:val="20"/>
              </w:rPr>
              <w:t xml:space="preserve">12-18 hrs</w:t>
            </w:r>
          </w:p>
        </w:tc>
        <w:tc>
          <w:tcPr>
            <w:tcW w:type="dxa" w:w="3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Claude Code spec generation, interviewing devs, SOW negotiation, onboarding. Front-loaded.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Build Oversight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3-10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color w:val="1A5C2E"/>
                <w:sz w:val="20"/>
                <w:szCs w:val="20"/>
              </w:rPr>
              <w:t xml:space="preserve">1-2 hrs/wk</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Weekly video review, async Slack/Telegram QA, approving merges. Very light once spec is tight.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App Store Prep</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10-11</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1A5C2E"/>
                <w:sz w:val="20"/>
                <w:szCs w:val="20"/>
              </w:rPr>
              <w:t xml:space="preserve">3-5 hrs</w:t>
            </w:r>
          </w:p>
        </w:tc>
        <w:tc>
          <w:tcPr>
            <w:tcW w:type="dxa" w:w="3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Reviewing metadata, screenshots, App Store description. Claude Code assists.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Launch + Fanatics Fest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12</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color w:val="1A5C2E"/>
                <w:sz w:val="20"/>
                <w:szCs w:val="20"/>
              </w:rPr>
              <w:t xml:space="preserve">3-5 hrs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Marketing collateral, QR codes, convention presence coordination</w:t>
            </w:r>
          </w:p>
        </w:tc>
      </w:tr>
      <w:tr>
        <w:tc>
          <w:tcPr>
            <w:tcW w:type="dxa" w:w="2200"/>
            <w:tcBorders>
              <w:top w:val="single" w:color="DDDDDD" w:sz="1"/>
              <w:left w:val="single" w:color="DDDDDD" w:sz="1"/>
              <w:bottom w:val="single" w:color="DDDDDD" w:sz="1"/>
              <w:right w:val="single" w:color="DDDDDD" w:sz="1"/>
            </w:tcBorders>
            <w:shd w:fill="F0FFF4" w:val="clear"/>
            <w:tcMar>
              <w:top w:type="dxa" w:w="80"/>
              <w:left w:type="dxa" w:w="140"/>
              <w:bottom w:type="dxa" w:w="80"/>
              <w:right w:type="dxa" w:w="140"/>
            </w:tcMar>
          </w:tcPr>
          <w:p>
            <w:pPr>
              <w:jc w:val="left"/>
            </w:pPr>
            <w:r>
              <w:rPr>
                <w:rFonts w:ascii="Arial" w:cs="Arial" w:eastAsia="Arial" w:hAnsi="Arial"/>
                <w:b/>
                <w:bCs/>
                <w:color w:val="1A5C2E"/>
                <w:sz w:val="20"/>
                <w:szCs w:val="20"/>
              </w:rPr>
              <w:t xml:space="preserve">TOTAL BUILD HOURS</w:t>
            </w:r>
          </w:p>
        </w:tc>
        <w:tc>
          <w:tcPr>
            <w:tcW w:type="dxa" w:w="1600"/>
            <w:tcBorders>
              <w:top w:val="single" w:color="DDDDDD" w:sz="1"/>
              <w:left w:val="single" w:color="DDDDDD" w:sz="1"/>
              <w:bottom w:val="single" w:color="DDDDDD" w:sz="1"/>
              <w:right w:val="single" w:color="DDDDDD" w:sz="1"/>
            </w:tcBorders>
            <w:shd w:fill="F0FFF4"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~12 wks</w:t>
            </w:r>
          </w:p>
        </w:tc>
        <w:tc>
          <w:tcPr>
            <w:tcW w:type="dxa" w:w="1800"/>
            <w:tcBorders>
              <w:top w:val="single" w:color="DDDDDD" w:sz="1"/>
              <w:left w:val="single" w:color="DDDDDD" w:sz="1"/>
              <w:bottom w:val="single" w:color="DDDDDD" w:sz="1"/>
              <w:right w:val="single" w:color="DDDDDD" w:sz="1"/>
            </w:tcBorders>
            <w:shd w:fill="F0FFF4" w:val="clear"/>
            <w:tcMar>
              <w:top w:type="dxa" w:w="80"/>
              <w:left w:type="dxa" w:w="140"/>
              <w:bottom w:type="dxa" w:w="80"/>
              <w:right w:type="dxa" w:w="140"/>
            </w:tcMar>
          </w:tcPr>
          <w:p>
            <w:pPr>
              <w:jc w:val="left"/>
            </w:pPr>
            <w:r>
              <w:rPr>
                <w:rFonts w:ascii="Arial" w:cs="Arial" w:eastAsia="Arial" w:hAnsi="Arial"/>
                <w:b/>
                <w:bCs/>
                <w:color w:val="1A5C2E"/>
                <w:sz w:val="20"/>
                <w:szCs w:val="20"/>
              </w:rPr>
              <w:t xml:space="preserve">20-30 hrs</w:t>
            </w:r>
          </w:p>
        </w:tc>
        <w:tc>
          <w:tcPr>
            <w:tcW w:type="dxa" w:w="3760"/>
            <w:tcBorders>
              <w:top w:val="single" w:color="DDDDDD" w:sz="1"/>
              <w:left w:val="single" w:color="DDDDDD" w:sz="1"/>
              <w:bottom w:val="single" w:color="DDDDDD" w:sz="1"/>
              <w:right w:val="single" w:color="DDDDDD" w:sz="1"/>
            </w:tcBorders>
            <w:shd w:fill="F0FFF4"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~2 hrs/week average. Front-loaded in weeks 1-2. Very sustainable.</w:t>
            </w:r>
          </w:p>
        </w:tc>
      </w:tr>
    </w:tbl>
    <w:p>
      <w:pPr>
        <w:spacing w:before="80" w:after="80"/>
      </w:pPr>
      <w:r>
        <w:t xml:space="preserve"/>
      </w:r>
    </w:p>
    <w:p>
      <w:pPr>
        <w:pStyle w:val="Heading2"/>
        <w:spacing w:before="280" w:after="80"/>
      </w:pPr>
      <w:r>
        <w:rPr>
          <w:rFonts w:ascii="Arial" w:cs="Arial" w:eastAsia="Arial" w:hAnsi="Arial"/>
          <w:b/>
          <w:bCs/>
          <w:color w:val="2C2C2C"/>
          <w:sz w:val="28"/>
          <w:szCs w:val="28"/>
        </w:rPr>
        <w:t xml:space="preserve">Ongoing Monthly Time (Both Packages)</w:t>
      </w:r>
    </w:p>
    <w:tbl>
      <w:tblPr>
        <w:tblW w:type="dxa" w:w="9360"/>
        <w:tblBorders>
          <w:top w:val="none" w:color="FFFFFF" w:sz="0"/>
          <w:left w:val="single" w:color="auto" w:sz="4"/>
          <w:bottom w:val="none" w:color="FFFFFF" w:sz="0"/>
          <w:right w:val="single" w:color="auto" w:sz="4"/>
          <w:insideH w:val="single" w:color="auto" w:sz="4"/>
          <w:insideV w:val="single" w:color="auto" w:sz="4"/>
        </w:tblBorders>
      </w:tblPr>
      <w:tblGrid>
        <w:gridCol w:w="3600"/>
        <w:gridCol w:w="2200"/>
        <w:gridCol w:w="3560"/>
      </w:tblGrid>
      <w:tr>
        <w:tc>
          <w:tcPr>
            <w:tcW w:type="dxa" w:w="360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Activity</w:t>
            </w:r>
          </w:p>
        </w:tc>
        <w:tc>
          <w:tcPr>
            <w:tcW w:type="dxa" w:w="220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Hrs/Month</w:t>
            </w:r>
          </w:p>
        </w:tc>
        <w:tc>
          <w:tcPr>
            <w:tcW w:type="dxa" w:w="356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Client check-in call (monthly)</w:t>
            </w:r>
          </w:p>
        </w:tc>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1A5C2E"/>
                <w:sz w:val="20"/>
                <w:szCs w:val="20"/>
              </w:rPr>
              <w:t xml:space="preserve">1 hr</w:t>
            </w:r>
          </w:p>
        </w:tc>
        <w:tc>
          <w:tcPr>
            <w:tcW w:type="dxa" w:w="3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Keep to 45-60 min. Async updates via Telegram between calls.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Review dev work + bug tickets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color w:val="1A5C2E"/>
                <w:sz w:val="20"/>
                <w:szCs w:val="20"/>
              </w:rPr>
              <w:t xml:space="preserve">1-2 hrs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Claude Code assists with QA — you approve, not debug.</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Feature sprint direction (Growth tier)</w:t>
            </w:r>
          </w:p>
        </w:tc>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7B4F00"/>
                <w:sz w:val="20"/>
                <w:szCs w:val="20"/>
              </w:rPr>
              <w:t xml:space="preserve">2-3 hrs</w:t>
            </w:r>
          </w:p>
        </w:tc>
        <w:tc>
          <w:tcPr>
            <w:tcW w:type="dxa" w:w="3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Only if client is on $5K/mo Growth retainer</w:t>
            </w:r>
          </w:p>
        </w:tc>
      </w:tr>
      <w:tr>
        <w:tc>
          <w:tcPr>
            <w:tcW w:type="dxa" w:w="3600"/>
            <w:tcBorders>
              <w:top w:val="single" w:color="DDDDDD" w:sz="1"/>
              <w:left w:val="single" w:color="DDDDDD" w:sz="1"/>
              <w:bottom w:val="single" w:color="DDDDDD" w:sz="1"/>
              <w:right w:val="single" w:color="DDDDDD" w:sz="1"/>
            </w:tcBorders>
            <w:shd w:fill="F0FFF4" w:val="clear"/>
            <w:tcMar>
              <w:top w:type="dxa" w:w="80"/>
              <w:left w:type="dxa" w:w="140"/>
              <w:bottom w:type="dxa" w:w="80"/>
              <w:right w:type="dxa" w:w="140"/>
            </w:tcMar>
          </w:tcPr>
          <w:p>
            <w:pPr>
              <w:jc w:val="left"/>
            </w:pPr>
            <w:r>
              <w:rPr>
                <w:rFonts w:ascii="Arial" w:cs="Arial" w:eastAsia="Arial" w:hAnsi="Arial"/>
                <w:b/>
                <w:bCs/>
                <w:color w:val="1A5C2E"/>
                <w:sz w:val="20"/>
                <w:szCs w:val="20"/>
              </w:rPr>
              <w:t xml:space="preserve">TOTAL MONTHLY BERYL TIME</w:t>
            </w:r>
          </w:p>
        </w:tc>
        <w:tc>
          <w:tcPr>
            <w:tcW w:type="dxa" w:w="2200"/>
            <w:tcBorders>
              <w:top w:val="single" w:color="DDDDDD" w:sz="1"/>
              <w:left w:val="single" w:color="DDDDDD" w:sz="1"/>
              <w:bottom w:val="single" w:color="DDDDDD" w:sz="1"/>
              <w:right w:val="single" w:color="DDDDDD" w:sz="1"/>
            </w:tcBorders>
            <w:shd w:fill="F0FFF4" w:val="clear"/>
            <w:tcMar>
              <w:top w:type="dxa" w:w="80"/>
              <w:left w:type="dxa" w:w="140"/>
              <w:bottom w:type="dxa" w:w="80"/>
              <w:right w:type="dxa" w:w="140"/>
            </w:tcMar>
          </w:tcPr>
          <w:p>
            <w:pPr>
              <w:jc w:val="left"/>
            </w:pPr>
            <w:r>
              <w:rPr>
                <w:rFonts w:ascii="Arial" w:cs="Arial" w:eastAsia="Arial" w:hAnsi="Arial"/>
                <w:b/>
                <w:bCs/>
                <w:color w:val="1A5C2E"/>
                <w:sz w:val="20"/>
                <w:szCs w:val="20"/>
              </w:rPr>
              <w:t xml:space="preserve">2-6 hrs</w:t>
            </w:r>
          </w:p>
        </w:tc>
        <w:tc>
          <w:tcPr>
            <w:tcW w:type="dxa" w:w="3560"/>
            <w:tcBorders>
              <w:top w:val="single" w:color="DDDDDD" w:sz="1"/>
              <w:left w:val="single" w:color="DDDDDD" w:sz="1"/>
              <w:bottom w:val="single" w:color="DDDDDD" w:sz="1"/>
              <w:right w:val="single" w:color="DDDDDD" w:sz="1"/>
            </w:tcBorders>
            <w:shd w:fill="F0FFF4"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Very lean once the system is running. Most retainer work is dev-led.</w:t>
            </w:r>
          </w:p>
        </w:tc>
      </w:tr>
    </w:tbl>
    <w:p>
      <w:r>
        <w:br w:type="page"/>
      </w:r>
    </w:p>
    <w:p>
      <w:pPr>
        <w:pStyle w:val="Heading1"/>
        <w:pBdr>
          <w:bottom w:val="single" w:color="1A1A2E" w:sz="6" w:space="4"/>
        </w:pBdr>
        <w:spacing w:before="440" w:after="120"/>
      </w:pPr>
      <w:r>
        <w:rPr>
          <w:rFonts w:ascii="Arial" w:cs="Arial" w:eastAsia="Arial" w:hAnsi="Arial"/>
          <w:b/>
          <w:bCs/>
          <w:color w:val="1A1A2E"/>
          <w:sz w:val="38"/>
          <w:szCs w:val="38"/>
        </w:rPr>
        <w:t xml:space="preserve">Pricing Logic &amp; Margin Summary</w:t>
      </w:r>
    </w:p>
    <w:p>
      <w:pPr>
        <w:spacing w:before="60" w:after="60"/>
      </w:pPr>
      <w:r>
        <w:rPr>
          <w:rFonts w:ascii="Arial" w:cs="Arial" w:eastAsia="Arial" w:hAnsi="Arial"/>
          <w:b w:val="false"/>
          <w:bCs w:val="false"/>
          <w:color w:val="2C2C2C"/>
          <w:sz w:val="22"/>
          <w:szCs w:val="22"/>
        </w:rPr>
        <w:t xml:space="preserve">Here is the full P&amp;L view of both packages across 6 months, plus the reasoning behind why the prices are set where they are.</w:t>
      </w:r>
    </w:p>
    <w:p>
      <w:pPr>
        <w:spacing w:before="80" w:after="80"/>
      </w:pPr>
      <w:r>
        <w:t xml:space="preserve"/>
      </w:r>
    </w:p>
    <w:p>
      <w:pPr>
        <w:pStyle w:val="Heading2"/>
        <w:spacing w:before="280" w:after="80"/>
      </w:pPr>
      <w:r>
        <w:rPr>
          <w:rFonts w:ascii="Arial" w:cs="Arial" w:eastAsia="Arial" w:hAnsi="Arial"/>
          <w:b/>
          <w:bCs/>
          <w:color w:val="2C2C2C"/>
          <w:sz w:val="28"/>
          <w:szCs w:val="28"/>
        </w:rPr>
        <w:t xml:space="preserve">Why $10,000 Build Is the Right Floor</w:t>
      </w:r>
    </w:p>
    <w:p>
      <w:pPr>
        <w:pStyle w:val="ListParagraph"/>
        <w:numPr>
          <w:ilvl w:val="0"/>
          <w:numId w:val="2"/>
        </w:numPr>
        <w:spacing w:before="40" w:after="40"/>
      </w:pPr>
      <w:r>
        <w:rPr>
          <w:rFonts w:ascii="Arial" w:cs="Arial" w:eastAsia="Arial" w:hAnsi="Arial"/>
          <w:b w:val="false"/>
          <w:bCs w:val="false"/>
          <w:color w:val="2C2C2C"/>
          <w:sz w:val="22"/>
          <w:szCs w:val="22"/>
        </w:rPr>
        <w:t xml:space="preserve">Below $10K signals we don't value the work — and clients who pay less tend to be more demanding</w:t>
      </w:r>
    </w:p>
    <w:p>
      <w:pPr>
        <w:pStyle w:val="ListParagraph"/>
        <w:numPr>
          <w:ilvl w:val="0"/>
          <w:numId w:val="2"/>
        </w:numPr>
        <w:spacing w:before="40" w:after="40"/>
      </w:pPr>
      <w:r>
        <w:rPr>
          <w:rFonts w:ascii="Arial" w:cs="Arial" w:eastAsia="Arial" w:hAnsi="Arial"/>
          <w:b w:val="false"/>
          <w:bCs w:val="false"/>
          <w:color w:val="2C2C2C"/>
          <w:sz w:val="22"/>
          <w:szCs w:val="22"/>
        </w:rPr>
        <w:t xml:space="preserve">The $10K number is psychologically a 'serious project' threshold for the collectibles market buyer</w:t>
      </w:r>
    </w:p>
    <w:p>
      <w:pPr>
        <w:pStyle w:val="ListParagraph"/>
        <w:numPr>
          <w:ilvl w:val="0"/>
          <w:numId w:val="2"/>
        </w:numPr>
        <w:spacing w:before="40" w:after="40"/>
      </w:pPr>
      <w:r>
        <w:rPr>
          <w:rFonts w:ascii="Arial" w:cs="Arial" w:eastAsia="Arial" w:hAnsi="Arial"/>
          <w:b w:val="false"/>
          <w:bCs w:val="false"/>
          <w:color w:val="2C2C2C"/>
          <w:sz w:val="22"/>
          <w:szCs w:val="22"/>
        </w:rPr>
        <w:t xml:space="preserve">Our hard cash cost on Package A is $2,730-$4,980 — the margin is real</w:t>
      </w:r>
    </w:p>
    <w:p>
      <w:pPr>
        <w:pStyle w:val="ListParagraph"/>
        <w:numPr>
          <w:ilvl w:val="0"/>
          <w:numId w:val="2"/>
        </w:numPr>
        <w:spacing w:before="40" w:after="40"/>
      </w:pPr>
      <w:r>
        <w:rPr>
          <w:rFonts w:ascii="Arial" w:cs="Arial" w:eastAsia="Arial" w:hAnsi="Arial"/>
          <w:b w:val="false"/>
          <w:bCs w:val="false"/>
          <w:color w:val="2C2C2C"/>
          <w:sz w:val="22"/>
          <w:szCs w:val="22"/>
        </w:rPr>
        <w:t xml:space="preserve">$10K also gives us runway to absorb a 2-week delay or one App Store rejection cycle without losing money</w:t>
      </w:r>
    </w:p>
    <w:p>
      <w:pPr>
        <w:pStyle w:val="ListParagraph"/>
        <w:numPr>
          <w:ilvl w:val="0"/>
          <w:numId w:val="2"/>
        </w:numPr>
        <w:spacing w:before="40" w:after="40"/>
      </w:pPr>
      <w:r>
        <w:rPr>
          <w:rFonts w:ascii="Arial" w:cs="Arial" w:eastAsia="Arial" w:hAnsi="Arial"/>
          <w:b w:val="false"/>
          <w:bCs w:val="false"/>
          <w:color w:val="2C2C2C"/>
          <w:sz w:val="22"/>
          <w:szCs w:val="22"/>
        </w:rPr>
        <w:t xml:space="preserve">Package B's $10-15K/month is justified because we're managing a team and delivering a fully-managed outcome — that's what agencies charge for this work</w:t>
      </w:r>
    </w:p>
    <w:p>
      <w:pPr>
        <w:spacing w:before="80" w:after="80"/>
      </w:pPr>
      <w:r>
        <w:t xml:space="preserve"/>
      </w:r>
    </w:p>
    <w:p>
      <w:pPr>
        <w:pStyle w:val="Heading2"/>
        <w:spacing w:before="280" w:after="80"/>
      </w:pPr>
      <w:r>
        <w:rPr>
          <w:rFonts w:ascii="Arial" w:cs="Arial" w:eastAsia="Arial" w:hAnsi="Arial"/>
          <w:b/>
          <w:bCs/>
          <w:color w:val="2C2C2C"/>
          <w:sz w:val="28"/>
          <w:szCs w:val="28"/>
        </w:rPr>
        <w:t xml:space="preserve">Full 6-Month P&amp;L — Both Packages</w:t>
      </w:r>
    </w:p>
    <w:tbl>
      <w:tblPr>
        <w:tblW w:type="dxa" w:w="9360"/>
        <w:tblBorders>
          <w:top w:val="none" w:color="FFFFFF" w:sz="0"/>
          <w:left w:val="single" w:color="auto" w:sz="4"/>
          <w:bottom w:val="none" w:color="FFFFFF" w:sz="0"/>
          <w:right w:val="single" w:color="auto" w:sz="4"/>
          <w:insideH w:val="single" w:color="auto" w:sz="4"/>
          <w:insideV w:val="single" w:color="auto" w:sz="4"/>
        </w:tblBorders>
      </w:tblPr>
      <w:tblGrid>
        <w:gridCol w:w="3400"/>
        <w:gridCol w:w="1360"/>
        <w:gridCol w:w="1360"/>
        <w:gridCol w:w="1360"/>
        <w:gridCol w:w="1880"/>
      </w:tblGrid>
      <w:tr>
        <w:tc>
          <w:tcPr>
            <w:tcW w:type="dxa" w:w="340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
            </w:r>
          </w:p>
        </w:tc>
        <w:tc>
          <w:tcPr>
            <w:tcW w:type="dxa" w:w="1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Pkg A Revenue</w:t>
            </w:r>
          </w:p>
        </w:tc>
        <w:tc>
          <w:tcPr>
            <w:tcW w:type="dxa" w:w="1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Pkg A Cost</w:t>
            </w:r>
          </w:p>
        </w:tc>
        <w:tc>
          <w:tcPr>
            <w:tcW w:type="dxa" w:w="1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Pkg A Margin</w:t>
            </w:r>
          </w:p>
        </w:tc>
        <w:tc>
          <w:tcPr>
            <w:tcW w:type="dxa" w:w="188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Build Phase (one-time)</w:t>
            </w:r>
          </w:p>
        </w:tc>
        <w:tc>
          <w:tcPr>
            <w:tcW w:type="dxa" w:w="1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1A5C2E"/>
                <w:sz w:val="20"/>
                <w:szCs w:val="20"/>
              </w:rPr>
              <w:t xml:space="preserve">$10,000</w:t>
            </w:r>
          </w:p>
        </w:tc>
        <w:tc>
          <w:tcPr>
            <w:tcW w:type="dxa" w:w="1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8B0000"/>
                <w:sz w:val="20"/>
                <w:szCs w:val="20"/>
              </w:rPr>
              <w:t xml:space="preserve">$2,730-4,980</w:t>
            </w:r>
          </w:p>
        </w:tc>
        <w:tc>
          <w:tcPr>
            <w:tcW w:type="dxa" w:w="1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1A5C2E"/>
                <w:sz w:val="20"/>
                <w:szCs w:val="20"/>
              </w:rPr>
              <w:t xml:space="preserve">$5,020-7,270</w:t>
            </w:r>
          </w:p>
        </w:tc>
        <w:tc>
          <w:tcPr>
            <w:tcW w:type="dxa" w:w="1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Before owner time</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Retainer × 3 months (min)</w:t>
            </w:r>
          </w:p>
        </w:tc>
        <w:tc>
          <w:tcPr>
            <w:tcW w:type="dxa" w:w="1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color w:val="1A5C2E"/>
                <w:sz w:val="20"/>
                <w:szCs w:val="20"/>
              </w:rPr>
              <w:t xml:space="preserve">$7,500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color w:val="8B0000"/>
                <w:sz w:val="20"/>
                <w:szCs w:val="20"/>
              </w:rPr>
              <w:t xml:space="preserve">$1,905-4,002</w:t>
            </w:r>
          </w:p>
        </w:tc>
        <w:tc>
          <w:tcPr>
            <w:tcW w:type="dxa" w:w="1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color w:val="1A5C2E"/>
                <w:sz w:val="20"/>
                <w:szCs w:val="20"/>
              </w:rPr>
              <w:t xml:space="preserve">$3,498-5,595</w:t>
            </w:r>
          </w:p>
        </w:tc>
        <w:tc>
          <w:tcPr>
            <w:tcW w:type="dxa" w:w="1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$635-1,334/mo cost</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Infra pass-through (6mo)</w:t>
            </w:r>
          </w:p>
        </w:tc>
        <w:tc>
          <w:tcPr>
            <w:tcW w:type="dxa" w:w="1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Included</w:t>
            </w:r>
          </w:p>
        </w:tc>
        <w:tc>
          <w:tcPr>
            <w:tcW w:type="dxa" w:w="1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8B0000"/>
                <w:sz w:val="20"/>
                <w:szCs w:val="20"/>
              </w:rPr>
              <w:t xml:space="preserve">~$800</w:t>
            </w:r>
          </w:p>
        </w:tc>
        <w:tc>
          <w:tcPr>
            <w:tcW w:type="dxa" w:w="1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Absorbed</w:t>
            </w:r>
          </w:p>
        </w:tc>
        <w:tc>
          <w:tcPr>
            <w:tcW w:type="dxa" w:w="1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Built into pricing</w:t>
            </w:r>
          </w:p>
        </w:tc>
      </w:tr>
      <w:tr>
        <w:tc>
          <w:tcPr>
            <w:tcW w:type="dxa" w:w="3400"/>
            <w:tcBorders>
              <w:top w:val="single" w:color="DDDDDD" w:sz="1"/>
              <w:left w:val="single" w:color="DDDDDD" w:sz="1"/>
              <w:bottom w:val="single" w:color="DDDDDD" w:sz="1"/>
              <w:right w:val="single" w:color="DDDDDD" w:sz="1"/>
            </w:tcBorders>
            <w:shd w:fill="F0FFF4" w:val="clear"/>
            <w:tcMar>
              <w:top w:type="dxa" w:w="80"/>
              <w:left w:type="dxa" w:w="140"/>
              <w:bottom w:type="dxa" w:w="80"/>
              <w:right w:type="dxa" w:w="140"/>
            </w:tcMar>
          </w:tcPr>
          <w:p>
            <w:pPr>
              <w:jc w:val="left"/>
            </w:pPr>
            <w:r>
              <w:rPr>
                <w:rFonts w:ascii="Arial" w:cs="Arial" w:eastAsia="Arial" w:hAnsi="Arial"/>
                <w:b/>
                <w:bCs/>
                <w:color w:val="1A5C2E"/>
                <w:sz w:val="20"/>
                <w:szCs w:val="20"/>
              </w:rPr>
              <w:t xml:space="preserve">6-MONTH TOTAL — PACKAGE A</w:t>
            </w:r>
          </w:p>
        </w:tc>
        <w:tc>
          <w:tcPr>
            <w:tcW w:type="dxa" w:w="1360"/>
            <w:tcBorders>
              <w:top w:val="single" w:color="DDDDDD" w:sz="1"/>
              <w:left w:val="single" w:color="DDDDDD" w:sz="1"/>
              <w:bottom w:val="single" w:color="DDDDDD" w:sz="1"/>
              <w:right w:val="single" w:color="DDDDDD" w:sz="1"/>
            </w:tcBorders>
            <w:shd w:fill="F0FFF4" w:val="clear"/>
            <w:tcMar>
              <w:top w:type="dxa" w:w="80"/>
              <w:left w:type="dxa" w:w="140"/>
              <w:bottom w:type="dxa" w:w="80"/>
              <w:right w:type="dxa" w:w="140"/>
            </w:tcMar>
          </w:tcPr>
          <w:p>
            <w:pPr>
              <w:jc w:val="left"/>
            </w:pPr>
            <w:r>
              <w:rPr>
                <w:rFonts w:ascii="Arial" w:cs="Arial" w:eastAsia="Arial" w:hAnsi="Arial"/>
                <w:b/>
                <w:bCs/>
                <w:color w:val="1A5C2E"/>
                <w:sz w:val="20"/>
                <w:szCs w:val="20"/>
              </w:rPr>
              <w:t xml:space="preserve">$17,500</w:t>
            </w:r>
          </w:p>
        </w:tc>
        <w:tc>
          <w:tcPr>
            <w:tcW w:type="dxa" w:w="1360"/>
            <w:tcBorders>
              <w:top w:val="single" w:color="DDDDDD" w:sz="1"/>
              <w:left w:val="single" w:color="DDDDDD" w:sz="1"/>
              <w:bottom w:val="single" w:color="DDDDDD" w:sz="1"/>
              <w:right w:val="single" w:color="DDDDDD" w:sz="1"/>
            </w:tcBorders>
            <w:shd w:fill="F0FFF4" w:val="clear"/>
            <w:tcMar>
              <w:top w:type="dxa" w:w="80"/>
              <w:left w:type="dxa" w:w="140"/>
              <w:bottom w:type="dxa" w:w="80"/>
              <w:right w:type="dxa" w:w="140"/>
            </w:tcMar>
          </w:tcPr>
          <w:p>
            <w:pPr>
              <w:jc w:val="left"/>
            </w:pPr>
            <w:r>
              <w:rPr>
                <w:rFonts w:ascii="Arial" w:cs="Arial" w:eastAsia="Arial" w:hAnsi="Arial"/>
                <w:b/>
                <w:bCs/>
                <w:color w:val="8B0000"/>
                <w:sz w:val="20"/>
                <w:szCs w:val="20"/>
              </w:rPr>
              <w:t xml:space="preserve">$5,435-9,782</w:t>
            </w:r>
          </w:p>
        </w:tc>
        <w:tc>
          <w:tcPr>
            <w:tcW w:type="dxa" w:w="1360"/>
            <w:tcBorders>
              <w:top w:val="single" w:color="DDDDDD" w:sz="1"/>
              <w:left w:val="single" w:color="DDDDDD" w:sz="1"/>
              <w:bottom w:val="single" w:color="DDDDDD" w:sz="1"/>
              <w:right w:val="single" w:color="DDDDDD" w:sz="1"/>
            </w:tcBorders>
            <w:shd w:fill="F0FFF4" w:val="clear"/>
            <w:tcMar>
              <w:top w:type="dxa" w:w="80"/>
              <w:left w:type="dxa" w:w="140"/>
              <w:bottom w:type="dxa" w:w="80"/>
              <w:right w:type="dxa" w:w="140"/>
            </w:tcMar>
          </w:tcPr>
          <w:p>
            <w:pPr>
              <w:jc w:val="left"/>
            </w:pPr>
            <w:r>
              <w:rPr>
                <w:rFonts w:ascii="Arial" w:cs="Arial" w:eastAsia="Arial" w:hAnsi="Arial"/>
                <w:b/>
                <w:bCs/>
                <w:color w:val="1A5C2E"/>
                <w:sz w:val="20"/>
                <w:szCs w:val="20"/>
              </w:rPr>
              <w:t xml:space="preserve">$7,718-12,065</w:t>
            </w:r>
          </w:p>
        </w:tc>
        <w:tc>
          <w:tcPr>
            <w:tcW w:type="dxa" w:w="1880"/>
            <w:tcBorders>
              <w:top w:val="single" w:color="DDDDDD" w:sz="1"/>
              <w:left w:val="single" w:color="DDDDDD" w:sz="1"/>
              <w:bottom w:val="single" w:color="DDDDDD" w:sz="1"/>
              <w:right w:val="single" w:color="DDDDDD" w:sz="1"/>
            </w:tcBorders>
            <w:shd w:fill="F0FFF4" w:val="clear"/>
            <w:tcMar>
              <w:top w:type="dxa" w:w="80"/>
              <w:left w:type="dxa" w:w="140"/>
              <w:bottom w:type="dxa" w:w="80"/>
              <w:right w:type="dxa" w:w="140"/>
            </w:tcMar>
          </w:tcPr>
          <w:p>
            <w:pPr>
              <w:jc w:val="left"/>
            </w:pPr>
            <w:r>
              <w:rPr>
                <w:rFonts w:ascii="Arial" w:cs="Arial" w:eastAsia="Arial" w:hAnsi="Arial"/>
                <w:b/>
                <w:bCs/>
                <w:color w:val="1A5C2E"/>
                <w:sz w:val="20"/>
                <w:szCs w:val="20"/>
              </w:rPr>
              <w:t xml:space="preserve">44-69% margin</w:t>
            </w:r>
          </w:p>
        </w:tc>
      </w:tr>
    </w:tbl>
    <w:p>
      <w:pPr>
        <w:spacing w:before="80" w:after="80"/>
      </w:pPr>
      <w:r>
        <w:t xml:space="preserve"/>
      </w:r>
    </w:p>
    <w:tbl>
      <w:tblPr>
        <w:tblW w:type="dxa" w:w="9360"/>
        <w:tblBorders>
          <w:top w:val="none" w:color="FFFFFF" w:sz="0"/>
          <w:left w:val="single" w:color="auto" w:sz="4"/>
          <w:bottom w:val="none" w:color="FFFFFF" w:sz="0"/>
          <w:right w:val="single" w:color="auto" w:sz="4"/>
          <w:insideH w:val="single" w:color="auto" w:sz="4"/>
          <w:insideV w:val="single" w:color="auto" w:sz="4"/>
        </w:tblBorders>
      </w:tblPr>
      <w:tblGrid>
        <w:gridCol w:w="3400"/>
        <w:gridCol w:w="1360"/>
        <w:gridCol w:w="1360"/>
        <w:gridCol w:w="1360"/>
        <w:gridCol w:w="1880"/>
      </w:tblGrid>
      <w:tr>
        <w:tc>
          <w:tcPr>
            <w:tcW w:type="dxa" w:w="340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
            </w:r>
          </w:p>
        </w:tc>
        <w:tc>
          <w:tcPr>
            <w:tcW w:type="dxa" w:w="1360"/>
            <w:tcBorders>
              <w:top w:val="none" w:color="FFFFFF" w:sz="0"/>
              <w:left w:val="none" w:color="FFFFFF" w:sz="0"/>
              <w:bottom w:val="none" w:color="FFFFFF" w:sz="0"/>
              <w:right w:val="none" w:color="FFFFFF" w:sz="0"/>
            </w:tcBorders>
            <w:shd w:fill="555555" w:val="clear"/>
            <w:tcMar>
              <w:top w:type="dxa" w:w="100"/>
              <w:left w:type="dxa" w:w="160"/>
              <w:bottom w:type="dxa" w:w="100"/>
              <w:right w:type="dxa" w:w="160"/>
            </w:tcMar>
          </w:tcPr>
          <w:p>
            <w:r>
              <w:rPr>
                <w:rFonts w:ascii="Arial" w:cs="Arial" w:eastAsia="Arial" w:hAnsi="Arial"/>
                <w:b/>
                <w:bCs/>
                <w:color w:val="FFFFFF"/>
                <w:sz w:val="20"/>
                <w:szCs w:val="20"/>
              </w:rPr>
              <w:t xml:space="preserve">Pkg B Revenue</w:t>
            </w:r>
          </w:p>
        </w:tc>
        <w:tc>
          <w:tcPr>
            <w:tcW w:type="dxa" w:w="1360"/>
            <w:tcBorders>
              <w:top w:val="none" w:color="FFFFFF" w:sz="0"/>
              <w:left w:val="none" w:color="FFFFFF" w:sz="0"/>
              <w:bottom w:val="none" w:color="FFFFFF" w:sz="0"/>
              <w:right w:val="none" w:color="FFFFFF" w:sz="0"/>
            </w:tcBorders>
            <w:shd w:fill="555555" w:val="clear"/>
            <w:tcMar>
              <w:top w:type="dxa" w:w="100"/>
              <w:left w:type="dxa" w:w="160"/>
              <w:bottom w:type="dxa" w:w="100"/>
              <w:right w:type="dxa" w:w="160"/>
            </w:tcMar>
          </w:tcPr>
          <w:p>
            <w:r>
              <w:rPr>
                <w:rFonts w:ascii="Arial" w:cs="Arial" w:eastAsia="Arial" w:hAnsi="Arial"/>
                <w:b/>
                <w:bCs/>
                <w:color w:val="FFFFFF"/>
                <w:sz w:val="20"/>
                <w:szCs w:val="20"/>
              </w:rPr>
              <w:t xml:space="preserve">Pkg B Cost (LatAm)</w:t>
            </w:r>
          </w:p>
        </w:tc>
        <w:tc>
          <w:tcPr>
            <w:tcW w:type="dxa" w:w="1360"/>
            <w:tcBorders>
              <w:top w:val="none" w:color="FFFFFF" w:sz="0"/>
              <w:left w:val="none" w:color="FFFFFF" w:sz="0"/>
              <w:bottom w:val="none" w:color="FFFFFF" w:sz="0"/>
              <w:right w:val="none" w:color="FFFFFF" w:sz="0"/>
            </w:tcBorders>
            <w:shd w:fill="555555" w:val="clear"/>
            <w:tcMar>
              <w:top w:type="dxa" w:w="100"/>
              <w:left w:type="dxa" w:w="160"/>
              <w:bottom w:type="dxa" w:w="100"/>
              <w:right w:type="dxa" w:w="160"/>
            </w:tcMar>
          </w:tcPr>
          <w:p>
            <w:r>
              <w:rPr>
                <w:rFonts w:ascii="Arial" w:cs="Arial" w:eastAsia="Arial" w:hAnsi="Arial"/>
                <w:b/>
                <w:bCs/>
                <w:color w:val="FFFFFF"/>
                <w:sz w:val="20"/>
                <w:szCs w:val="20"/>
              </w:rPr>
              <w:t xml:space="preserve">Pkg B Margin</w:t>
            </w:r>
          </w:p>
        </w:tc>
        <w:tc>
          <w:tcPr>
            <w:tcW w:type="dxa" w:w="188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Build Phase (3 months @ $10-13K/mo)</w:t>
            </w:r>
          </w:p>
        </w:tc>
        <w:tc>
          <w:tcPr>
            <w:tcW w:type="dxa" w:w="1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1A5C2E"/>
                <w:sz w:val="20"/>
                <w:szCs w:val="20"/>
              </w:rPr>
              <w:t xml:space="preserve">$30,000-39,000</w:t>
            </w:r>
          </w:p>
        </w:tc>
        <w:tc>
          <w:tcPr>
            <w:tcW w:type="dxa" w:w="1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8B0000"/>
                <w:sz w:val="20"/>
                <w:szCs w:val="20"/>
              </w:rPr>
              <w:t xml:space="preserve">$6,600-13,000</w:t>
            </w:r>
          </w:p>
        </w:tc>
        <w:tc>
          <w:tcPr>
            <w:tcW w:type="dxa" w:w="1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1A5C2E"/>
                <w:sz w:val="20"/>
                <w:szCs w:val="20"/>
              </w:rPr>
              <w:t xml:space="preserve">$17,000-32,000</w:t>
            </w:r>
          </w:p>
        </w:tc>
        <w:tc>
          <w:tcPr>
            <w:tcW w:type="dxa" w:w="1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LatAm team</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Retainer × 3 months ($2,500-5,000/mo)</w:t>
            </w:r>
          </w:p>
        </w:tc>
        <w:tc>
          <w:tcPr>
            <w:tcW w:type="dxa" w:w="1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color w:val="1A5C2E"/>
                <w:sz w:val="20"/>
                <w:szCs w:val="20"/>
              </w:rPr>
              <w:t xml:space="preserve">$7,500-15,000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color w:val="8B0000"/>
                <w:sz w:val="20"/>
                <w:szCs w:val="20"/>
              </w:rPr>
              <w:t xml:space="preserve">$5,175-9,750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color w:val="1A5C2E"/>
                <w:sz w:val="20"/>
                <w:szCs w:val="20"/>
              </w:rPr>
              <w:t xml:space="preserve">$2,325-9,825</w:t>
            </w:r>
          </w:p>
        </w:tc>
        <w:tc>
          <w:tcPr>
            <w:tcW w:type="dxa" w:w="1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Dev on retainer too</w:t>
            </w:r>
          </w:p>
        </w:tc>
      </w:tr>
      <w:tr>
        <w:tc>
          <w:tcPr>
            <w:tcW w:type="dxa" w:w="3400"/>
            <w:tcBorders>
              <w:top w:val="single" w:color="DDDDDD" w:sz="1"/>
              <w:left w:val="single" w:color="DDDDDD" w:sz="1"/>
              <w:bottom w:val="single" w:color="DDDDDD" w:sz="1"/>
              <w:right w:val="single" w:color="DDDDDD" w:sz="1"/>
            </w:tcBorders>
            <w:shd w:fill="F0FFF4" w:val="clear"/>
            <w:tcMar>
              <w:top w:type="dxa" w:w="80"/>
              <w:left w:type="dxa" w:w="140"/>
              <w:bottom w:type="dxa" w:w="80"/>
              <w:right w:type="dxa" w:w="140"/>
            </w:tcMar>
          </w:tcPr>
          <w:p>
            <w:pPr>
              <w:jc w:val="left"/>
            </w:pPr>
            <w:r>
              <w:rPr>
                <w:rFonts w:ascii="Arial" w:cs="Arial" w:eastAsia="Arial" w:hAnsi="Arial"/>
                <w:b/>
                <w:bCs/>
                <w:color w:val="1A5C2E"/>
                <w:sz w:val="20"/>
                <w:szCs w:val="20"/>
              </w:rPr>
              <w:t xml:space="preserve">6-MONTH TOTAL — PACKAGE B (LatAm)</w:t>
            </w:r>
          </w:p>
        </w:tc>
        <w:tc>
          <w:tcPr>
            <w:tcW w:type="dxa" w:w="1360"/>
            <w:tcBorders>
              <w:top w:val="single" w:color="DDDDDD" w:sz="1"/>
              <w:left w:val="single" w:color="DDDDDD" w:sz="1"/>
              <w:bottom w:val="single" w:color="DDDDDD" w:sz="1"/>
              <w:right w:val="single" w:color="DDDDDD" w:sz="1"/>
            </w:tcBorders>
            <w:shd w:fill="F0FFF4" w:val="clear"/>
            <w:tcMar>
              <w:top w:type="dxa" w:w="80"/>
              <w:left w:type="dxa" w:w="140"/>
              <w:bottom w:type="dxa" w:w="80"/>
              <w:right w:type="dxa" w:w="140"/>
            </w:tcMar>
          </w:tcPr>
          <w:p>
            <w:pPr>
              <w:jc w:val="left"/>
            </w:pPr>
            <w:r>
              <w:rPr>
                <w:rFonts w:ascii="Arial" w:cs="Arial" w:eastAsia="Arial" w:hAnsi="Arial"/>
                <w:b/>
                <w:bCs/>
                <w:color w:val="1A5C2E"/>
                <w:sz w:val="20"/>
                <w:szCs w:val="20"/>
              </w:rPr>
              <w:t xml:space="preserve">$37,500-54,000</w:t>
            </w:r>
          </w:p>
        </w:tc>
        <w:tc>
          <w:tcPr>
            <w:tcW w:type="dxa" w:w="1360"/>
            <w:tcBorders>
              <w:top w:val="single" w:color="DDDDDD" w:sz="1"/>
              <w:left w:val="single" w:color="DDDDDD" w:sz="1"/>
              <w:bottom w:val="single" w:color="DDDDDD" w:sz="1"/>
              <w:right w:val="single" w:color="DDDDDD" w:sz="1"/>
            </w:tcBorders>
            <w:shd w:fill="F0FFF4" w:val="clear"/>
            <w:tcMar>
              <w:top w:type="dxa" w:w="80"/>
              <w:left w:type="dxa" w:w="140"/>
              <w:bottom w:type="dxa" w:w="80"/>
              <w:right w:type="dxa" w:w="140"/>
            </w:tcMar>
          </w:tcPr>
          <w:p>
            <w:pPr>
              <w:jc w:val="left"/>
            </w:pPr>
            <w:r>
              <w:rPr>
                <w:rFonts w:ascii="Arial" w:cs="Arial" w:eastAsia="Arial" w:hAnsi="Arial"/>
                <w:b/>
                <w:bCs/>
                <w:color w:val="8B0000"/>
                <w:sz w:val="20"/>
                <w:szCs w:val="20"/>
              </w:rPr>
              <w:t xml:space="preserve">$11,775-22,750</w:t>
            </w:r>
          </w:p>
        </w:tc>
        <w:tc>
          <w:tcPr>
            <w:tcW w:type="dxa" w:w="1360"/>
            <w:tcBorders>
              <w:top w:val="single" w:color="DDDDDD" w:sz="1"/>
              <w:left w:val="single" w:color="DDDDDD" w:sz="1"/>
              <w:bottom w:val="single" w:color="DDDDDD" w:sz="1"/>
              <w:right w:val="single" w:color="DDDDDD" w:sz="1"/>
            </w:tcBorders>
            <w:shd w:fill="F0FFF4" w:val="clear"/>
            <w:tcMar>
              <w:top w:type="dxa" w:w="80"/>
              <w:left w:type="dxa" w:w="140"/>
              <w:bottom w:type="dxa" w:w="80"/>
              <w:right w:type="dxa" w:w="140"/>
            </w:tcMar>
          </w:tcPr>
          <w:p>
            <w:pPr>
              <w:jc w:val="left"/>
            </w:pPr>
            <w:r>
              <w:rPr>
                <w:rFonts w:ascii="Arial" w:cs="Arial" w:eastAsia="Arial" w:hAnsi="Arial"/>
                <w:b/>
                <w:bCs/>
                <w:color w:val="1A5C2E"/>
                <w:sz w:val="20"/>
                <w:szCs w:val="20"/>
              </w:rPr>
              <w:t xml:space="preserve">$19,325-41,825</w:t>
            </w:r>
          </w:p>
        </w:tc>
        <w:tc>
          <w:tcPr>
            <w:tcW w:type="dxa" w:w="1880"/>
            <w:tcBorders>
              <w:top w:val="single" w:color="DDDDDD" w:sz="1"/>
              <w:left w:val="single" w:color="DDDDDD" w:sz="1"/>
              <w:bottom w:val="single" w:color="DDDDDD" w:sz="1"/>
              <w:right w:val="single" w:color="DDDDDD" w:sz="1"/>
            </w:tcBorders>
            <w:shd w:fill="F0FFF4" w:val="clear"/>
            <w:tcMar>
              <w:top w:type="dxa" w:w="80"/>
              <w:left w:type="dxa" w:w="140"/>
              <w:bottom w:type="dxa" w:w="80"/>
              <w:right w:type="dxa" w:w="140"/>
            </w:tcMar>
          </w:tcPr>
          <w:p>
            <w:pPr>
              <w:jc w:val="left"/>
            </w:pPr>
            <w:r>
              <w:rPr>
                <w:rFonts w:ascii="Arial" w:cs="Arial" w:eastAsia="Arial" w:hAnsi="Arial"/>
                <w:b/>
                <w:bCs/>
                <w:color w:val="1A5C2E"/>
                <w:sz w:val="20"/>
                <w:szCs w:val="20"/>
              </w:rPr>
              <w:t xml:space="preserve">37-77% margin</w:t>
            </w:r>
          </w:p>
        </w:tc>
      </w:tr>
    </w:tbl>
    <w:p>
      <w:pPr>
        <w:spacing w:before="80" w:after="80"/>
      </w:pPr>
      <w:r>
        <w:t xml:space="preserve"/>
      </w:r>
    </w:p>
    <w:tbl>
      <w:tblPr>
        <w:tblW w:type="dxa" w:w="9360"/>
        <w:tblBorders>
          <w:top w:val="none" w:color="FFFFFF" w:sz="0"/>
          <w:left w:val="single" w:color="auto" w:sz="4"/>
          <w:bottom w:val="none" w:color="FFFFFF" w:sz="0"/>
          <w:right w:val="single" w:color="auto" w:sz="4"/>
          <w:insideH w:val="single" w:color="auto" w:sz="4"/>
          <w:insideV w:val="single" w:color="auto" w:sz="4"/>
        </w:tblBorders>
      </w:tblPr>
      <w:tblGrid>
        <w:gridCol w:w="9360"/>
      </w:tblGrid>
      <w:tr>
        <w:tc>
          <w:tcPr>
            <w:tcW w:type="dxa" w:w="9360"/>
            <w:tcBorders>
              <w:top w:val="single" w:color="1B3A6B" w:sz="8"/>
              <w:left w:val="single" w:color="1B3A6B" w:sz="8"/>
              <w:bottom w:val="single" w:color="1B3A6B" w:sz="8"/>
              <w:right w:val="single" w:color="1B3A6B" w:sz="8"/>
            </w:tcBorders>
            <w:shd w:fill="F0F5FF" w:val="clear"/>
            <w:tcMar>
              <w:top w:type="dxa" w:w="160"/>
              <w:left w:type="dxa" w:w="220"/>
              <w:bottom w:type="dxa" w:w="160"/>
              <w:right w:type="dxa" w:w="220"/>
            </w:tcMar>
          </w:tcPr>
          <w:p>
            <w:pPr>
              <w:spacing w:before="0" w:after="40"/>
            </w:pPr>
            <w:r>
              <w:rPr>
                <w:rFonts w:ascii="Arial" w:cs="Arial" w:eastAsia="Arial" w:hAnsi="Arial"/>
                <w:b/>
                <w:bCs/>
                <w:color w:val="1B3A6B"/>
                <w:sz w:val="22"/>
                <w:szCs w:val="22"/>
              </w:rPr>
              <w:t xml:space="preserve">Margin Reality Check</w:t>
            </w:r>
          </w:p>
          <w:p>
            <w:pPr>
              <w:spacing w:before="0" w:after="0"/>
            </w:pPr>
            <w:r>
              <w:rPr>
                <w:rFonts w:ascii="Arial" w:cs="Arial" w:eastAsia="Arial" w:hAnsi="Arial"/>
                <w:color w:val="2C2C2C"/>
                <w:sz w:val="21"/>
                <w:szCs w:val="21"/>
              </w:rPr>
              <w:t xml:space="preserve">Package A is a good margin business IF we protect our time. The risk is scope creep on the retainer — a client who treats $2,500/month as unlimited access. The SOW must define what's in/out clearly, and we enforce it. Package B is the higher absolute dollar margin play, especially with a LatAm team. The spec document we generate with Claude Code is what makes Package B viable — without it, cost overruns on the dev team eat our margin.</w:t>
            </w:r>
          </w:p>
        </w:tc>
      </w:tr>
    </w:tbl>
    <w:p>
      <w:r>
        <w:br w:type="page"/>
      </w:r>
    </w:p>
    <w:p>
      <w:pPr>
        <w:pStyle w:val="Heading1"/>
        <w:pBdr>
          <w:bottom w:val="single" w:color="1A1A2E" w:sz="6" w:space="4"/>
        </w:pBdr>
        <w:spacing w:before="440" w:after="120"/>
      </w:pPr>
      <w:r>
        <w:rPr>
          <w:rFonts w:ascii="Arial" w:cs="Arial" w:eastAsia="Arial" w:hAnsi="Arial"/>
          <w:b/>
          <w:bCs/>
          <w:color w:val="1A1A2E"/>
          <w:sz w:val="38"/>
          <w:szCs w:val="38"/>
        </w:rPr>
        <w:t xml:space="preserve">Risks We Own Internally</w:t>
      </w:r>
    </w:p>
    <w:p>
      <w:pPr>
        <w:spacing w:before="60" w:after="60"/>
      </w:pPr>
      <w:r>
        <w:rPr>
          <w:rFonts w:ascii="Arial" w:cs="Arial" w:eastAsia="Arial" w:hAnsi="Arial"/>
          <w:b w:val="false"/>
          <w:bCs w:val="false"/>
          <w:color w:val="2C2C2C"/>
          <w:sz w:val="22"/>
          <w:szCs w:val="22"/>
        </w:rPr>
        <w:t xml:space="preserve">These are the real risk factors we need to account for — things we wouldn't say to a client but need to plan around.</w:t>
      </w:r>
    </w:p>
    <w:p>
      <w:pPr>
        <w:spacing w:before="80" w:after="80"/>
      </w:pPr>
      <w:r>
        <w:t xml:space="preserve"/>
      </w:r>
    </w:p>
    <w:p>
      <w:pPr>
        <w:pStyle w:val="Heading2"/>
        <w:spacing w:before="280" w:after="80"/>
      </w:pPr>
      <w:r>
        <w:rPr>
          <w:rFonts w:ascii="Arial" w:cs="Arial" w:eastAsia="Arial" w:hAnsi="Arial"/>
          <w:b/>
          <w:bCs/>
          <w:color w:val="2C2C2C"/>
          <w:sz w:val="28"/>
          <w:szCs w:val="28"/>
        </w:rPr>
        <w:t xml:space="preserve">Technical Risks</w:t>
      </w:r>
    </w:p>
    <w:p>
      <w:pPr>
        <w:pStyle w:val="ListParagraph"/>
        <w:numPr>
          <w:ilvl w:val="0"/>
          <w:numId w:val="2"/>
        </w:numPr>
        <w:spacing w:before="40" w:after="40"/>
      </w:pPr>
      <w:r>
        <w:rPr>
          <w:rFonts w:ascii="Arial" w:cs="Arial" w:eastAsia="Arial" w:hAnsi="Arial"/>
          <w:b w:val="false"/>
          <w:bCs w:val="false"/>
          <w:color w:val="8B0000"/>
          <w:sz w:val="22"/>
          <w:szCs w:val="22"/>
        </w:rPr>
        <w:t xml:space="preserve">Claude Code output quality is not guaranteed — some screens may need significant rework before a real dev would be comfortable signing off on them</w:t>
      </w:r>
    </w:p>
    <w:p>
      <w:pPr>
        <w:pStyle w:val="ListParagraph"/>
        <w:numPr>
          <w:ilvl w:val="0"/>
          <w:numId w:val="2"/>
        </w:numPr>
        <w:spacing w:before="40" w:after="40"/>
      </w:pPr>
      <w:r>
        <w:rPr>
          <w:rFonts w:ascii="Arial" w:cs="Arial" w:eastAsia="Arial" w:hAnsi="Arial"/>
          <w:b w:val="false"/>
          <w:bCs w:val="false"/>
          <w:color w:val="8B0000"/>
          <w:sz w:val="22"/>
          <w:szCs w:val="22"/>
        </w:rPr>
        <w:t xml:space="preserve">Expo managed workflow works well for 80% of what TROV needs. The remaining 20% (custom push cert handling, deep link edge cases, background fetch) can hit unexpected walls</w:t>
      </w:r>
    </w:p>
    <w:p>
      <w:pPr>
        <w:pStyle w:val="ListParagraph"/>
        <w:numPr>
          <w:ilvl w:val="0"/>
          <w:numId w:val="2"/>
        </w:numPr>
        <w:spacing w:before="40" w:after="40"/>
      </w:pPr>
      <w:r>
        <w:rPr>
          <w:rFonts w:ascii="Arial" w:cs="Arial" w:eastAsia="Arial" w:hAnsi="Arial"/>
          <w:b w:val="false"/>
          <w:bCs w:val="false"/>
          <w:color w:val="7B4F00"/>
          <w:sz w:val="22"/>
          <w:szCs w:val="22"/>
        </w:rPr>
        <w:t xml:space="preserve">App Store rejection cycles are unpredictable — Apple's review team is inconsistent. Budget time, not just money, for this.</w:t>
      </w:r>
    </w:p>
    <w:p>
      <w:pPr>
        <w:pStyle w:val="ListParagraph"/>
        <w:numPr>
          <w:ilvl w:val="0"/>
          <w:numId w:val="2"/>
        </w:numPr>
        <w:spacing w:before="40" w:after="40"/>
      </w:pPr>
      <w:r>
        <w:rPr>
          <w:rFonts w:ascii="Arial" w:cs="Arial" w:eastAsia="Arial" w:hAnsi="Arial"/>
          <w:b w:val="false"/>
          <w:bCs w:val="false"/>
          <w:color w:val="7B4F00"/>
          <w:sz w:val="22"/>
          <w:szCs w:val="22"/>
        </w:rPr>
        <w:t xml:space="preserve">The Dream Experience feature and real-time alert system are the most complex parts of the v1 — these will take longer to rebuild natively than simpler screens</w:t>
      </w:r>
    </w:p>
    <w:p>
      <w:pPr>
        <w:pStyle w:val="ListParagraph"/>
        <w:numPr>
          <w:ilvl w:val="0"/>
          <w:numId w:val="2"/>
        </w:numPr>
        <w:spacing w:before="40" w:after="40"/>
      </w:pPr>
      <w:r>
        <w:rPr>
          <w:rFonts w:ascii="Arial" w:cs="Arial" w:eastAsia="Arial" w:hAnsi="Arial"/>
          <w:b w:val="false"/>
          <w:bCs w:val="false"/>
          <w:color w:val="7B4F00"/>
          <w:sz w:val="22"/>
          <w:szCs w:val="22"/>
        </w:rPr>
        <w:t xml:space="preserve">Supabase real-time at scale can be tricky — if TROV gets meaningful traction at Fanatics Fest, we need to make sure the infra doesn't buckle</w:t>
      </w:r>
    </w:p>
    <w:p>
      <w:pPr>
        <w:spacing w:before="80" w:after="80"/>
      </w:pPr>
      <w:r>
        <w:t xml:space="preserve"/>
      </w:r>
    </w:p>
    <w:p>
      <w:pPr>
        <w:pStyle w:val="Heading2"/>
        <w:spacing w:before="280" w:after="80"/>
      </w:pPr>
      <w:r>
        <w:rPr>
          <w:rFonts w:ascii="Arial" w:cs="Arial" w:eastAsia="Arial" w:hAnsi="Arial"/>
          <w:b/>
          <w:bCs/>
          <w:color w:val="2C2C2C"/>
          <w:sz w:val="28"/>
          <w:szCs w:val="28"/>
        </w:rPr>
        <w:t xml:space="preserve">Business Risks</w:t>
      </w:r>
    </w:p>
    <w:p>
      <w:pPr>
        <w:pStyle w:val="ListParagraph"/>
        <w:numPr>
          <w:ilvl w:val="0"/>
          <w:numId w:val="2"/>
        </w:numPr>
        <w:spacing w:before="40" w:after="40"/>
      </w:pPr>
      <w:r>
        <w:rPr>
          <w:rFonts w:ascii="Arial" w:cs="Arial" w:eastAsia="Arial" w:hAnsi="Arial"/>
          <w:b w:val="false"/>
          <w:bCs w:val="false"/>
          <w:color w:val="8B0000"/>
          <w:sz w:val="22"/>
          <w:szCs w:val="22"/>
        </w:rPr>
        <w:t xml:space="preserve">Scope creep on the retainer is the #1 margin killer — clients start treating monthly retainers as unlimited access once they're comfortable with us</w:t>
      </w:r>
    </w:p>
    <w:p>
      <w:pPr>
        <w:pStyle w:val="ListParagraph"/>
        <w:numPr>
          <w:ilvl w:val="0"/>
          <w:numId w:val="2"/>
        </w:numPr>
        <w:spacing w:before="40" w:after="40"/>
      </w:pPr>
      <w:r>
        <w:rPr>
          <w:rFonts w:ascii="Arial" w:cs="Arial" w:eastAsia="Arial" w:hAnsi="Arial"/>
          <w:b w:val="false"/>
          <w:bCs w:val="false"/>
          <w:color w:val="8B0000"/>
          <w:sz w:val="22"/>
          <w:szCs w:val="22"/>
        </w:rPr>
        <w:t xml:space="preserve">If Beryl's bandwidth drops mid-build on Package A, we may need to absorb the cost of converting to a dev team without repricing — plan for this</w:t>
      </w:r>
    </w:p>
    <w:p>
      <w:pPr>
        <w:pStyle w:val="ListParagraph"/>
        <w:numPr>
          <w:ilvl w:val="0"/>
          <w:numId w:val="2"/>
        </w:numPr>
        <w:spacing w:before="40" w:after="40"/>
      </w:pPr>
      <w:r>
        <w:rPr>
          <w:rFonts w:ascii="Arial" w:cs="Arial" w:eastAsia="Arial" w:hAnsi="Arial"/>
          <w:b w:val="false"/>
          <w:bCs w:val="false"/>
          <w:color w:val="7B4F00"/>
          <w:sz w:val="22"/>
          <w:szCs w:val="22"/>
        </w:rPr>
        <w:t xml:space="preserve">The client (Brett/TROV) is also Beryl — this is a self-engagement, which means accountability structures need to be explicit to partners</w:t>
      </w:r>
    </w:p>
    <w:p>
      <w:pPr>
        <w:pStyle w:val="ListParagraph"/>
        <w:numPr>
          <w:ilvl w:val="0"/>
          <w:numId w:val="2"/>
        </w:numPr>
        <w:spacing w:before="40" w:after="40"/>
      </w:pPr>
      <w:r>
        <w:rPr>
          <w:rFonts w:ascii="Arial" w:cs="Arial" w:eastAsia="Arial" w:hAnsi="Arial"/>
          <w:b w:val="false"/>
          <w:bCs w:val="false"/>
          <w:color w:val="7B4F00"/>
          <w:sz w:val="22"/>
          <w:szCs w:val="22"/>
        </w:rPr>
        <w:t xml:space="preserve">July 15 is hard. If the App Store rejects twice and we miss Fanatics Fest, there's reputational cost even if the contract is clean</w:t>
      </w:r>
    </w:p>
    <w:p>
      <w:pPr>
        <w:pStyle w:val="ListParagraph"/>
        <w:numPr>
          <w:ilvl w:val="0"/>
          <w:numId w:val="2"/>
        </w:numPr>
        <w:spacing w:before="40" w:after="40"/>
      </w:pPr>
      <w:r>
        <w:rPr>
          <w:rFonts w:ascii="Arial" w:cs="Arial" w:eastAsia="Arial" w:hAnsi="Arial"/>
          <w:b w:val="false"/>
          <w:bCs w:val="false"/>
          <w:color w:val="7B4F00"/>
          <w:sz w:val="22"/>
          <w:szCs w:val="22"/>
        </w:rPr>
        <w:t xml:space="preserve">Finding a quality LatAm dev team fast (by Apr 10) requires starting NOW — the hiring process takes longer than people expect</w:t>
      </w:r>
    </w:p>
    <w:p>
      <w:pPr>
        <w:spacing w:before="80" w:after="80"/>
      </w:pPr>
      <w:r>
        <w:t xml:space="preserve"/>
      </w:r>
    </w:p>
    <w:p>
      <w:pPr>
        <w:pStyle w:val="Heading2"/>
        <w:spacing w:before="280" w:after="80"/>
      </w:pPr>
      <w:r>
        <w:rPr>
          <w:rFonts w:ascii="Arial" w:cs="Arial" w:eastAsia="Arial" w:hAnsi="Arial"/>
          <w:b/>
          <w:bCs/>
          <w:color w:val="2C2C2C"/>
          <w:sz w:val="28"/>
          <w:szCs w:val="28"/>
        </w:rPr>
        <w:t xml:space="preserve">What We Do If Things Go Wrong</w:t>
      </w:r>
    </w:p>
    <w:tbl>
      <w:tblPr>
        <w:tblW w:type="dxa" w:w="9360"/>
        <w:tblBorders>
          <w:top w:val="none" w:color="FFFFFF" w:sz="0"/>
          <w:left w:val="single" w:color="auto" w:sz="4"/>
          <w:bottom w:val="none" w:color="FFFFFF" w:sz="0"/>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8B0000" w:val="clear"/>
            <w:tcMar>
              <w:top w:type="dxa" w:w="100"/>
              <w:left w:type="dxa" w:w="160"/>
              <w:bottom w:type="dxa" w:w="100"/>
              <w:right w:type="dxa" w:w="160"/>
            </w:tcMar>
          </w:tcPr>
          <w:p>
            <w:r>
              <w:rPr>
                <w:rFonts w:ascii="Arial" w:cs="Arial" w:eastAsia="Arial" w:hAnsi="Arial"/>
                <w:b/>
                <w:bCs/>
                <w:color w:val="FFFFFF"/>
                <w:sz w:val="20"/>
                <w:szCs w:val="20"/>
              </w:rPr>
              <w:t xml:space="preserve">Scenario</w:t>
            </w:r>
          </w:p>
        </w:tc>
        <w:tc>
          <w:tcPr>
            <w:tcW w:type="dxa" w:w="6160"/>
            <w:tcBorders>
              <w:top w:val="none" w:color="FFFFFF" w:sz="0"/>
              <w:left w:val="none" w:color="FFFFFF" w:sz="0"/>
              <w:bottom w:val="none" w:color="FFFFFF" w:sz="0"/>
              <w:right w:val="none" w:color="FFFFFF" w:sz="0"/>
            </w:tcBorders>
            <w:shd w:fill="8B0000" w:val="clear"/>
            <w:tcMar>
              <w:top w:type="dxa" w:w="100"/>
              <w:left w:type="dxa" w:w="160"/>
              <w:bottom w:type="dxa" w:w="100"/>
              <w:right w:type="dxa" w:w="160"/>
            </w:tcMar>
          </w:tcPr>
          <w:p>
            <w:r>
              <w:rPr>
                <w:rFonts w:ascii="Arial" w:cs="Arial" w:eastAsia="Arial" w:hAnsi="Arial"/>
                <w:b/>
                <w:bCs/>
                <w:color w:val="FFFFFF"/>
                <w:sz w:val="20"/>
                <w:szCs w:val="20"/>
              </w:rPr>
              <w:t xml:space="preserve">Our Response</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Build is 3+ weeks behind by May 16</w:t>
            </w:r>
          </w:p>
        </w:tc>
        <w:tc>
          <w:tcPr>
            <w:tcW w:type="dxa" w:w="6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Convert to Package B immediately. Use existing Claude Code output as spec + head start. No renegotiation needed if SOW has a conversion clause built in.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App Store rejects twice and we miss Jul 15</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Soft launch via TestFlight link at Fanatics Fest. QR code goes to TestFlight URL, not App Store. Continue App Store submission in parallel. Minimal reputational damage if we communicate proactively.</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Dev team underperforms on Package B</w:t>
            </w:r>
          </w:p>
        </w:tc>
        <w:tc>
          <w:tcPr>
            <w:tcW w:type="dxa" w:w="6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Milestone-based SOW means we pay for deliverables, not time. If sprint 1 misses, we withhold month 2 payment and source backup. Budget a 2-week buffer in our project timeline for this.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Client wants features outside scope mid-retainer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Redirect to a separate sprint quote. Never absorb scope creep silently — it destroys the retainer margin and sets a bad precedent.</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Supabase infra buckles at scale</w:t>
            </w:r>
          </w:p>
        </w:tc>
        <w:tc>
          <w:tcPr>
            <w:tcW w:type="dxa" w:w="6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Upgrade tier immediately. Cost is $200-400/month at scale — absorb in the first month, then pass to client as an infra fee or increase retainer by $200-300.</w:t>
            </w:r>
          </w:p>
        </w:tc>
      </w:tr>
    </w:tbl>
    <w:p>
      <w:r>
        <w:br w:type="page"/>
      </w:r>
    </w:p>
    <w:p>
      <w:pPr>
        <w:pStyle w:val="Heading1"/>
        <w:pBdr>
          <w:bottom w:val="single" w:color="1A1A2E" w:sz="6" w:space="4"/>
        </w:pBdr>
        <w:spacing w:before="440" w:after="120"/>
      </w:pPr>
      <w:r>
        <w:rPr>
          <w:rFonts w:ascii="Arial" w:cs="Arial" w:eastAsia="Arial" w:hAnsi="Arial"/>
          <w:b/>
          <w:bCs/>
          <w:color w:val="1A1A2E"/>
          <w:sz w:val="38"/>
          <w:szCs w:val="38"/>
        </w:rPr>
        <w:t xml:space="preserve">Partner Alignment — What We Need to Agree On</w:t>
      </w:r>
    </w:p>
    <w:p>
      <w:pPr>
        <w:spacing w:before="60" w:after="60"/>
      </w:pPr>
      <w:r>
        <w:rPr>
          <w:rFonts w:ascii="Arial" w:cs="Arial" w:eastAsia="Arial" w:hAnsi="Arial"/>
          <w:b w:val="false"/>
          <w:bCs w:val="false"/>
          <w:color w:val="2C2C2C"/>
          <w:sz w:val="22"/>
          <w:szCs w:val="22"/>
        </w:rPr>
        <w:t xml:space="preserve">Before we present anything to the client side, these are the internal decisions that need to be locked.</w:t>
      </w:r>
    </w:p>
    <w:p>
      <w:pPr>
        <w:spacing w:before="80" w:after="80"/>
      </w:pPr>
      <w:r>
        <w:t xml:space="preserve"/>
      </w:r>
    </w:p>
    <w:p>
      <w:pPr>
        <w:pStyle w:val="Heading2"/>
        <w:spacing w:before="280" w:after="80"/>
      </w:pPr>
      <w:r>
        <w:rPr>
          <w:rFonts w:ascii="Arial" w:cs="Arial" w:eastAsia="Arial" w:hAnsi="Arial"/>
          <w:b/>
          <w:bCs/>
          <w:color w:val="2C2C2C"/>
          <w:sz w:val="28"/>
          <w:szCs w:val="28"/>
        </w:rPr>
        <w:t xml:space="preserve">Decision 1: Which Package Do We Lead With?</w:t>
      </w:r>
    </w:p>
    <w:p>
      <w:pPr>
        <w:pStyle w:val="ListParagraph"/>
        <w:numPr>
          <w:ilvl w:val="0"/>
          <w:numId w:val="2"/>
        </w:numPr>
        <w:spacing w:before="40" w:after="40"/>
      </w:pPr>
      <w:r>
        <w:rPr>
          <w:rFonts w:ascii="Arial" w:cs="Arial" w:eastAsia="Arial" w:hAnsi="Arial"/>
          <w:b w:val="false"/>
          <w:bCs w:val="false"/>
          <w:color w:val="2C2C2C"/>
          <w:sz w:val="22"/>
          <w:szCs w:val="22"/>
        </w:rPr>
        <w:t xml:space="preserve">Package A is the honest recommendation IF Beryl has 4-6 hrs/week to commit during the build phase</w:t>
      </w:r>
    </w:p>
    <w:p>
      <w:pPr>
        <w:pStyle w:val="ListParagraph"/>
        <w:numPr>
          <w:ilvl w:val="0"/>
          <w:numId w:val="2"/>
        </w:numPr>
        <w:spacing w:before="40" w:after="40"/>
      </w:pPr>
      <w:r>
        <w:rPr>
          <w:rFonts w:ascii="Arial" w:cs="Arial" w:eastAsia="Arial" w:hAnsi="Arial"/>
          <w:b w:val="false"/>
          <w:bCs w:val="false"/>
          <w:color w:val="2C2C2C"/>
          <w:sz w:val="22"/>
          <w:szCs w:val="22"/>
        </w:rPr>
        <w:t xml:space="preserve">Package B is the right call given 7 active ventures — and it's the higher margin option with a LatAm team</w:t>
      </w:r>
    </w:p>
    <w:p>
      <w:pPr>
        <w:pStyle w:val="ListParagraph"/>
        <w:numPr>
          <w:ilvl w:val="0"/>
          <w:numId w:val="2"/>
        </w:numPr>
        <w:spacing w:before="40" w:after="40"/>
      </w:pPr>
      <w:r>
        <w:rPr>
          <w:rFonts w:ascii="Arial" w:cs="Arial" w:eastAsia="Arial" w:hAnsi="Arial"/>
          <w:b w:val="false"/>
          <w:bCs w:val="false"/>
          <w:color w:val="2C2C2C"/>
          <w:sz w:val="22"/>
          <w:szCs w:val="22"/>
        </w:rPr>
        <w:t xml:space="preserve">Recommendation: lead with Package B, offer Package A as the alternative for clients who push back on cost</w:t>
      </w:r>
    </w:p>
    <w:p>
      <w:pPr>
        <w:pStyle w:val="ListParagraph"/>
        <w:numPr>
          <w:ilvl w:val="0"/>
          <w:numId w:val="2"/>
        </w:numPr>
        <w:spacing w:before="40" w:after="40"/>
      </w:pPr>
      <w:r>
        <w:rPr>
          <w:rFonts w:ascii="Arial" w:cs="Arial" w:eastAsia="Arial" w:hAnsi="Arial"/>
          <w:b w:val="false"/>
          <w:bCs w:val="false"/>
          <w:color w:val="2C2C2C"/>
          <w:sz w:val="22"/>
          <w:szCs w:val="22"/>
        </w:rPr>
        <w:t xml:space="preserve">Never discount the build below $10K. That's the floor regardless of negotiation.</w:t>
      </w:r>
    </w:p>
    <w:p>
      <w:pPr>
        <w:spacing w:before="80" w:after="80"/>
      </w:pPr>
      <w:r>
        <w:t xml:space="preserve"/>
      </w:r>
    </w:p>
    <w:p>
      <w:pPr>
        <w:pStyle w:val="Heading2"/>
        <w:spacing w:before="280" w:after="80"/>
      </w:pPr>
      <w:r>
        <w:rPr>
          <w:rFonts w:ascii="Arial" w:cs="Arial" w:eastAsia="Arial" w:hAnsi="Arial"/>
          <w:b/>
          <w:bCs/>
          <w:color w:val="2C2C2C"/>
          <w:sz w:val="28"/>
          <w:szCs w:val="28"/>
        </w:rPr>
        <w:t xml:space="preserve">Decision 2: Who Finds the Dev Team?</w:t>
      </w:r>
    </w:p>
    <w:p>
      <w:pPr>
        <w:pStyle w:val="ListParagraph"/>
        <w:numPr>
          <w:ilvl w:val="0"/>
          <w:numId w:val="2"/>
        </w:numPr>
        <w:spacing w:before="40" w:after="40"/>
      </w:pPr>
      <w:r>
        <w:rPr>
          <w:rFonts w:ascii="Arial" w:cs="Arial" w:eastAsia="Arial" w:hAnsi="Arial"/>
          <w:b w:val="false"/>
          <w:bCs w:val="false"/>
          <w:color w:val="2C2C2C"/>
          <w:sz w:val="22"/>
          <w:szCs w:val="22"/>
        </w:rPr>
        <w:t xml:space="preserve">This needs to be done this week regardless of which package we sell</w:t>
      </w:r>
    </w:p>
    <w:p>
      <w:pPr>
        <w:pStyle w:val="ListParagraph"/>
        <w:numPr>
          <w:ilvl w:val="0"/>
          <w:numId w:val="2"/>
        </w:numPr>
        <w:spacing w:before="40" w:after="40"/>
      </w:pPr>
      <w:r>
        <w:rPr>
          <w:rFonts w:ascii="Arial" w:cs="Arial" w:eastAsia="Arial" w:hAnsi="Arial"/>
          <w:b w:val="false"/>
          <w:bCs w:val="false"/>
          <w:color w:val="2C2C2C"/>
          <w:sz w:val="22"/>
          <w:szCs w:val="22"/>
        </w:rPr>
        <w:t xml:space="preserve">Start with Lemon.io and Expo Discord simultaneously — post the job today</w:t>
      </w:r>
    </w:p>
    <w:p>
      <w:pPr>
        <w:pStyle w:val="ListParagraph"/>
        <w:numPr>
          <w:ilvl w:val="0"/>
          <w:numId w:val="2"/>
        </w:numPr>
        <w:spacing w:before="40" w:after="40"/>
      </w:pPr>
      <w:r>
        <w:rPr>
          <w:rFonts w:ascii="Arial" w:cs="Arial" w:eastAsia="Arial" w:hAnsi="Arial"/>
          <w:b w:val="false"/>
          <w:bCs w:val="false"/>
          <w:color w:val="2C2C2C"/>
          <w:sz w:val="22"/>
          <w:szCs w:val="22"/>
        </w:rPr>
        <w:t xml:space="preserve">Interview 3-5 candidates, require: 2 App Store submissions to show, Expo+Supabase experience, fixed-scope only</w:t>
      </w:r>
    </w:p>
    <w:p>
      <w:pPr>
        <w:pStyle w:val="ListParagraph"/>
        <w:numPr>
          <w:ilvl w:val="0"/>
          <w:numId w:val="2"/>
        </w:numPr>
        <w:spacing w:before="40" w:after="40"/>
      </w:pPr>
      <w:r>
        <w:rPr>
          <w:rFonts w:ascii="Arial" w:cs="Arial" w:eastAsia="Arial" w:hAnsi="Arial"/>
          <w:b w:val="false"/>
          <w:bCs w:val="false"/>
          <w:color w:val="2C2C2C"/>
          <w:sz w:val="22"/>
          <w:szCs w:val="22"/>
        </w:rPr>
        <w:t xml:space="preserve">Budget: target $6,000-10,000 for the build on Package B with a LatAm team</w:t>
      </w:r>
    </w:p>
    <w:p>
      <w:pPr>
        <w:spacing w:before="80" w:after="80"/>
      </w:pPr>
      <w:r>
        <w:t xml:space="preserve"/>
      </w:r>
    </w:p>
    <w:p>
      <w:pPr>
        <w:pStyle w:val="Heading2"/>
        <w:spacing w:before="280" w:after="80"/>
      </w:pPr>
      <w:r>
        <w:rPr>
          <w:rFonts w:ascii="Arial" w:cs="Arial" w:eastAsia="Arial" w:hAnsi="Arial"/>
          <w:b/>
          <w:bCs/>
          <w:color w:val="2C2C2C"/>
          <w:sz w:val="28"/>
          <w:szCs w:val="28"/>
        </w:rPr>
        <w:t xml:space="preserve">Decision 3: Retainer Scope Definition</w:t>
      </w:r>
    </w:p>
    <w:p>
      <w:pPr>
        <w:spacing w:before="60" w:after="60"/>
      </w:pPr>
      <w:r>
        <w:rPr>
          <w:rFonts w:ascii="Arial" w:cs="Arial" w:eastAsia="Arial" w:hAnsi="Arial"/>
          <w:b w:val="false"/>
          <w:bCs w:val="false"/>
          <w:color w:val="2C2C2C"/>
          <w:sz w:val="22"/>
          <w:szCs w:val="22"/>
        </w:rPr>
        <w:t xml:space="preserve">Before we sign anything, we need a clear written scope for what $2,500/month includes. Suggested:</w:t>
      </w:r>
    </w:p>
    <w:p>
      <w:pPr>
        <w:pStyle w:val="ListParagraph"/>
        <w:numPr>
          <w:ilvl w:val="0"/>
          <w:numId w:val="2"/>
        </w:numPr>
        <w:spacing w:before="40" w:after="40"/>
      </w:pPr>
      <w:r>
        <w:rPr>
          <w:rFonts w:ascii="Arial" w:cs="Arial" w:eastAsia="Arial" w:hAnsi="Arial"/>
          <w:b w:val="false"/>
          <w:bCs w:val="false"/>
          <w:color w:val="2C2C2C"/>
          <w:sz w:val="22"/>
          <w:szCs w:val="22"/>
        </w:rPr>
        <w:t xml:space="preserve">Up to 8 hours of dev time per month (bug fixes, minor updates)</w:t>
      </w:r>
    </w:p>
    <w:p>
      <w:pPr>
        <w:pStyle w:val="ListParagraph"/>
        <w:numPr>
          <w:ilvl w:val="0"/>
          <w:numId w:val="2"/>
        </w:numPr>
        <w:spacing w:before="40" w:after="40"/>
      </w:pPr>
      <w:r>
        <w:rPr>
          <w:rFonts w:ascii="Arial" w:cs="Arial" w:eastAsia="Arial" w:hAnsi="Arial"/>
          <w:b w:val="false"/>
          <w:bCs w:val="false"/>
          <w:color w:val="2C2C2C"/>
          <w:sz w:val="22"/>
          <w:szCs w:val="22"/>
        </w:rPr>
        <w:t xml:space="preserve">Monthly check-in call (45 min)</w:t>
      </w:r>
    </w:p>
    <w:p>
      <w:pPr>
        <w:pStyle w:val="ListParagraph"/>
        <w:numPr>
          <w:ilvl w:val="0"/>
          <w:numId w:val="2"/>
        </w:numPr>
        <w:spacing w:before="40" w:after="40"/>
      </w:pPr>
      <w:r>
        <w:rPr>
          <w:rFonts w:ascii="Arial" w:cs="Arial" w:eastAsia="Arial" w:hAnsi="Arial"/>
          <w:b w:val="false"/>
          <w:bCs w:val="false"/>
          <w:color w:val="2C2C2C"/>
          <w:sz w:val="22"/>
          <w:szCs w:val="22"/>
        </w:rPr>
        <w:t xml:space="preserve">Push notification monitoring and uptime</w:t>
      </w:r>
    </w:p>
    <w:p>
      <w:pPr>
        <w:pStyle w:val="ListParagraph"/>
        <w:numPr>
          <w:ilvl w:val="0"/>
          <w:numId w:val="2"/>
        </w:numPr>
        <w:spacing w:before="40" w:after="40"/>
      </w:pPr>
      <w:r>
        <w:rPr>
          <w:rFonts w:ascii="Arial" w:cs="Arial" w:eastAsia="Arial" w:hAnsi="Arial"/>
          <w:b w:val="false"/>
          <w:bCs w:val="false"/>
          <w:color w:val="2C2C2C"/>
          <w:sz w:val="22"/>
          <w:szCs w:val="22"/>
        </w:rPr>
        <w:t xml:space="preserve">Response to App Store review requests or OS compatibility issues</w:t>
      </w:r>
    </w:p>
    <w:p>
      <w:pPr>
        <w:pStyle w:val="ListParagraph"/>
        <w:numPr>
          <w:ilvl w:val="0"/>
          <w:numId w:val="2"/>
        </w:numPr>
        <w:spacing w:before="40" w:after="40"/>
      </w:pPr>
      <w:r>
        <w:rPr>
          <w:rFonts w:ascii="Arial" w:cs="Arial" w:eastAsia="Arial" w:hAnsi="Arial"/>
          <w:b w:val="false"/>
          <w:bCs w:val="false"/>
          <w:color w:val="2C2C2C"/>
          <w:sz w:val="22"/>
          <w:szCs w:val="22"/>
        </w:rPr>
        <w:t xml:space="preserve">NOT included: new features, design changes, new screens, third-party integrations — these are quoted separately</w:t>
      </w:r>
    </w:p>
    <w:p>
      <w:pPr>
        <w:spacing w:before="80" w:after="80"/>
      </w:pPr>
      <w:r>
        <w:t xml:space="preserve"/>
      </w:r>
    </w:p>
    <w:p>
      <w:pPr>
        <w:pStyle w:val="Heading2"/>
        <w:spacing w:before="280" w:after="80"/>
      </w:pPr>
      <w:r>
        <w:rPr>
          <w:rFonts w:ascii="Arial" w:cs="Arial" w:eastAsia="Arial" w:hAnsi="Arial"/>
          <w:b/>
          <w:bCs/>
          <w:color w:val="2C2C2C"/>
          <w:sz w:val="28"/>
          <w:szCs w:val="28"/>
        </w:rPr>
        <w:t xml:space="preserve">Decision 4: The TestFlight Fallback Plan</w:t>
      </w:r>
    </w:p>
    <w:p>
      <w:pPr>
        <w:spacing w:before="60" w:after="60"/>
      </w:pPr>
      <w:r>
        <w:rPr>
          <w:rFonts w:ascii="Arial" w:cs="Arial" w:eastAsia="Arial" w:hAnsi="Arial"/>
          <w:b w:val="false"/>
          <w:bCs w:val="false"/>
          <w:color w:val="2C2C2C"/>
          <w:sz w:val="22"/>
          <w:szCs w:val="22"/>
        </w:rPr>
        <w:t xml:space="preserve">We need to decide now whether we'll offer a TestFlight soft launch at Fanatics Fest if App Store approval doesn't come through in time. Recommendation: yes, build this into the contract as a deliverable even if the App Store version isn't live yet. It protects us from the July 15 miss scenario and still delivers value at the convention.</w:t>
      </w:r>
    </w:p>
    <w:p>
      <w:pPr>
        <w:spacing w:before="120" w:after="80"/>
      </w:pPr>
      <w:r>
        <w:t xml:space="preserve"/>
      </w:r>
    </w:p>
    <w:p>
      <w:pPr>
        <w:pBdr>
          <w:bottom w:val="single" w:color="8B0000" w:sz="8" w:space="1"/>
        </w:pBdr>
        <w:spacing w:before="0" w:after="0"/>
      </w:pPr>
      <w:r>
        <w:t xml:space="preserve"/>
      </w:r>
    </w:p>
    <w:p>
      <w:pPr>
        <w:spacing w:before="80" w:after="80"/>
      </w:pPr>
      <w:r>
        <w:t xml:space="preserve"/>
      </w:r>
    </w:p>
    <w:p>
      <w:pPr>
        <w:jc w:val="center"/>
      </w:pPr>
      <w:r>
        <w:rPr>
          <w:rFonts w:ascii="Arial" w:cs="Arial" w:eastAsia="Arial" w:hAnsi="Arial"/>
          <w:b/>
          <w:bCs/>
          <w:color w:val="8B0000"/>
          <w:sz w:val="20"/>
          <w:szCs w:val="20"/>
        </w:rPr>
        <w:t xml:space="preserve">⛔  CONFIDENTIAL — ANTIDOTE GROUP INTERNAL ONLY — NOT FOR CLIENT DISTRIBUTION  ⛔</w:t>
      </w:r>
    </w:p>
    <w:p>
      <w:pPr>
        <w:spacing w:before="60" w:after="80"/>
      </w:pPr>
      <w:r>
        <w:t xml:space="preserve"/>
      </w:r>
    </w:p>
    <w:p>
      <w:pPr>
        <w:jc w:val="center"/>
      </w:pPr>
      <w:r>
        <w:rPr>
          <w:rFonts w:ascii="Arial" w:cs="Arial" w:eastAsia="Arial" w:hAnsi="Arial"/>
          <w:i/>
          <w:iCs/>
          <w:color w:val="999999"/>
          <w:sz w:val="18"/>
          <w:szCs w:val="18"/>
        </w:rPr>
        <w:t xml:space="preserve">TROV Internal Brief  |  March 2026</w:t>
      </w:r>
    </w:p>
    <w:sectPr>
      <w:footerReference w:type="default" r:id="rId6"/>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TROV Internal Brief  |  CONFIDENTIAL  |  Antidote Group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20"/>
      <w:outlineLvl w:val="0"/>
    </w:pPr>
    <w:rPr>
      <w:rFonts w:ascii="Arial" w:cs="Arial" w:eastAsia="Arial" w:hAnsi="Arial"/>
      <w:b/>
      <w:bCs/>
      <w:color w:val="1A1A2E"/>
      <w:sz w:val="38"/>
      <w:szCs w:val="38"/>
    </w:rPr>
  </w:style>
  <w:style w:type="paragraph" w:styleId="Heading2">
    <w:name w:val="Heading 2"/>
    <w:basedOn w:val="Normal"/>
    <w:next w:val="Normal"/>
    <w:qFormat/>
    <w:pPr>
      <w:spacing w:before="280" w:after="80"/>
      <w:outlineLvl w:val="1"/>
    </w:pPr>
    <w:rPr>
      <w:rFonts w:ascii="Arial" w:cs="Arial" w:eastAsia="Arial" w:hAnsi="Arial"/>
      <w:b/>
      <w:bCs/>
      <w:color w:val="2C2C2C"/>
      <w:sz w:val="28"/>
      <w:szCs w:val="28"/>
    </w:rPr>
  </w:style>
  <w:style w:type="paragraph" w:styleId="Heading3">
    <w:name w:val="Heading 3"/>
    <w:basedOn w:val="Normal"/>
    <w:next w:val="Normal"/>
    <w:qFormat/>
    <w:pPr>
      <w:spacing w:before="180" w:after="6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2026-03-27T17:48:49.718Z</dcterms:created>
  <dcterms:modified xsi:type="dcterms:W3CDTF">2026-03-27T17:48:49.719Z</dcterms:modified>
</cp:coreProperties>
</file>

<file path=docProps/custom.xml><?xml version="1.0" encoding="utf-8"?>
<Properties xmlns="http://schemas.openxmlformats.org/officeDocument/2006/custom-properties" xmlns:vt="http://schemas.openxmlformats.org/officeDocument/2006/docPropsVTypes"/>
</file>