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00"/>
        <w:jc w:val="center"/>
      </w:pPr>
      <w:r>
        <w:rPr>
          <w:rFonts w:ascii="Arial" w:cs="Arial" w:eastAsia="Arial" w:hAnsi="Arial"/>
          <w:b/>
          <w:bCs/>
          <w:color w:val="1B3A5C"/>
          <w:sz w:val="40"/>
          <w:szCs w:val="40"/>
        </w:rPr>
        <w:t xml:space="preserve">Plain-Language Summary</w:t>
      </w:r>
    </w:p>
    <w:p>
      <w:pPr>
        <w:spacing w:after="100"/>
        <w:jc w:val="center"/>
      </w:pPr>
      <w:r>
        <w:rPr>
          <w:rFonts w:ascii="Arial" w:cs="Arial" w:eastAsia="Arial" w:hAnsi="Arial"/>
          <w:b/>
          <w:bCs/>
          <w:color w:val="2E5A88"/>
          <w:sz w:val="30"/>
          <w:szCs w:val="30"/>
        </w:rPr>
        <w:t xml:space="preserve">Last Will, Revocable Trust &amp; Postnuptial Agreement</w:t>
      </w:r>
    </w:p>
    <w:p>
      <w:pPr>
        <w:spacing w:after="80"/>
        <w:jc w:val="center"/>
      </w:pPr>
      <w:r>
        <w:rPr>
          <w:rFonts w:ascii="Arial" w:cs="Arial" w:eastAsia="Arial" w:hAnsi="Arial"/>
          <w:color w:val="333333"/>
          <w:sz w:val="28"/>
          <w:szCs w:val="28"/>
        </w:rPr>
        <w:t xml:space="preserve">Richard A. Garreffa</w:t>
      </w:r>
    </w:p>
    <w:p>
      <w:pPr>
        <w:spacing w:after="200"/>
        <w:jc w:val="center"/>
      </w:pPr>
      <w:r>
        <w:rPr>
          <w:rFonts w:ascii="Arial" w:cs="Arial" w:eastAsia="Arial" w:hAnsi="Arial"/>
          <w:color w:val="666666"/>
          <w:sz w:val="20"/>
          <w:szCs w:val="20"/>
        </w:rPr>
        <w:t xml:space="preserve">Documents dated March 20, 2018  |  Prepared by Najmy Thompson, PLL</w:t>
      </w:r>
    </w:p>
    <w:p>
      <w:pPr>
        <w:pBdr>
          <w:bottom w:val="single" w:color="2E75B6" w:sz="6" w:space="1"/>
        </w:pBdr>
        <w:spacing w:after="300"/>
      </w:pPr>
    </w:p>
    <w:p>
      <w:pPr>
        <w:spacing w:after="200"/>
      </w:pPr>
      <w:r>
        <w:rPr>
          <w:b/>
          <w:bCs/>
          <w:color w:val="CC0000"/>
          <w:sz w:val="22"/>
          <w:szCs w:val="22"/>
        </w:rPr>
        <w:t xml:space="preserve">Important note for Jill (Mom): </w:t>
      </w:r>
      <w:r>
        <w:rPr>
          <w:sz w:val="22"/>
          <w:szCs w:val="22"/>
        </w:rPr>
        <w:t xml:space="preserve">This summary is meant to help you understand Rich's estate plan in plain English. It is NOT legal advice. You should review everything with your own attorney, especially regarding the home, the trust assets, and your rights as surviving spouse. The original documents (prepared by the law firm Najmy Thompson in Lakewood Ranch, FL) are the legally binding versions.</w:t>
      </w:r>
    </w:p>
    <w:p>
      <w:pPr>
        <w:pStyle w:val="Heading1"/>
      </w:pPr>
      <w:r>
        <w:t xml:space="preserve">1. The Big Picture</w:t>
      </w:r>
    </w:p>
    <w:p>
      <w:pPr>
        <w:spacing w:after="200"/>
      </w:pPr>
      <w:r>
        <w:t xml:space="preserve">Richard and Jill signed a package of estate planning documents on March 20, 2018. These are "mirrored" plans, meaning they are set up to work as a matching pair. The key documents are:</w:t>
      </w:r>
    </w:p>
    <w:p>
      <w:pPr>
        <w:pStyle w:val="ListParagraph"/>
        <w:numPr>
          <w:ilvl w:val="0"/>
          <w:numId w:val="2"/>
        </w:numPr>
        <w:spacing w:after="80"/>
      </w:pPr>
      <w:r>
        <w:rPr>
          <w:b/>
          <w:bCs/>
        </w:rPr>
        <w:t xml:space="preserve">Richard's Last Will and Testament</w:t>
      </w:r>
      <w:r>
        <w:t xml:space="preserve"> — controls assets held in Richard's name alone at death</w:t>
      </w:r>
    </w:p>
    <w:p>
      <w:pPr>
        <w:pStyle w:val="ListParagraph"/>
        <w:numPr>
          <w:ilvl w:val="0"/>
          <w:numId w:val="2"/>
        </w:numPr>
        <w:spacing w:after="80"/>
      </w:pPr>
      <w:r>
        <w:rPr>
          <w:b/>
          <w:bCs/>
        </w:rPr>
        <w:t xml:space="preserve">Richard A. Garreffa Revocable Trust</w:t>
      </w:r>
      <w:r>
        <w:t xml:space="preserve"> — the main vehicle that holds and distributes most assets</w:t>
      </w:r>
    </w:p>
    <w:p>
      <w:pPr>
        <w:pStyle w:val="ListParagraph"/>
        <w:numPr>
          <w:ilvl w:val="0"/>
          <w:numId w:val="2"/>
        </w:numPr>
        <w:spacing w:after="80"/>
      </w:pPr>
      <w:r>
        <w:rPr>
          <w:b/>
          <w:bCs/>
        </w:rPr>
        <w:t xml:space="preserve">Jill's Last Will and Testament</w:t>
      </w:r>
      <w:r>
        <w:t xml:space="preserve"> — mirrors Richard's plan</w:t>
      </w:r>
    </w:p>
    <w:p>
      <w:pPr>
        <w:pStyle w:val="ListParagraph"/>
        <w:numPr>
          <w:ilvl w:val="0"/>
          <w:numId w:val="2"/>
        </w:numPr>
        <w:spacing w:after="80"/>
      </w:pPr>
      <w:r>
        <w:rPr>
          <w:b/>
          <w:bCs/>
        </w:rPr>
        <w:t xml:space="preserve">Jill M. Evans Revocable Trust</w:t>
      </w:r>
      <w:r>
        <w:t xml:space="preserve"> — Jill's matching trust</w:t>
      </w:r>
    </w:p>
    <w:p>
      <w:pPr>
        <w:pStyle w:val="ListParagraph"/>
        <w:numPr>
          <w:ilvl w:val="0"/>
          <w:numId w:val="2"/>
        </w:numPr>
        <w:spacing w:after="80"/>
      </w:pPr>
      <w:r>
        <w:rPr>
          <w:b/>
          <w:bCs/>
        </w:rPr>
        <w:t xml:space="preserve">Postnuptial Agreement</w:t>
      </w:r>
      <w:r>
        <w:t xml:space="preserve"> — governs what happens to the home (Oak Ridge Drive, Parrish, FL)</w:t>
      </w:r>
    </w:p>
    <w:p>
      <w:pPr>
        <w:pStyle w:val="ListParagraph"/>
        <w:numPr>
          <w:ilvl w:val="0"/>
          <w:numId w:val="2"/>
        </w:numPr>
        <w:spacing w:after="200"/>
      </w:pPr>
      <w:r>
        <w:rPr>
          <w:b/>
          <w:bCs/>
        </w:rPr>
        <w:t xml:space="preserve">Health Care &amp; Power of Attorney Documents</w:t>
      </w:r>
      <w:r>
        <w:t xml:space="preserve"> — designate who can make medical and financial decisions</w:t>
      </w:r>
    </w:p>
    <w:p>
      <w:pPr>
        <w:pStyle w:val="Heading1"/>
      </w:pPr>
      <w:r>
        <w:t xml:space="preserve">2. Family Members Named in the Documents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3120"/>
        <w:gridCol w:w="3120"/>
      </w:tblGrid>
      <w:tr>
        <w:tc>
          <w:tcPr>
            <w:tcW w:type="dxa" w:w="3120"/>
            <w:tcBorders>
              <w:top w:val="single" w:color="CCCCCC" w:sz="1"/>
              <w:left w:val="single" w:color="CCCCCC" w:sz="1"/>
              <w:bottom w:val="single" w:color="CCCCCC" w:sz="1"/>
              <w:right w:val="single" w:color="CCCCCC" w:sz="1"/>
            </w:tcBorders>
            <w:shd w:fill="1B3A5C" w:val="clear"/>
            <w:tcMar>
              <w:top w:type="dxa" w:w="80"/>
              <w:left w:type="dxa" w:w="120"/>
              <w:bottom w:type="dxa" w:w="80"/>
              <w:right w:type="dxa" w:w="120"/>
            </w:tcMar>
          </w:tcPr>
          <w:p>
            <w:r>
              <w:rPr>
                <w:b/>
                <w:bCs/>
                <w:color w:val="FFFFFF"/>
              </w:rPr>
              <w:t xml:space="preserve">Person</w:t>
            </w:r>
          </w:p>
        </w:tc>
        <w:tc>
          <w:tcPr>
            <w:tcW w:type="dxa" w:w="3120"/>
            <w:tcBorders>
              <w:top w:val="single" w:color="CCCCCC" w:sz="1"/>
              <w:left w:val="single" w:color="CCCCCC" w:sz="1"/>
              <w:bottom w:val="single" w:color="CCCCCC" w:sz="1"/>
              <w:right w:val="single" w:color="CCCCCC" w:sz="1"/>
            </w:tcBorders>
            <w:shd w:fill="1B3A5C" w:val="clear"/>
            <w:tcMar>
              <w:top w:type="dxa" w:w="80"/>
              <w:left w:type="dxa" w:w="120"/>
              <w:bottom w:type="dxa" w:w="80"/>
              <w:right w:type="dxa" w:w="120"/>
            </w:tcMar>
          </w:tcPr>
          <w:p>
            <w:r>
              <w:rPr>
                <w:b/>
                <w:bCs/>
                <w:color w:val="FFFFFF"/>
              </w:rPr>
              <w:t xml:space="preserve">Relationship</w:t>
            </w:r>
          </w:p>
        </w:tc>
        <w:tc>
          <w:tcPr>
            <w:tcW w:type="dxa" w:w="3120"/>
            <w:tcBorders>
              <w:top w:val="single" w:color="CCCCCC" w:sz="1"/>
              <w:left w:val="single" w:color="CCCCCC" w:sz="1"/>
              <w:bottom w:val="single" w:color="CCCCCC" w:sz="1"/>
              <w:right w:val="single" w:color="CCCCCC" w:sz="1"/>
            </w:tcBorders>
            <w:shd w:fill="1B3A5C" w:val="clear"/>
            <w:tcMar>
              <w:top w:type="dxa" w:w="80"/>
              <w:left w:type="dxa" w:w="120"/>
              <w:bottom w:type="dxa" w:w="80"/>
              <w:right w:type="dxa" w:w="120"/>
            </w:tcMar>
          </w:tcPr>
          <w:p>
            <w:r>
              <w:rPr>
                <w:b/>
                <w:bCs/>
                <w:color w:val="FFFFFF"/>
              </w:rPr>
              <w:t xml:space="preserve">Role in the Plan</w:t>
            </w:r>
          </w:p>
        </w:tc>
      </w:tr>
      <w:tr>
        <w:tc>
          <w:tcPr>
            <w:tcW w:type="dxa" w:w="312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r>
              <w:t xml:space="preserve">Jill M. Evans</w:t>
            </w:r>
          </w:p>
        </w:tc>
        <w:tc>
          <w:tcPr>
            <w:tcW w:type="dxa" w:w="312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r>
              <w:t xml:space="preserve">Richard's spouse (your mom)</w:t>
            </w:r>
          </w:p>
        </w:tc>
        <w:tc>
          <w:tcPr>
            <w:tcW w:type="dxa" w:w="312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r>
              <w:t xml:space="preserve">Primary beneficiary, Executor, Successor Trustee</w:t>
            </w:r>
          </w:p>
        </w:tc>
      </w:tr>
      <w:tr>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Michele Garreffa</w:t>
            </w:r>
          </w:p>
        </w:tc>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Richard's daughter</w:t>
            </w:r>
          </w:p>
        </w:tc>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Major beneficiary; alternate executor &amp; trustee</w:t>
            </w:r>
          </w:p>
        </w:tc>
      </w:tr>
      <w:tr>
        <w:tc>
          <w:tcPr>
            <w:tcW w:type="dxa" w:w="312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r>
              <w:t xml:space="preserve">Brett Jacobson</w:t>
            </w:r>
          </w:p>
        </w:tc>
        <w:tc>
          <w:tcPr>
            <w:tcW w:type="dxa" w:w="312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r>
              <w:t xml:space="preserve">Jill's son</w:t>
            </w:r>
          </w:p>
        </w:tc>
        <w:tc>
          <w:tcPr>
            <w:tcW w:type="dxa" w:w="312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r>
              <w:t xml:space="preserve">Beneficiary (house proceeds only)</w:t>
            </w:r>
          </w:p>
        </w:tc>
      </w:tr>
      <w:tr>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Rene Weiner</w:t>
            </w:r>
          </w:p>
        </w:tc>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Jill's daughter</w:t>
            </w:r>
          </w:p>
        </w:tc>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Beneficiary (house proceeds only)</w:t>
            </w:r>
          </w:p>
        </w:tc>
      </w:tr>
      <w:tr>
        <w:tc>
          <w:tcPr>
            <w:tcW w:type="dxa" w:w="312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r>
              <w:t xml:space="preserve">Garrett &amp; Matthew Garreffa</w:t>
            </w:r>
          </w:p>
        </w:tc>
        <w:tc>
          <w:tcPr>
            <w:tcW w:type="dxa" w:w="312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r>
              <w:t xml:space="preserve">Richard's grandsons (Michele's sons)</w:t>
            </w:r>
          </w:p>
        </w:tc>
        <w:tc>
          <w:tcPr>
            <w:tcW w:type="dxa" w:w="312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r>
              <w:t xml:space="preserve">Backup beneficiaries if Michele predeceases</w:t>
            </w:r>
          </w:p>
        </w:tc>
      </w:tr>
    </w:tbl>
    <w:p>
      <w:pPr>
        <w:spacing w:after="200"/>
      </w:pPr>
    </w:p>
    <w:p>
      <w:pPr>
        <w:pStyle w:val="Heading1"/>
      </w:pPr>
      <w:r>
        <w:t xml:space="preserve">3. What This Means for Jill (Mom) — The Most Important Part</w:t>
      </w:r>
    </w:p>
    <w:p>
      <w:pPr>
        <w:pStyle w:val="Heading2"/>
      </w:pPr>
      <w:r>
        <w:t xml:space="preserve">A. Personal Belongings</w:t>
      </w:r>
    </w:p>
    <w:p>
      <w:pPr>
        <w:spacing w:after="200"/>
      </w:pPr>
      <w:r>
        <w:t xml:space="preserve">All of Richard's tangible personal property — furniture, car, jewelry, personal effects, household items, collections — goes directly to Jill. This is straightforward. If Jill had predeceased Richard, these items would have been split equally among all three children (Michele, Brett, and Rene).</w:t>
      </w:r>
    </w:p>
    <w:p>
      <w:pPr>
        <w:pStyle w:val="Heading2"/>
      </w:pPr>
      <w:r>
        <w:t xml:space="preserve">B. The House (11932 Oak Ridge Drive, Parrish, FL 34219)</w:t>
      </w:r>
    </w:p>
    <w:p>
      <w:pPr>
        <w:spacing w:after="120"/>
      </w:pPr>
      <w:r>
        <w:t xml:space="preserve">This is probably the most important asset. The house was held in </w:t>
      </w:r>
      <w:r>
        <w:rPr>
          <w:b/>
          <w:bCs/>
        </w:rPr>
        <w:t xml:space="preserve">joint names with rights of survivorship</w:t>
      </w:r>
      <w:r>
        <w:t xml:space="preserve">. That means:</w:t>
      </w:r>
    </w:p>
    <w:p>
      <w:pPr>
        <w:pStyle w:val="ListParagraph"/>
        <w:numPr>
          <w:ilvl w:val="0"/>
          <w:numId w:val="2"/>
        </w:numPr>
        <w:spacing w:after="80"/>
      </w:pPr>
      <w:r>
        <w:rPr>
          <w:b/>
          <w:bCs/>
        </w:rPr>
        <w:t xml:space="preserve">Jill automatically owns the house now.</w:t>
      </w:r>
      <w:r>
        <w:t xml:space="preserve"> It passed to her the moment Richard died. It does NOT go through the will or trust. This is by operation of law.</w:t>
      </w:r>
    </w:p>
    <w:p>
      <w:pPr>
        <w:pStyle w:val="ListParagraph"/>
        <w:numPr>
          <w:ilvl w:val="0"/>
          <w:numId w:val="2"/>
        </w:numPr>
        <w:spacing w:after="80"/>
      </w:pPr>
      <w:r>
        <w:t xml:space="preserve">Jill can continue living in the house for as long as she wants.</w:t>
      </w:r>
    </w:p>
    <w:p>
      <w:pPr>
        <w:pStyle w:val="ListParagraph"/>
        <w:numPr>
          <w:ilvl w:val="0"/>
          <w:numId w:val="2"/>
        </w:numPr>
        <w:spacing w:after="80"/>
      </w:pPr>
      <w:r>
        <w:t xml:space="preserve">Jill can sell the house whenever she wants, with </w:t>
      </w:r>
      <w:r>
        <w:rPr>
          <w:b/>
          <w:bCs/>
        </w:rPr>
        <w:t xml:space="preserve">no obligation to buy a replacement.</w:t>
      </w:r>
    </w:p>
    <w:p>
      <w:pPr>
        <w:pStyle w:val="ListParagraph"/>
        <w:numPr>
          <w:ilvl w:val="0"/>
          <w:numId w:val="2"/>
        </w:numPr>
        <w:spacing w:after="80"/>
      </w:pPr>
      <w:r>
        <w:t xml:space="preserve">If Jill sells and does NOT buy a replacement home, she keeps all the sale proceeds. She has </w:t>
      </w:r>
      <w:r>
        <w:rPr>
          <w:b/>
          <w:bCs/>
        </w:rPr>
        <w:t xml:space="preserve">no obligation to set aside money for Richard's children</w:t>
      </w:r>
      <w:r>
        <w:t xml:space="preserve"> from that sale.</w:t>
      </w:r>
    </w:p>
    <w:p>
      <w:pPr>
        <w:spacing w:after="200" w:before="120"/>
      </w:pPr>
      <w:r>
        <w:rPr>
          <w:b/>
          <w:bCs/>
          <w:color w:val="CC0000"/>
        </w:rPr>
        <w:t xml:space="preserve">BUT — here is the key rule from the Postnuptial Agreement: </w:t>
      </w:r>
      <w:r>
        <w:t xml:space="preserve">If Jill still owns a primary residence (this house or a replacement) at the time of </w:t>
      </w:r>
      <w:r>
        <w:rPr>
          <w:b/>
          <w:bCs/>
        </w:rPr>
        <w:t xml:space="preserve">her own death</w:t>
      </w:r>
      <w:r>
        <w:t xml:space="preserve">, then that home must be sold and the net proceeds split as follows: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c>
          <w:tcPr>
            <w:tcW w:type="dxa" w:w="4680"/>
            <w:tcBorders>
              <w:top w:val="single" w:color="CCCCCC" w:sz="1"/>
              <w:left w:val="single" w:color="CCCCCC" w:sz="1"/>
              <w:bottom w:val="single" w:color="CCCCCC" w:sz="1"/>
              <w:right w:val="single" w:color="CCCCCC" w:sz="1"/>
            </w:tcBorders>
            <w:shd w:fill="1B3A5C" w:val="clear"/>
            <w:tcMar>
              <w:top w:type="dxa" w:w="80"/>
              <w:left w:type="dxa" w:w="120"/>
              <w:bottom w:type="dxa" w:w="80"/>
              <w:right w:type="dxa" w:w="120"/>
            </w:tcMar>
          </w:tcPr>
          <w:p>
            <w:r>
              <w:rPr>
                <w:b/>
                <w:bCs/>
                <w:color w:val="FFFFFF"/>
              </w:rPr>
              <w:t xml:space="preserve">50% of net sale proceeds</w:t>
            </w:r>
          </w:p>
        </w:tc>
        <w:tc>
          <w:tcPr>
            <w:tcW w:type="dxa" w:w="4680"/>
            <w:tcBorders>
              <w:top w:val="single" w:color="CCCCCC" w:sz="1"/>
              <w:left w:val="single" w:color="CCCCCC" w:sz="1"/>
              <w:bottom w:val="single" w:color="CCCCCC" w:sz="1"/>
              <w:right w:val="single" w:color="CCCCCC" w:sz="1"/>
            </w:tcBorders>
            <w:shd w:fill="1B3A5C" w:val="clear"/>
            <w:tcMar>
              <w:top w:type="dxa" w:w="80"/>
              <w:left w:type="dxa" w:w="120"/>
              <w:bottom w:type="dxa" w:w="80"/>
              <w:right w:type="dxa" w:w="120"/>
            </w:tcMar>
          </w:tcPr>
          <w:p>
            <w:r>
              <w:rPr>
                <w:b/>
                <w:bCs/>
                <w:color w:val="FFFFFF"/>
              </w:rPr>
              <w:t xml:space="preserve">Other 50% of net sale proceeds</w:t>
            </w:r>
          </w:p>
        </w:tc>
      </w:tr>
      <w:tr>
        <w:tc>
          <w:tcPr>
            <w:tcW w:type="dxa" w:w="468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r>
              <w:t xml:space="preserve">Goes to Michele Garreffa (Richard's daughter). If Michele has already passed, then to her two sons Garrett &amp; Matthew equally.</w:t>
            </w:r>
          </w:p>
        </w:tc>
        <w:tc>
          <w:tcPr>
            <w:tcW w:type="dxa" w:w="468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r>
              <w:t xml:space="preserve">Goes to Brett Jacobson and Rene Weiner (Jill's two children) in equal parts. If either has passed but has children, their share goes to their children.</w:t>
            </w:r>
          </w:p>
        </w:tc>
      </w:tr>
    </w:tbl>
    <w:p>
      <w:pPr>
        <w:spacing w:after="200"/>
      </w:pPr>
    </w:p>
    <w:p>
      <w:pPr>
        <w:pStyle w:val="Heading2"/>
      </w:pPr>
      <w:r>
        <w:t xml:space="preserve">C. The BB&amp;T Home Loan</w:t>
      </w:r>
    </w:p>
    <w:p>
      <w:pPr>
        <w:spacing w:after="200"/>
      </w:pPr>
      <w:r>
        <w:t xml:space="preserve">The trust specifically instructs that any outstanding BB&amp;T loan (for roof repairs or other home improvements at Oak Ridge Drive) must be </w:t>
      </w:r>
      <w:r>
        <w:rPr>
          <w:b/>
          <w:bCs/>
        </w:rPr>
        <w:t xml:space="preserve">paid off from Richard's trust assets</w:t>
      </w:r>
      <w:r>
        <w:t xml:space="preserve"> since Jill survived him. So Jill should not have to worry about that loan.</w:t>
      </w:r>
    </w:p>
    <w:p>
      <w:pPr>
        <w:pStyle w:val="Heading2"/>
      </w:pPr>
      <w:r>
        <w:t xml:space="preserve">D. Bank Accounts, Investments &amp; Retirement Accounts</w:t>
      </w:r>
    </w:p>
    <w:p>
      <w:pPr>
        <w:spacing w:after="120"/>
      </w:pPr>
      <w:r>
        <w:t xml:space="preserve">These pass based on how they are titled and who is named as beneficiary:</w:t>
      </w:r>
    </w:p>
    <w:p>
      <w:pPr>
        <w:pStyle w:val="ListParagraph"/>
        <w:numPr>
          <w:ilvl w:val="0"/>
          <w:numId w:val="2"/>
        </w:numPr>
        <w:spacing w:after="80"/>
      </w:pPr>
      <w:r>
        <w:rPr>
          <w:b/>
          <w:bCs/>
        </w:rPr>
        <w:t xml:space="preserve">Joint accounts: </w:t>
      </w:r>
      <w:r>
        <w:t xml:space="preserve">Any bank or brokerage accounts held jointly with Jill pass directly to Jill automatically.</w:t>
      </w:r>
    </w:p>
    <w:p>
      <w:pPr>
        <w:pStyle w:val="ListParagraph"/>
        <w:numPr>
          <w:ilvl w:val="0"/>
          <w:numId w:val="2"/>
        </w:numPr>
        <w:spacing w:after="80"/>
      </w:pPr>
      <w:r>
        <w:rPr>
          <w:b/>
          <w:bCs/>
        </w:rPr>
        <w:t xml:space="preserve">Accounts with beneficiary designations: </w:t>
      </w:r>
      <w:r>
        <w:t xml:space="preserve">Life insurance, IRAs, 401(k)s, and accounts with "payable on death" designations go to whoever Richard named as beneficiary on those accounts. You will need to check each account's beneficiary form.</w:t>
      </w:r>
    </w:p>
    <w:p>
      <w:pPr>
        <w:pStyle w:val="ListParagraph"/>
        <w:numPr>
          <w:ilvl w:val="0"/>
          <w:numId w:val="2"/>
        </w:numPr>
        <w:spacing w:after="200"/>
      </w:pPr>
      <w:r>
        <w:rPr>
          <w:b/>
          <w:bCs/>
        </w:rPr>
        <w:t xml:space="preserve">Accounts in Richard's name alone or in his trust: </w:t>
      </w:r>
      <w:r>
        <w:t xml:space="preserve">These flow through the trust and are distributed according to the trust terms (see next section).</w:t>
      </w:r>
    </w:p>
    <w:p>
      <w:pPr>
        <w:pStyle w:val="Heading2"/>
      </w:pPr>
      <w:r>
        <w:t xml:space="preserve">E. Richard's Revocable Trust — What Happens to the Rest</w:t>
      </w:r>
    </w:p>
    <w:p>
      <w:pPr>
        <w:spacing w:after="120"/>
      </w:pPr>
      <w:r>
        <w:t xml:space="preserve">After paying off debts, final expenses, taxes, and the BB&amp;T loan, the remaining trust assets are distributed as follows:</w:t>
      </w:r>
    </w:p>
    <w:p>
      <w:pPr>
        <w:spacing w:after="200"/>
      </w:pPr>
      <w:r>
        <w:rPr>
          <w:b/>
          <w:bCs/>
          <w:sz w:val="24"/>
          <w:szCs w:val="24"/>
        </w:rPr>
        <w:t xml:space="preserve">All remaining trust assets go to Michele Garreffa outright.</w:t>
      </w:r>
      <w:r>
        <w:rPr>
          <w:sz w:val="22"/>
          <w:szCs w:val="22"/>
        </w:rPr>
        <w:t xml:space="preserve"> If Michele had predeceased Richard, the assets would have been split equally between Richard's two grandsons, Garrett and Matthew Garreffa.</w:t>
      </w:r>
    </w:p>
    <w:p>
      <w:pPr>
        <w:spacing w:after="200"/>
      </w:pPr>
      <w:r>
        <w:rPr>
          <w:b/>
          <w:bCs/>
        </w:rPr>
        <w:t xml:space="preserve">In plain terms: </w:t>
      </w:r>
      <w:r>
        <w:t xml:space="preserve">Jill does NOT receive the remaining trust assets. Those go to Richard's daughter Michele. Jill's benefits are: (1) all personal property, (2) the house (which she already owns via joint title), (3) the BB&amp;T loan payoff, and (4) any jointly held or beneficiary-designated accounts.</w:t>
      </w:r>
    </w:p>
    <w:p>
      <w:r>
        <w:br w:type="page"/>
      </w:r>
    </w:p>
    <w:p>
      <w:pPr>
        <w:pStyle w:val="Heading1"/>
      </w:pPr>
      <w:r>
        <w:t xml:space="preserve">4. Jill's Roles &amp; Responsibilities</w:t>
      </w:r>
    </w:p>
    <w:p>
      <w:pPr>
        <w:spacing w:after="120"/>
      </w:pPr>
      <w:r>
        <w:t xml:space="preserve">Richard named Jill to several important roles: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6240"/>
      </w:tblGrid>
      <w:tr>
        <w:tc>
          <w:tcPr>
            <w:tcW w:type="dxa" w:w="3120"/>
            <w:tcBorders>
              <w:top w:val="single" w:color="CCCCCC" w:sz="1"/>
              <w:left w:val="single" w:color="CCCCCC" w:sz="1"/>
              <w:bottom w:val="single" w:color="CCCCCC" w:sz="1"/>
              <w:right w:val="single" w:color="CCCCCC" w:sz="1"/>
            </w:tcBorders>
            <w:shd w:fill="1B3A5C" w:val="clear"/>
            <w:tcMar>
              <w:top w:type="dxa" w:w="80"/>
              <w:left w:type="dxa" w:w="120"/>
              <w:bottom w:type="dxa" w:w="80"/>
              <w:right w:type="dxa" w:w="120"/>
            </w:tcMar>
          </w:tcPr>
          <w:p>
            <w:r>
              <w:rPr>
                <w:b/>
                <w:bCs/>
                <w:color w:val="FFFFFF"/>
              </w:rPr>
              <w:t xml:space="preserve">Role</w:t>
            </w:r>
          </w:p>
        </w:tc>
        <w:tc>
          <w:tcPr>
            <w:tcW w:type="dxa" w:w="6240"/>
            <w:tcBorders>
              <w:top w:val="single" w:color="CCCCCC" w:sz="1"/>
              <w:left w:val="single" w:color="CCCCCC" w:sz="1"/>
              <w:bottom w:val="single" w:color="CCCCCC" w:sz="1"/>
              <w:right w:val="single" w:color="CCCCCC" w:sz="1"/>
            </w:tcBorders>
            <w:shd w:fill="1B3A5C" w:val="clear"/>
            <w:tcMar>
              <w:top w:type="dxa" w:w="80"/>
              <w:left w:type="dxa" w:w="120"/>
              <w:bottom w:type="dxa" w:w="80"/>
              <w:right w:type="dxa" w:w="120"/>
            </w:tcMar>
          </w:tcPr>
          <w:p>
            <w:r>
              <w:rPr>
                <w:b/>
                <w:bCs/>
                <w:color w:val="FFFFFF"/>
              </w:rPr>
              <w:t xml:space="preserve">What It Means</w:t>
            </w:r>
          </w:p>
        </w:tc>
      </w:tr>
      <w:tr>
        <w:tc>
          <w:tcPr>
            <w:tcW w:type="dxa" w:w="312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r>
              <w:rPr>
                <w:b/>
                <w:bCs/>
              </w:rPr>
              <w:t xml:space="preserve">Personal Representative (Executor)</w:t>
            </w:r>
          </w:p>
        </w:tc>
        <w:tc>
          <w:tcPr>
            <w:tcW w:type="dxa" w:w="624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r>
              <w:t xml:space="preserve">Jill is responsible for managing Richard's probate estate — filing the will with the court, gathering assets, paying debts, and distributing property. She can serve without posting a bond.</w:t>
            </w:r>
          </w:p>
        </w:tc>
      </w:tr>
      <w:tr>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bCs/>
              </w:rPr>
              <w:t xml:space="preserve">Successor Trustee</w:t>
            </w:r>
          </w:p>
        </w:tc>
        <w:tc>
          <w:tcPr>
            <w:tcW w:type="dxa" w:w="624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Jill steps in as the Trustee of Richard's Revocable Trust. She manages the trust assets and carries out the distributions described above (pay debts, pay off BB&amp;T loan, distribute remaining assets to Michele).</w:t>
            </w:r>
          </w:p>
        </w:tc>
      </w:tr>
      <w:tr>
        <w:tc>
          <w:tcPr>
            <w:tcW w:type="dxa" w:w="312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r>
              <w:rPr>
                <w:b/>
                <w:bCs/>
              </w:rPr>
              <w:t xml:space="preserve">Backup: Michele Garreffa</w:t>
            </w:r>
          </w:p>
        </w:tc>
        <w:tc>
          <w:tcPr>
            <w:tcW w:type="dxa" w:w="624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r>
              <w:t xml:space="preserve">If Jill is unable to serve in either role, Michele Garreffa steps in as alternate executor and successor trustee.</w:t>
            </w:r>
          </w:p>
        </w:tc>
      </w:tr>
    </w:tbl>
    <w:p>
      <w:pPr>
        <w:spacing w:after="200"/>
      </w:pPr>
    </w:p>
    <w:p>
      <w:pPr>
        <w:pStyle w:val="Heading1"/>
      </w:pPr>
      <w:r>
        <w:t xml:space="preserve">5. Health Care &amp; Power of Attorney (Already in Effect for Jill)</w:t>
      </w:r>
    </w:p>
    <w:p>
      <w:pPr>
        <w:spacing w:after="120"/>
      </w:pPr>
      <w:r>
        <w:t xml:space="preserve">Richard had designated Jill as his Health Care Surrogate and Attorney in Fact. Now that Richard has passed, the relevant question is who serves these roles for Jill. Under Jill's own documents:</w:t>
      </w:r>
    </w:p>
    <w:p>
      <w:pPr>
        <w:pStyle w:val="ListParagraph"/>
        <w:numPr>
          <w:ilvl w:val="0"/>
          <w:numId w:val="2"/>
        </w:numPr>
        <w:spacing w:after="80"/>
      </w:pPr>
      <w:r>
        <w:rPr>
          <w:b/>
          <w:bCs/>
        </w:rPr>
        <w:t xml:space="preserve">Health Care Surrogate: </w:t>
      </w:r>
      <w:r>
        <w:t xml:space="preserve">Richard was first choice. Now that he has passed, Brett and Rene (Jill's children) serve as her co-surrogates.</w:t>
      </w:r>
    </w:p>
    <w:p>
      <w:pPr>
        <w:pStyle w:val="ListParagraph"/>
        <w:numPr>
          <w:ilvl w:val="0"/>
          <w:numId w:val="2"/>
        </w:numPr>
        <w:spacing w:after="80"/>
      </w:pPr>
      <w:r>
        <w:rPr>
          <w:b/>
          <w:bCs/>
        </w:rPr>
        <w:t xml:space="preserve">Living Will: </w:t>
      </w:r>
      <w:r>
        <w:t xml:space="preserve">Jill has a living will that authorizes her designated surrogates to make end-of-life decisions. Brett and Rene now serve in this capacity.</w:t>
      </w:r>
    </w:p>
    <w:p>
      <w:pPr>
        <w:pStyle w:val="ListParagraph"/>
        <w:numPr>
          <w:ilvl w:val="0"/>
          <w:numId w:val="2"/>
        </w:numPr>
        <w:spacing w:after="200"/>
      </w:pPr>
      <w:r>
        <w:rPr>
          <w:b/>
          <w:bCs/>
        </w:rPr>
        <w:t xml:space="preserve">Durable Power of Attorney: </w:t>
      </w:r>
      <w:r>
        <w:t xml:space="preserve">Richard was Jill's primary attorney in fact for financial matters. With Richard's passing, Brett and Rene step into this role.</w:t>
      </w:r>
    </w:p>
    <w:p>
      <w:pPr>
        <w:pStyle w:val="Heading1"/>
      </w:pPr>
      <w:r>
        <w:t xml:space="preserve">6. Jill's Own Estate Plan (For the Future)</w:t>
      </w:r>
    </w:p>
    <w:p>
      <w:pPr>
        <w:spacing w:after="120"/>
      </w:pPr>
      <w:r>
        <w:t xml:space="preserve">Jill has her own matching set of documents. Here is what her plan says about what happens at her death:</w:t>
      </w:r>
    </w:p>
    <w:p>
      <w:pPr>
        <w:pStyle w:val="ListParagraph"/>
        <w:numPr>
          <w:ilvl w:val="0"/>
          <w:numId w:val="2"/>
        </w:numPr>
        <w:spacing w:after="80"/>
      </w:pPr>
      <w:r>
        <w:t xml:space="preserve">Her personal property goes to Richard (now not applicable since he predeceased). So it will instead be split equally among all three children: Michele, Brett, and Rene.</w:t>
      </w:r>
    </w:p>
    <w:p>
      <w:pPr>
        <w:pStyle w:val="ListParagraph"/>
        <w:numPr>
          <w:ilvl w:val="0"/>
          <w:numId w:val="2"/>
        </w:numPr>
        <w:spacing w:after="80"/>
      </w:pPr>
      <w:r>
        <w:t xml:space="preserve">If she still owns a primary home at her death, the postnuptial agreement kicks in: the home is sold and proceeds split 50/50 between Michele's side and Brett/Rene's side (as described above).</w:t>
      </w:r>
    </w:p>
    <w:p>
      <w:pPr>
        <w:pStyle w:val="ListParagraph"/>
        <w:numPr>
          <w:ilvl w:val="0"/>
          <w:numId w:val="2"/>
        </w:numPr>
        <w:spacing w:after="80"/>
      </w:pPr>
      <w:r>
        <w:rPr>
          <w:b/>
          <w:bCs/>
        </w:rPr>
        <w:t xml:space="preserve">All remaining trust assets go equally to Brett and Rene (Jill's two children).</w:t>
      </w:r>
      <w:r>
        <w:t xml:space="preserve"> If either child predeceases Jill, their share goes to their own children (Jill's grandchildren), held in trust until age 21.</w:t>
      </w:r>
    </w:p>
    <w:p>
      <w:pPr>
        <w:pStyle w:val="ListParagraph"/>
        <w:numPr>
          <w:ilvl w:val="0"/>
          <w:numId w:val="2"/>
        </w:numPr>
        <w:spacing w:after="200"/>
      </w:pPr>
      <w:r>
        <w:t xml:space="preserve">Richard was designated as Jill's executor and trustee. Since he has passed, Brett and Rene now serve as co-executors and co-trustees for Jill's estate.</w:t>
      </w:r>
    </w:p>
    <w:p>
      <w:pPr>
        <w:pStyle w:val="Heading1"/>
      </w:pPr>
      <w:r>
        <w:t xml:space="preserve">7. Quick Reference: What Goes Where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744"/>
        <w:gridCol w:w="2808"/>
        <w:gridCol w:w="2808"/>
      </w:tblGrid>
      <w:tr>
        <w:tc>
          <w:tcPr>
            <w:tcW w:type="dxa" w:w="3744"/>
            <w:tcBorders>
              <w:top w:val="single" w:color="CCCCCC" w:sz="1"/>
              <w:left w:val="single" w:color="CCCCCC" w:sz="1"/>
              <w:bottom w:val="single" w:color="CCCCCC" w:sz="1"/>
              <w:right w:val="single" w:color="CCCCCC" w:sz="1"/>
            </w:tcBorders>
            <w:shd w:fill="1B3A5C" w:val="clear"/>
            <w:tcMar>
              <w:top w:type="dxa" w:w="80"/>
              <w:left w:type="dxa" w:w="120"/>
              <w:bottom w:type="dxa" w:w="80"/>
              <w:right w:type="dxa" w:w="120"/>
            </w:tcMar>
          </w:tcPr>
          <w:p>
            <w:r>
              <w:rPr>
                <w:b/>
                <w:bCs/>
                <w:color w:val="FFFFFF"/>
              </w:rPr>
              <w:t xml:space="preserve">Asset</w:t>
            </w:r>
          </w:p>
        </w:tc>
        <w:tc>
          <w:tcPr>
            <w:tcW w:type="dxa" w:w="2808"/>
            <w:tcBorders>
              <w:top w:val="single" w:color="CCCCCC" w:sz="1"/>
              <w:left w:val="single" w:color="CCCCCC" w:sz="1"/>
              <w:bottom w:val="single" w:color="CCCCCC" w:sz="1"/>
              <w:right w:val="single" w:color="CCCCCC" w:sz="1"/>
            </w:tcBorders>
            <w:shd w:fill="1B3A5C" w:val="clear"/>
            <w:tcMar>
              <w:top w:type="dxa" w:w="80"/>
              <w:left w:type="dxa" w:w="120"/>
              <w:bottom w:type="dxa" w:w="80"/>
              <w:right w:type="dxa" w:w="120"/>
            </w:tcMar>
          </w:tcPr>
          <w:p>
            <w:r>
              <w:rPr>
                <w:b/>
                <w:bCs/>
                <w:color w:val="FFFFFF"/>
              </w:rPr>
              <w:t xml:space="preserve">Goes To</w:t>
            </w:r>
          </w:p>
        </w:tc>
        <w:tc>
          <w:tcPr>
            <w:tcW w:type="dxa" w:w="2808"/>
            <w:tcBorders>
              <w:top w:val="single" w:color="CCCCCC" w:sz="1"/>
              <w:left w:val="single" w:color="CCCCCC" w:sz="1"/>
              <w:bottom w:val="single" w:color="CCCCCC" w:sz="1"/>
              <w:right w:val="single" w:color="CCCCCC" w:sz="1"/>
            </w:tcBorders>
            <w:shd w:fill="1B3A5C" w:val="clear"/>
            <w:tcMar>
              <w:top w:type="dxa" w:w="80"/>
              <w:left w:type="dxa" w:w="120"/>
              <w:bottom w:type="dxa" w:w="80"/>
              <w:right w:type="dxa" w:w="120"/>
            </w:tcMar>
          </w:tcPr>
          <w:p>
            <w:r>
              <w:rPr>
                <w:b/>
                <w:bCs/>
                <w:color w:val="FFFFFF"/>
              </w:rPr>
              <w:t xml:space="preserve">How</w:t>
            </w:r>
          </w:p>
        </w:tc>
      </w:tr>
      <w:tr>
        <w:tc>
          <w:tcPr>
            <w:tcW w:type="dxa" w:w="3744"/>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r>
              <w:t xml:space="preserve">The house (Oak Ridge Dr.)</w:t>
            </w:r>
          </w:p>
        </w:tc>
        <w:tc>
          <w:tcPr>
            <w:tcW w:type="dxa" w:w="2808"/>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r>
              <w:t xml:space="preserve">Jill — she already owns it</w:t>
            </w:r>
          </w:p>
        </w:tc>
        <w:tc>
          <w:tcPr>
            <w:tcW w:type="dxa" w:w="2808"/>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r>
              <w:t xml:space="preserve">Joint survivorship (automatic)</w:t>
            </w:r>
          </w:p>
        </w:tc>
      </w:tr>
      <w:tr>
        <w:tc>
          <w:tcPr>
            <w:tcW w:type="dxa" w:w="3744"/>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Personal belongings</w:t>
            </w:r>
          </w:p>
        </w:tc>
        <w:tc>
          <w:tcPr>
            <w:tcW w:type="dxa" w:w="2808"/>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Jill</w:t>
            </w:r>
          </w:p>
        </w:tc>
        <w:tc>
          <w:tcPr>
            <w:tcW w:type="dxa" w:w="2808"/>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Will — Item III</w:t>
            </w:r>
          </w:p>
        </w:tc>
      </w:tr>
      <w:tr>
        <w:tc>
          <w:tcPr>
            <w:tcW w:type="dxa" w:w="3744"/>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r>
              <w:t xml:space="preserve">BB&amp;T home loan balance</w:t>
            </w:r>
          </w:p>
        </w:tc>
        <w:tc>
          <w:tcPr>
            <w:tcW w:type="dxa" w:w="2808"/>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r>
              <w:t xml:space="preserve">Paid off from trust</w:t>
            </w:r>
          </w:p>
        </w:tc>
        <w:tc>
          <w:tcPr>
            <w:tcW w:type="dxa" w:w="2808"/>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r>
              <w:t xml:space="preserve">Trust — Article IV, Para E</w:t>
            </w:r>
          </w:p>
        </w:tc>
      </w:tr>
      <w:tr>
        <w:tc>
          <w:tcPr>
            <w:tcW w:type="dxa" w:w="3744"/>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Joint bank/brokerage accounts</w:t>
            </w:r>
          </w:p>
        </w:tc>
        <w:tc>
          <w:tcPr>
            <w:tcW w:type="dxa" w:w="2808"/>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Jill</w:t>
            </w:r>
          </w:p>
        </w:tc>
        <w:tc>
          <w:tcPr>
            <w:tcW w:type="dxa" w:w="2808"/>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Joint ownership (automatic)</w:t>
            </w:r>
          </w:p>
        </w:tc>
      </w:tr>
      <w:tr>
        <w:tc>
          <w:tcPr>
            <w:tcW w:type="dxa" w:w="3744"/>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r>
              <w:t xml:space="preserve">Life insurance, IRAs, retirement</w:t>
            </w:r>
          </w:p>
        </w:tc>
        <w:tc>
          <w:tcPr>
            <w:tcW w:type="dxa" w:w="2808"/>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r>
              <w:t xml:space="preserve">Named beneficiary on each account</w:t>
            </w:r>
          </w:p>
        </w:tc>
        <w:tc>
          <w:tcPr>
            <w:tcW w:type="dxa" w:w="2808"/>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r>
              <w:t xml:space="preserve">Beneficiary designation</w:t>
            </w:r>
          </w:p>
        </w:tc>
      </w:tr>
      <w:tr>
        <w:tc>
          <w:tcPr>
            <w:tcW w:type="dxa" w:w="3744"/>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Remaining trust assets</w:t>
            </w:r>
          </w:p>
        </w:tc>
        <w:tc>
          <w:tcPr>
            <w:tcW w:type="dxa" w:w="2808"/>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Michele Garreffa</w:t>
            </w:r>
          </w:p>
        </w:tc>
        <w:tc>
          <w:tcPr>
            <w:tcW w:type="dxa" w:w="2808"/>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Trust — Article V</w:t>
            </w:r>
          </w:p>
        </w:tc>
      </w:tr>
      <w:tr>
        <w:tc>
          <w:tcPr>
            <w:tcW w:type="dxa" w:w="3744"/>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r>
              <w:t xml:space="preserve">House (at Jill's eventual death)</w:t>
            </w:r>
          </w:p>
        </w:tc>
        <w:tc>
          <w:tcPr>
            <w:tcW w:type="dxa" w:w="2808"/>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r>
              <w:t xml:space="preserve">50% Michele side / 50% Brett &amp; Rene</w:t>
            </w:r>
          </w:p>
        </w:tc>
        <w:tc>
          <w:tcPr>
            <w:tcW w:type="dxa" w:w="2808"/>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r>
              <w:t xml:space="preserve">Postnuptial Agreement</w:t>
            </w:r>
          </w:p>
        </w:tc>
      </w:tr>
    </w:tbl>
    <w:p>
      <w:pPr>
        <w:spacing w:after="200"/>
      </w:pPr>
    </w:p>
    <w:p>
      <w:pPr>
        <w:pStyle w:val="Heading1"/>
      </w:pPr>
      <w:r>
        <w:t xml:space="preserve">8. Recommended Next Steps for Jill</w:t>
      </w:r>
    </w:p>
    <w:p>
      <w:pPr>
        <w:pStyle w:val="ListParagraph"/>
        <w:numPr>
          <w:ilvl w:val="0"/>
          <w:numId w:val="3"/>
        </w:numPr>
        <w:spacing w:after="100"/>
      </w:pPr>
      <w:r>
        <w:rPr>
          <w:b/>
          <w:bCs/>
        </w:rPr>
        <w:t xml:space="preserve">Locate the originals. </w:t>
      </w:r>
      <w:r>
        <w:t xml:space="preserve">The original will and trust documents were left with the law firm Najmy Thompson, PLL at 6920 Venture Drive, Suite 104, Lakewood Ranch, FL 34202. Phone: (941) 907-3999.</w:t>
      </w:r>
    </w:p>
    <w:p>
      <w:pPr>
        <w:pStyle w:val="ListParagraph"/>
        <w:numPr>
          <w:ilvl w:val="0"/>
          <w:numId w:val="3"/>
        </w:numPr>
        <w:spacing w:after="100"/>
      </w:pPr>
      <w:r>
        <w:rPr>
          <w:b/>
          <w:bCs/>
        </w:rPr>
        <w:t xml:space="preserve">Consult a probate attorney. </w:t>
      </w:r>
      <w:r>
        <w:t xml:space="preserve">Jill should meet with an attorney (whether Najmy Thompson or another firm) to begin the probate process and trust administration.</w:t>
      </w:r>
    </w:p>
    <w:p>
      <w:pPr>
        <w:pStyle w:val="ListParagraph"/>
        <w:numPr>
          <w:ilvl w:val="0"/>
          <w:numId w:val="3"/>
        </w:numPr>
        <w:spacing w:after="100"/>
      </w:pPr>
      <w:r>
        <w:rPr>
          <w:b/>
          <w:bCs/>
        </w:rPr>
        <w:t xml:space="preserve">Check beneficiary designations. </w:t>
      </w:r>
      <w:r>
        <w:t xml:space="preserve">Review every bank account, brokerage account, IRA, 401(k), and life insurance policy to see who Richard named as beneficiary. These pass outside the will/trust.</w:t>
      </w:r>
    </w:p>
    <w:p>
      <w:pPr>
        <w:pStyle w:val="ListParagraph"/>
        <w:numPr>
          <w:ilvl w:val="0"/>
          <w:numId w:val="3"/>
        </w:numPr>
        <w:spacing w:after="100"/>
      </w:pPr>
      <w:r>
        <w:rPr>
          <w:b/>
          <w:bCs/>
        </w:rPr>
        <w:t xml:space="preserve">Gather financial records. </w:t>
      </w:r>
      <w:r>
        <w:t xml:space="preserve">Collect statements for all accounts, the BB&amp;T loan, and the deed to the house.</w:t>
      </w:r>
    </w:p>
    <w:p>
      <w:pPr>
        <w:pStyle w:val="ListParagraph"/>
        <w:numPr>
          <w:ilvl w:val="0"/>
          <w:numId w:val="3"/>
        </w:numPr>
        <w:spacing w:after="100"/>
      </w:pPr>
      <w:r>
        <w:rPr>
          <w:b/>
          <w:bCs/>
        </w:rPr>
        <w:t xml:space="preserve">Update Jill's own estate plan. </w:t>
      </w:r>
      <w:r>
        <w:t xml:space="preserve">Since Richard has passed, Jill's documents that name him as executor, trustee, and health care surrogate should be reviewed. Brett and Rene are the alternates and are already designated, but it may be worth updating these formally.</w:t>
      </w:r>
    </w:p>
    <w:p>
      <w:pPr>
        <w:pStyle w:val="ListParagraph"/>
        <w:numPr>
          <w:ilvl w:val="0"/>
          <w:numId w:val="3"/>
        </w:numPr>
        <w:spacing w:after="200"/>
      </w:pPr>
      <w:r>
        <w:rPr>
          <w:b/>
          <w:bCs/>
        </w:rPr>
        <w:t xml:space="preserve">Understand the home situation clearly. </w:t>
      </w:r>
      <w:r>
        <w:t xml:space="preserve">Jill owns the house outright now. She can sell it and keep the money during her lifetime. The postnuptial 50/50 split only applies if she still owns a home at the time of her death.</w:t>
      </w:r>
    </w:p>
    <w:p>
      <w:pPr>
        <w:pBdr>
          <w:top w:val="single" w:color="2E75B6" w:sz="6" w:space="1"/>
        </w:pBdr>
        <w:spacing w:after="100" w:before="400"/>
      </w:pPr>
    </w:p>
    <w:p>
      <w:pPr>
        <w:jc w:val="center"/>
      </w:pPr>
      <w:r>
        <w:rPr>
          <w:i/>
          <w:iCs/>
          <w:color w:val="999999"/>
          <w:sz w:val="18"/>
          <w:szCs w:val="18"/>
        </w:rPr>
        <w:t xml:space="preserve">This summary was prepared from OCR of 51 photographed pages of estate planning documents. While every effort was made to accurately capture the contents, always refer to the original signed legal documents for authoritative terms. This is not legal advice.</w:t>
      </w:r>
    </w:p>
    <w:sectPr>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abstractNum w:abstractNumId="3"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200" w:before="360"/>
      <w:outlineLvl w:val="0"/>
    </w:pPr>
    <w:rPr>
      <w:rFonts w:ascii="Arial" w:cs="Arial" w:eastAsia="Arial" w:hAnsi="Arial"/>
      <w:b/>
      <w:bCs/>
      <w:color w:val="1B3A5C"/>
      <w:sz w:val="32"/>
      <w:szCs w:val="32"/>
    </w:rPr>
  </w:style>
  <w:style w:type="paragraph" w:styleId="Heading2">
    <w:name w:val="Heading 2"/>
    <w:basedOn w:val="Normal"/>
    <w:next w:val="Normal"/>
    <w:qFormat/>
    <w:pPr>
      <w:spacing w:after="160" w:before="240"/>
      <w:outlineLvl w:val="1"/>
    </w:pPr>
    <w:rPr>
      <w:rFonts w:ascii="Arial" w:cs="Arial" w:eastAsia="Arial" w:hAnsi="Arial"/>
      <w:b/>
      <w:bCs/>
      <w:color w:val="2E5A88"/>
      <w:sz w:val="26"/>
      <w:szCs w:val="26"/>
    </w:rPr>
  </w:style>
  <w:style w:type="paragraph" w:styleId="Heading3">
    <w:name w:val="Heading 3"/>
    <w:basedOn w:val="Normal"/>
    <w:next w:val="Normal"/>
    <w:qFormat/>
    <w:pPr>
      <w:spacing w:after="120" w:before="200"/>
      <w:outlineLvl w:val="2"/>
    </w:pPr>
    <w:rPr>
      <w:rFonts w:ascii="Arial" w:cs="Arial" w:eastAsia="Arial" w:hAnsi="Arial"/>
      <w:b/>
      <w:bCs/>
      <w:color w:val="3B6FA0"/>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2026-03-14T20:22:42.927Z</dcterms:created>
  <dcterms:modified xsi:type="dcterms:W3CDTF">2026-03-14T20:22:42.927Z</dcterms:modified>
</cp:coreProperties>
</file>

<file path=docProps/custom.xml><?xml version="1.0" encoding="utf-8"?>
<Properties xmlns="http://schemas.openxmlformats.org/officeDocument/2006/custom-properties" xmlns:vt="http://schemas.openxmlformats.org/officeDocument/2006/docPropsVTypes"/>
</file>